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418402C7" w14:paraId="654946DC" wp14:textId="1F315BF6">
      <w:pPr>
        <w:pStyle w:val="Heading1"/>
        <w:rPr>
          <w:highlight w:val="yellow"/>
        </w:rPr>
      </w:pPr>
      <w:r w:rsidRPr="418402C7" w:rsidR="418402C7">
        <w:rPr>
          <w:highlight w:val="yellow"/>
        </w:rPr>
        <w:t>Start of Article 1</w:t>
      </w:r>
      <w:r w:rsidRPr="418402C7" w:rsidR="418402C7">
        <w:rPr>
          <w:highlight w:val="yellow"/>
        </w:rPr>
        <w:t xml:space="preserve"> - DONE</w:t>
      </w:r>
    </w:p>
    <w:p xmlns:wp14="http://schemas.microsoft.com/office/word/2010/wordml" w14:paraId="3680B633" wp14:textId="77777777">
      <w:pPr>
        <w:pStyle w:val="Heading1"/>
      </w:pPr>
      <w:r>
        <w:t>Document ID BIWK000020150109eb1e001cc</w:t>
      </w:r>
    </w:p>
    <w:p xmlns:wp14="http://schemas.microsoft.com/office/word/2010/wordml" w14:paraId="2AE274CB" wp14:textId="77777777">
      <w:r>
        <w:t>The news reporters obtained a quote from the research from AbbVie Inc., "It is for this reason that protein glycosylation is monitored by the developer of a recombinant protein therapeutic, and why protein glycosylation is typically considered a critical quality attribute. In this work, we highlight a systematic study toward the supplementation of sucrose and tagatose into cell culture media for the targeted modulation of protein glycosylation profiles on recombinant proteins. Both sugars were found to affect oligosaccharide maturation resulting in an increase in the percentage of high mannose N-glycan species, as well as a concomitant reduction in fucosylation. The latter effect was demonstrated to increase antibody-dependent cell-mediated cytotoxicity for a recombinant antibody. These aforementioned results were found to be reproducible at different scales, and across different Chinese hamster ovary cell lines."</w:t>
      </w:r>
      <w:r>
        <w:br/>
      </w:r>
      <w:r>
        <w:br/>
      </w:r>
      <w:r>
        <w:t>According to the news reporters, the research concluded: "Through the selective supplementation of these described sugars, the targeted modulation of protein glycosylation profiles is demonstrated, as well as yet another tool in the cell culture toolbox for ensuring product comparability."</w:t>
      </w:r>
      <w:r>
        <w:br/>
      </w:r>
      <w:r>
        <w:br/>
      </w:r>
      <w:r>
        <w:t>For more information on this research see: Cell Culture Media Supplementation of Uncommonly used Sugars Sucrose and Tagatose for the Targeted Shifting of Protein Glycosylation Profiles of Recombinant Protein Therapeutics. Biotechnology Progress, 2014;30(6):1419-1431. Biotechnology Progress can be contacted at: Wiley-Blackwell, 111 River St, Hoboken 07030-5774, NJ, USA. (American Chemical Society - www.acs.org; Biotechnology Progress - www.pubs.acs.org/journal/bipret)</w:t>
      </w:r>
      <w:r>
        <w:br/>
      </w:r>
      <w:r>
        <w:br/>
      </w:r>
      <w:r>
        <w:t>Our news correspondents report that additional information may be obtained by contacting P. Hossler, AbbVie Inc, Oncol Biol, Redwood City, CA 94063, United States. Additional authors for this research include S. McDermott, C. Racicot, C. Chumsae, H. Raharimampionona, Y. Zhou, D. Ouellette, J. Matuck, I. Correia, J. Fann and J.M. Li.</w:t>
      </w:r>
      <w:r>
        <w:br/>
      </w:r>
      <w:r>
        <w:br/>
      </w:r>
      <w:r>
        <w:t>Keywords for this news article include: California, Redwood City, United States, Recombinant Proteins, North and Central America</w:t>
      </w:r>
      <w:r>
        <w:br/>
      </w:r>
      <w:r>
        <w:br/>
      </w:r>
      <w:r>
        <w:t>Our reports deliver fact-based news of research and discoveries from around the world. Copyright 2015, NewsRx LLC</w:t>
      </w:r>
    </w:p>
    <w:p xmlns:wp14="http://schemas.microsoft.com/office/word/2010/wordml" w14:paraId="1C71B958" wp14:textId="77777777">
      <w:pPr>
        <w:pStyle w:val="Heading1"/>
      </w:pPr>
      <w:r>
        <w:t>End of Article 1</w:t>
      </w:r>
    </w:p>
    <w:p xmlns:wp14="http://schemas.microsoft.com/office/word/2010/wordml" w14:paraId="672A6659" wp14:textId="77777777">
      <w:r>
        <w:br w:type="page"/>
      </w:r>
    </w:p>
    <w:p xmlns:wp14="http://schemas.microsoft.com/office/word/2010/wordml" w:rsidP="418402C7" w14:paraId="1A1BB6B8" wp14:textId="057C1CCF">
      <w:pPr>
        <w:pStyle w:val="Heading1"/>
        <w:rPr>
          <w:highlight w:val="yellow"/>
        </w:rPr>
      </w:pPr>
      <w:r w:rsidRPr="418402C7" w:rsidR="418402C7">
        <w:rPr>
          <w:highlight w:val="yellow"/>
        </w:rPr>
        <w:t>Start of Article 2</w:t>
      </w:r>
      <w:r w:rsidRPr="418402C7" w:rsidR="418402C7">
        <w:rPr>
          <w:highlight w:val="yellow"/>
        </w:rPr>
        <w:t xml:space="preserve"> - DONE</w:t>
      </w:r>
    </w:p>
    <w:p xmlns:wp14="http://schemas.microsoft.com/office/word/2010/wordml" w14:paraId="0873BECA" wp14:textId="77777777">
      <w:pPr>
        <w:pStyle w:val="Heading1"/>
      </w:pPr>
      <w:r>
        <w:t>Document ID BWR0000020151019ebaj000g3</w:t>
      </w:r>
    </w:p>
    <w:p xmlns:wp14="http://schemas.microsoft.com/office/word/2010/wordml" w14:paraId="4DD8E713" wp14:textId="77777777">
      <w:r>
        <w:t>"Although the FDA has not provided us with any information regarding the nature of the deficiencies, we intend to work closely with the FDA to understand the nature of any such deficiencies once identified to us and resolve them as quickly as possible," said Vipin K. Garg, Ph.D., President and CEO of Neos Therapeutics. "We look forward to moving ahead with our plan to bring the benefits of Cotempla XR-ODT and our two additional product candidates to patients with ADHD as potential novel treatment options."</w:t>
      </w:r>
      <w:r>
        <w:br/>
      </w:r>
      <w:r>
        <w:br/>
      </w:r>
      <w:r>
        <w:t>Under the time frames negotiated as a result of the Prescription Drug User Fee Act (PDUFA), the FDA set a goal date of January 27, 2016 for the Company's amphetamine XR-ODT, or NT-0202. Neos also manufactures and markets a generic equivalent to the branded product Tussionex(R)(1) .</w:t>
      </w:r>
      <w:r>
        <w:br/>
      </w:r>
      <w:r>
        <w:br/>
      </w:r>
      <w:r>
        <w:t>About XR--ODT Technology</w:t>
      </w:r>
      <w:r>
        <w:br/>
      </w:r>
      <w:r>
        <w:br/>
      </w:r>
      <w:r>
        <w:t>Stimulant medications such as methylphenidate and amphetamine are the standard of care for treating ADHD, and XR formulations of these medications allow for once--daily dosing. However, recent data suggest that a significant percentage of the pediatric population have difficulty swallowing solid dosage forms, and many remain uncomfortable doing so into adulthood. Orally disintegrating tablets (ODTs) differ from traditional tablets and capsules in that they are designed to disintegrate on the tongue without the need for water, rather than being swallowed whole.</w:t>
      </w:r>
      <w:r>
        <w:br/>
      </w:r>
      <w:r>
        <w:br/>
      </w:r>
      <w:r>
        <w:t>About Neos Therapeutics</w:t>
      </w:r>
      <w:r>
        <w:br/>
      </w:r>
      <w:r>
        <w:br/>
      </w:r>
      <w:r>
        <w:t>Neos Therapeutics, Inc. is a pharmaceutical company focused on developing, manufacturing and commercializing products utilizing its proprietary modified--release drug delivery technology platform. The Company is initially focusing on ADHD and has developed three branded product candidates that are XR medications in patient--friendly ODT or liquid suspension dosage forms. In addition, Neos manufactures and markets its generic equivalent of the branded product Tussionex, an XR liquid suspension of hydrocodone and chlorpheniramine indicated for the relief of cough and upper respiratory symptoms of a cold.</w:t>
      </w:r>
      <w:r>
        <w:br/>
      </w:r>
      <w:r>
        <w:br/>
      </w:r>
      <w:r>
        <w:t>Forward-Looking Statements</w:t>
      </w:r>
      <w:r>
        <w:br/>
      </w:r>
      <w:r>
        <w:br/>
      </w:r>
      <w:r>
        <w:t>This press release contains forward--looking statements within the meaning of the Private Securities Litigation Reform Act of 1995, including statements concerning the PDUFA dates for Cotempla XR--ODT(TM) and NT--0202 and capabilities of our two XR-ODT products. Forward--looking statements generally relate to future events or our future financial or operating performance. In some cases, you can identify forward--looking statements because they contain words such as "may," "will," "should," "expects," "plans," "anticipates," "could," "intends," "target," "projects," "contemplates," "believes," "estimates, " "predicts," "potential" or "continue" or the negative of these words or other similar terms or expressions that concern our expectations, strategy, plans, prospects or intentions. These forward-looking statements reflect our current views about our expectations, strategy, plans, prospects or intentions, which are based on the information currently available to us and on assumptions we have made. Although we believe that our plans, intentions, expectations, strategies and prospects as reflected in or suggested by those forward-looking statements are reasonable, we can give no assurance that the plans, intentions, expectations or strategies will be attained or achieved. Furthermore, actual results may differ materially from those described in the forward-looking statements and will be affected by a variety of risks and factors that are beyond our control including, without limitation, any deficiencies the FDA may identify with respect to Cotempla XR-ODT and whether the Company will be able to address the issues that may relate to those deficiencies, the receipt of regulatory approval for our product candidates, our ability to market and sell our product candidates, and other risks set forth under the caption "Risk Factors" in our final prospectus filed on July 24, 2015 pursuant to Rule 424(b) of the Securities Act of 1933, as amended, as updated by our subsequently filed Quarterly Reports on Form 10-Q and our other SEC filings. We assume no obligation to update any forward-looking statements contained in this document as a result of new information, future events or otherwise.</w:t>
      </w:r>
      <w:r>
        <w:br/>
      </w:r>
      <w:r>
        <w:br/>
      </w:r>
      <w:r>
        <w:t>(1) Tussionex(R) is a registered trademark of the UCB Group of Companies</w:t>
      </w:r>
      <w:r>
        <w:br/>
      </w:r>
      <w:r>
        <w:br/>
      </w:r>
      <w:r>
        <w:t>View source version on businesswire.com: http://www.businesswire.com/news/home/20151019006538/en/</w:t>
      </w:r>
    </w:p>
    <w:p xmlns:wp14="http://schemas.microsoft.com/office/word/2010/wordml" w14:paraId="0FDED580" wp14:textId="77777777">
      <w:pPr>
        <w:pStyle w:val="Heading1"/>
      </w:pPr>
      <w:r>
        <w:t>End of Article 2</w:t>
      </w:r>
    </w:p>
    <w:p xmlns:wp14="http://schemas.microsoft.com/office/word/2010/wordml" w14:paraId="0A37501D" wp14:textId="77777777">
      <w:r>
        <w:br w:type="page"/>
      </w:r>
    </w:p>
    <w:p xmlns:wp14="http://schemas.microsoft.com/office/word/2010/wordml" w:rsidP="418402C7" w14:paraId="6E8EB604" wp14:textId="50AEC9CD">
      <w:pPr>
        <w:pStyle w:val="Heading1"/>
        <w:rPr>
          <w:highlight w:val="yellow"/>
        </w:rPr>
      </w:pPr>
      <w:r w:rsidRPr="418402C7" w:rsidR="418402C7">
        <w:rPr>
          <w:highlight w:val="yellow"/>
        </w:rPr>
        <w:t>Start of Article 3</w:t>
      </w:r>
      <w:r w:rsidRPr="418402C7" w:rsidR="418402C7">
        <w:rPr>
          <w:highlight w:val="yellow"/>
        </w:rPr>
        <w:t xml:space="preserve"> - DONE</w:t>
      </w:r>
    </w:p>
    <w:p xmlns:wp14="http://schemas.microsoft.com/office/word/2010/wordml" w14:paraId="5931A1B4" wp14:textId="77777777">
      <w:pPr>
        <w:pStyle w:val="Heading1"/>
      </w:pPr>
      <w:r>
        <w:t>Document ID GLOMCP0020151103ebb30004l</w:t>
      </w:r>
    </w:p>
    <w:p xmlns:wp14="http://schemas.microsoft.com/office/word/2010/wordml" w14:paraId="5DBBC8AE" wp14:textId="77777777">
      <w:r>
        <w:t>Alexza Pharmaceuticals, Inc. (Alexza), formerly Alexza Molecular Delivery Corp., is a specialty pharmaceutical company. The company carries out the research and development and commercializes novel proprietary products used for the acute treatment of central nervous system diseases. The company develops all its products based on its own proprietary technology, Staccato system. The company’s only lead product Adasuve (Staccato loxapine) is indicated for the treatment of agitation associated with schizophrenia or bipolar disorder. Its only product candidate AZ-002 (Staccato alprazolam) is being developed for the treatment of acute repetitive seizures, which are called as cluster seizures or ARS. Alexza is headquartered at Mountain View in California, the US.</w:t>
      </w:r>
      <w:r>
        <w:br/>
      </w:r>
      <w:r>
        <w:br/>
      </w:r>
      <w:r>
        <w:t>The company focus on developing and commercializing the innovative, cost- effective novel proprietary products based on its Staccato system, that address significant unmet medical needs in the treatment of acute and intermittent conditions. It also aims to maintain its existing partnerships and to enter new collaborative agreements to fuel its services. This is indicated by its partnership and collaboration agreements with Grupo Ferrer and Teva for specific expertise to maximize the value of its product candidate. The company also plans to enter into strategic alliances with other pharmaceutical companies, to combine its Staccato system with their proprietary compounds.</w:t>
      </w:r>
      <w:r>
        <w:br/>
      </w:r>
      <w:r>
        <w:br/>
      </w:r>
      <w:r>
        <w:t>The company reported revenues of (US Dollars) US$5.6 million for the fiscal year ended December 2014 (FY2014), a decrease of 88.4% over FY2013. The operating loss of the company was US$37.5 million in FY2014, compared to an operating profit of US$1.8 million in FY2013. The net loss of the company was US$36.7 million in FY2014, compared to a net loss of US$39.6 million in FY2013.</w:t>
      </w:r>
      <w:r>
        <w:br/>
      </w:r>
      <w:r>
        <w:br/>
      </w:r>
      <w:r>
        <w:t>The company reported revenues of US$1.9 million for the second quarter ended June 2015, compared to a revenue of US$0.7 million the previous quarter.</w:t>
      </w:r>
      <w:r>
        <w:br/>
      </w:r>
      <w:r>
        <w:br/>
      </w:r>
      <w:r>
        <w:t>Note</w:t>
      </w:r>
      <w:r>
        <w:br/>
      </w:r>
      <w:r>
        <w:br/>
      </w:r>
      <w:r>
        <w:t>Note : GlobalData uses a range of research techniques to gather and verify its information and analysis. These include primary research, in-house knowledge and expertise, proprietary databases, and secondary sources such as company websites, annual reports, SEC filings and press releases. Disclaimer: No part of this publication may be reproduced, stored in a retrieval system or transmitted in any form by any means, electronic, mechanical, photocopying, recording or otherwise, without the prior permission of the publisher, GlobalData. The facts of this report are believed to be correct at the time of publication but cannot be guaranteed. Please note that the findings, conclusions and recommendations that GlobalData delivers will be based on information gathered in good faith from both primary and secondary sources, whose accuracy we are not always in a position to guarantee. As such GlobalData can accept no liability whatever for actions taken based on any information that may subsequently prove to be incorrect.</w:t>
      </w:r>
    </w:p>
    <w:p xmlns:wp14="http://schemas.microsoft.com/office/word/2010/wordml" w14:paraId="23301A02" wp14:textId="77777777">
      <w:pPr>
        <w:pStyle w:val="Heading1"/>
      </w:pPr>
      <w:r>
        <w:t>End of Article 3</w:t>
      </w:r>
    </w:p>
    <w:p xmlns:wp14="http://schemas.microsoft.com/office/word/2010/wordml" w14:paraId="5DAB6C7B" wp14:textId="77777777">
      <w:r>
        <w:br w:type="page"/>
      </w:r>
    </w:p>
    <w:p xmlns:wp14="http://schemas.microsoft.com/office/word/2010/wordml" w:rsidP="418402C7" w14:paraId="35371ADB" wp14:textId="456D1B3B">
      <w:pPr>
        <w:pStyle w:val="Heading1"/>
        <w:rPr>
          <w:highlight w:val="yellow"/>
        </w:rPr>
      </w:pPr>
      <w:r w:rsidRPr="418402C7" w:rsidR="418402C7">
        <w:rPr>
          <w:highlight w:val="yellow"/>
        </w:rPr>
        <w:t>Start of Article 4</w:t>
      </w:r>
      <w:r w:rsidRPr="418402C7" w:rsidR="418402C7">
        <w:rPr>
          <w:highlight w:val="yellow"/>
        </w:rPr>
        <w:t xml:space="preserve"> - DONE</w:t>
      </w:r>
    </w:p>
    <w:p xmlns:wp14="http://schemas.microsoft.com/office/word/2010/wordml" w14:paraId="4D03C39A" wp14:textId="77777777">
      <w:pPr>
        <w:pStyle w:val="Heading1"/>
      </w:pPr>
      <w:r>
        <w:t>Document ID ATEHEA0020150512eb5c00001</w:t>
      </w:r>
    </w:p>
    <w:p xmlns:wp14="http://schemas.microsoft.com/office/word/2010/wordml" w14:paraId="24487FE4" wp14:textId="77777777">
      <w:r>
        <w:t>The Senza SCS system is indicated as an aid in the management of chronic intractable pain of the trunk and/or limbs, including unilateral or bilateral pain associated with failed back surgery syndrome, intractable low back pain and leg pain. The Senza system delivering HF10 therapy has experienced strong adoption in Europe and Australia over the past 5 years. With this FDA approval, patients in the U.S. suffering from chronic pain will have the opportunity to experience the significant benefits of HF10 therapy.</w:t>
      </w:r>
      <w:r>
        <w:br/>
      </w:r>
      <w:r>
        <w:br/>
      </w:r>
      <w:r>
        <w:t>The labelling for the Senza system and HF10 therapy was based on the SENZA-RCT clinical trial, where HF10 therapy was meaningfully superior to traditional SCS therapy for back and leg pain, including superior response rates, pain relief, and functional outcomes. Superiority was demonstrated in the primary and all secondary endpoints including at every measurement time point throughout the 12 month follow up.</w:t>
      </w:r>
    </w:p>
    <w:p xmlns:wp14="http://schemas.microsoft.com/office/word/2010/wordml" w14:paraId="06BBFE80" wp14:textId="77777777">
      <w:pPr>
        <w:pStyle w:val="Heading1"/>
      </w:pPr>
      <w:r>
        <w:t>End of Article 4</w:t>
      </w:r>
    </w:p>
    <w:p xmlns:wp14="http://schemas.microsoft.com/office/word/2010/wordml" w14:paraId="02EB378F" wp14:textId="77777777">
      <w:r>
        <w:br w:type="page"/>
      </w:r>
    </w:p>
    <w:p xmlns:wp14="http://schemas.microsoft.com/office/word/2010/wordml" w:rsidP="418402C7" w14:paraId="317907DB" wp14:textId="25B2AA8F">
      <w:pPr>
        <w:pStyle w:val="Heading1"/>
        <w:rPr>
          <w:highlight w:val="yellow"/>
        </w:rPr>
      </w:pPr>
      <w:r w:rsidRPr="418402C7" w:rsidR="418402C7">
        <w:rPr>
          <w:highlight w:val="yellow"/>
        </w:rPr>
        <w:t>Start of Article 5</w:t>
      </w:r>
      <w:r w:rsidRPr="418402C7" w:rsidR="418402C7">
        <w:rPr>
          <w:highlight w:val="yellow"/>
        </w:rPr>
        <w:t xml:space="preserve"> - DONE</w:t>
      </w:r>
    </w:p>
    <w:p xmlns:wp14="http://schemas.microsoft.com/office/word/2010/wordml" w14:paraId="57616461" wp14:textId="77777777">
      <w:pPr>
        <w:pStyle w:val="Heading1"/>
      </w:pPr>
      <w:r>
        <w:t>Document ID POLGOV0020151008eba800067</w:t>
      </w:r>
    </w:p>
    <w:p xmlns:wp14="http://schemas.microsoft.com/office/word/2010/wordml" w14:paraId="2CF55F36" wp14:textId="77777777">
      <w:r>
        <w:t>The following quote was obtained by the news editors from the background information supplied by the inventors: "implementations described herein relate to infant feeding pillows for use during nursing or bottle feeding that provide support for the infant and the user.</w:t>
      </w:r>
      <w:r>
        <w:br/>
      </w:r>
      <w:r>
        <w:br/>
      </w:r>
      <w:r>
        <w:t>"Breastfeeding is known to improve the health and encourage proper growth and development of an infant. Breast milk provides the ideal amount of nutrition for infants with the proper mix of vitamins, protein and fat. Breast milk is known to be digested more easily than formula and can aid in the maturing of the infant's immune system. Breastfeeding is also known to supply an infant with valuable antibodies that can defend against illness. Even further, breastfeeding reduces the incidence of asthma and promotes optional brain development. Studies have shown that breastfed infants have less frequent and shorter episodes of illness. Additionally, the sucking action of the infant aids in dental development as well as development of the infant's facial bones and oral muscles. Conversely, lack of nursing increases the risk of childhood diabetes, cancers, ear infections, obesity and respiratory infections. In other aspects, the skin-to-skin contact encouraged by nursing offer infants emotional security and encourages bonding.</w:t>
      </w:r>
      <w:r>
        <w:br/>
      </w:r>
      <w:r>
        <w:br/>
      </w:r>
      <w:r>
        <w:t>"In yet other aspects, research has shown that nursing also offers health benefits for mothers. Increased levels of oxytocin stimulate uterine contractions, helping the uterus return to a pre-pregnancy size, decreasing blood loss and encouraging uterine toning. Nursing also burns additional calories and increases the rate of weight loss in most nursing mothers. Mothers who nurse their infants have a lower risk of developing osteoporosis and breast, ovarian and uterine cancers. Additionally, nursing allows a mother to feed her infant during times that normal supplies of food and water are not available.</w:t>
      </w:r>
      <w:r>
        <w:br/>
      </w:r>
      <w:r>
        <w:br/>
      </w:r>
      <w:r>
        <w:t>"During feedings, caregivers typically choose to sit in a chair, rocking chair or on a bed and hold the infant in their arms with the head of the infant resting in the elbow region of the arm and the infant's body on the caregiver's lap. Feedings can be performed over 1000 times in the first three months of life alone. Both feeding actions of breast and bottle feeding can result in the caregiver experiencing arm, upper back, shoulder and neck pain and stress and such effects are only worsened by the extended time of feeding. Injury and discomfort due to feeding can result in the caregiver making adjustments that result in improper positioning of the infant, making latching onto the nipple difficult which can, in turn, cause nipple irritation and soreness for a nursing mother. Also, carpal tunnel syndrome and tendonitis can result from repetitively gripping, lifting and positioning the wrist during feeding.</w:t>
      </w:r>
      <w:r>
        <w:br/>
      </w:r>
      <w:r>
        <w:br/>
      </w:r>
      <w:r>
        <w:t>"In order to receive the most positive outcome from nursing, it is very important for the infant to latch onto the nipple in an optimal position. While nursing, the mother's nipple should be aligned to the month of the infant. Misalignment of the nipple to the infant's mouth often leads to discomfort due to nipple irritation and soreness as well as frustration. It is also important for the caregiver to be appropriately supported to prevent the development of strain and injury.</w:t>
      </w:r>
      <w:r>
        <w:br/>
      </w:r>
      <w:r>
        <w:br/>
      </w:r>
      <w:r>
        <w:t>"In the past, infant feeding pillows have been provided as an aid for feeding an infant. However, these prior art infant feeding pillows typically require the use of the arm of the caregiver to hold the infant's head. Thus, such prior art infant feeding pillows do not prevent strain and injury to the arm and elbow of a caregiver. Some prior art infant feeding pillows are designed to be placed around the waist of a caregiver and, optionally, secured with the use of a fastener. Such a configuration can be bulky and cumbersome as well as fail to accommodate a wide range of body types. Also, prior art infant feeding pillows do not provide adequate support for the caregiver's arm during post-feeding activities such as burping. Even further, such prior art pillows are generally no longer used once an infant no longer requires breast or bottle feeding.</w:t>
      </w:r>
      <w:r>
        <w:br/>
      </w:r>
      <w:r>
        <w:br/>
      </w:r>
      <w:r>
        <w:t>"Thus, there is a need for an infant feeding pillow that enables proper positioning and support of both the infant and caregiver."</w:t>
      </w:r>
      <w:r>
        <w:br/>
      </w:r>
      <w:r>
        <w:br/>
      </w:r>
      <w:r>
        <w:t>In addition to the background information obtained for this patent application, VerticalNews journalists also obtained the inventor's summary information for this patent application: "It is to be understood that this summary is not an extensive overview of the disclosure. This summary is exemplary and not restrictive, and it is intended to neither identity key or critical elements of the disclosure nor delineate the scope thereof. The sole purpose of this summary is to explain and exemplify certain concepts of the disclosure as an introduction to the following complete and extensive detailed description.</w:t>
      </w:r>
      <w:r>
        <w:br/>
      </w:r>
      <w:r>
        <w:br/>
      </w:r>
      <w:r>
        <w:t>"In one aspect, an infant support pillow comprising a body comprising a main portion and a wedge portion is provided. The main portion of the body can have a top surface, a first side and a longitudinal axis. The lop surface of the main portion can be configured to support at least the arm of a user and, optionally, at least a portion of the head of an infant. The wedge portion can be coupled to and extend from the first side of the main portion in a plane transverse to the longitudinal axis of the main portion. A width of the wedge portion can decrease front a base portion to a tip portion as the distance from the first side of the main body increases. Additionally, a top surface of the wedge portion can form an angle with the top surface of the main portion. Further, the wedge portion can be configured to rest in the lap of a user and can be configured to support at least a portion of an infant. In a further embodiment, the main portion can further comprise at least one of a first and a second shoulder extending seamlessly from the main body along the longitudinal axis thereof.</w:t>
      </w:r>
      <w:r>
        <w:br/>
      </w:r>
      <w:r>
        <w:br/>
      </w:r>
      <w:r>
        <w:t>"Additional features and advantages of exemplary implementations of the present disclosure will be set forth in the description which follows, and in part will be obvious from the description, or may be learned by the practice of such exemplary implementations. The features and advantages of such implementations may be realized and obtained by means of the instruments and combinations particularly pointed out in the appended claims. These and other features will become more fully apparent from the following description and appended claims, or may be learned by the practice of such exemplary implementations as set forth hereinafter. BRIEF DESCRIPTION OF THE DRAWINGS</w:t>
      </w:r>
      <w:r>
        <w:br/>
      </w:r>
      <w:r>
        <w:br/>
      </w:r>
      <w:r>
        <w:t>"The accompanying drawings, Which are incorporated in and constitute a part of this specification, illustrate several aspects of the present disclosure and together with the description, serve to explain the principles of the present disclosure. Like numbers represent the same elements throughout the figures.</w:t>
      </w:r>
      <w:r>
        <w:br/>
      </w:r>
      <w:r>
        <w:br/>
      </w:r>
      <w:r>
        <w:t>"FIG. 1A illustrates a perspective view of an exemplary infant feeding pillow in accordance with the present invention. FIG. 1B illustrates a perspective view of another exemplary infant feeding pillow in accordance with the present invention.</w:t>
      </w:r>
      <w:r>
        <w:br/>
      </w:r>
      <w:r>
        <w:br/>
      </w:r>
      <w:r>
        <w:t>"FIG. 2 illustrates a top view of the support pillow of FIG. 1.</w:t>
      </w:r>
      <w:r>
        <w:br/>
      </w:r>
      <w:r>
        <w:br/>
      </w:r>
      <w:r>
        <w:t>"FIG. 3 illustrates a cross-sectional side view of the support pillow of FIG. 1.</w:t>
      </w:r>
      <w:r>
        <w:br/>
      </w:r>
      <w:r>
        <w:br/>
      </w:r>
      <w:r>
        <w:t>"FIG. 4 illustrates the operation of the support pillow of FIG. 1, showing a user supporting an infant while nursing.</w:t>
      </w:r>
      <w:r>
        <w:br/>
      </w:r>
      <w:r>
        <w:br/>
      </w:r>
      <w:r>
        <w:t>"FIG. 5 illustrates the operation of the support pillow of FIG. 1, stowing a user supporting an infant while bottle feeding.</w:t>
      </w:r>
      <w:r>
        <w:br/>
      </w:r>
      <w:r>
        <w:br/>
      </w:r>
      <w:r>
        <w:t>"FIG. 6 illustrates the operation of the support pillow of FIG. 1, showing a user burping an infant.</w:t>
      </w:r>
      <w:r>
        <w:br/>
      </w:r>
      <w:r>
        <w:br/>
      </w:r>
      <w:r>
        <w:t>"FIG. 7 illustrates the operation of the support pillow of FIG. 1, showing a user reading.</w:t>
      </w:r>
      <w:r>
        <w:br/>
      </w:r>
      <w:r>
        <w:br/>
      </w:r>
      <w:r>
        <w:t>"FIG. 8 illustrates a perspective view of an exemplary nursing pillow having a removable cover.</w:t>
      </w:r>
      <w:r>
        <w:br/>
      </w:r>
      <w:r>
        <w:br/>
      </w:r>
      <w:r>
        <w:t>"FIG. 9 illustrates a perspective view of an exemplary nursing pillow having a pillow insert having a port to access the pillow fill.</w:t>
      </w:r>
      <w:r>
        <w:br/>
      </w:r>
      <w:r>
        <w:br/>
      </w:r>
      <w:r>
        <w:t>"FIG. 10 illustrates a perspective view of the nursing pillow of FIG. 9 having the port opened to expose the pillow fill."</w:t>
      </w:r>
      <w:r>
        <w:br/>
      </w:r>
      <w:r>
        <w:br/>
      </w:r>
      <w:r>
        <w:t>URL and more information on this patent application, see: Williams, Kimberly. Infant Feeding Pillow. Filed June 8, 2015 and posted October 1, 2015. Patent URL: http://appft.uspto.gov/netacgi/nph-Parser?Sect1=PTO2&amp;Sect2=HITOFF&amp;u=%2Fnetahtml%2FPTO%2Fsearch-adv.html&amp;r=6912&amp;p=139&amp;f=G&amp;l=50&amp;d=PG01&amp;S1=20150924.PD.&amp;OS=PD/20150924&amp;RS=PD/20150924</w:t>
      </w:r>
      <w:r>
        <w:br/>
      </w:r>
      <w:r>
        <w:br/>
      </w:r>
      <w:r>
        <w:t>Keywords for this news article include: Patents, Bottle Feeding, Feeding Methods.</w:t>
      </w:r>
      <w:r>
        <w:br/>
      </w:r>
      <w:r>
        <w:br/>
      </w:r>
      <w:r>
        <w:t>Our reports deliver fact-based news of research and discoveries from around the world. Copyright 2015, NewsRx LLC</w:t>
      </w:r>
    </w:p>
    <w:p xmlns:wp14="http://schemas.microsoft.com/office/word/2010/wordml" w14:paraId="5BF0DC42" wp14:textId="77777777">
      <w:pPr>
        <w:pStyle w:val="Heading1"/>
      </w:pPr>
      <w:r>
        <w:t>End of Article 5</w:t>
      </w:r>
    </w:p>
    <w:p xmlns:wp14="http://schemas.microsoft.com/office/word/2010/wordml" w14:paraId="6A05A809" wp14:textId="77777777">
      <w:r>
        <w:br w:type="page"/>
      </w:r>
    </w:p>
    <w:p xmlns:wp14="http://schemas.microsoft.com/office/word/2010/wordml" w:rsidP="418402C7" w14:paraId="384B2BF2" wp14:textId="6A20EDC3">
      <w:pPr>
        <w:pStyle w:val="Heading1"/>
        <w:rPr>
          <w:highlight w:val="yellow"/>
        </w:rPr>
      </w:pPr>
      <w:r w:rsidRPr="418402C7" w:rsidR="418402C7">
        <w:rPr>
          <w:highlight w:val="yellow"/>
        </w:rPr>
        <w:t>Start of Article 6</w:t>
      </w:r>
      <w:r w:rsidRPr="418402C7" w:rsidR="418402C7">
        <w:rPr>
          <w:highlight w:val="yellow"/>
        </w:rPr>
        <w:t xml:space="preserve"> - DONE</w:t>
      </w:r>
    </w:p>
    <w:p xmlns:wp14="http://schemas.microsoft.com/office/word/2010/wordml" w14:paraId="5C9FACCE" wp14:textId="77777777">
      <w:pPr>
        <w:pStyle w:val="Heading1"/>
      </w:pPr>
      <w:r>
        <w:t>Document ID HAMW000020150529eb6500135</w:t>
      </w:r>
    </w:p>
    <w:p xmlns:wp14="http://schemas.microsoft.com/office/word/2010/wordml" w14:paraId="6A9C22B8" wp14:textId="77777777">
      <w:r>
        <w:t>Attendance at the conference is by invitation only for clients of Jefferies, but a simultaneous live audio webcast and subsequent archived replay of the presentation will be accessible at http://wsw.com/webcast/jeff88/btx. The replay will be available for approximately 90 days after the event. About BioTime BioTime, Inc., a pioneer in regenerative medicine, is a clinical-stage biotechnology company. BioTime and its subsidiaries are leveraging their industry-leading experience in pluripotent stem cell technology and a broad intellectual property portfolio to facilitate the development and use of cell-based therapies and gene marker-based molecular diagnostics for major diseases and degenerative conditions for which there presently are no cures. The lead clinical programs of BioTime and its subsidiaries include OpRegen(R), currently in a Phase I/IIa trial for the treatment of the dry form of age-related macular degeneration; AST-OPC1, currently in a Phase I/IIa trial for spinal cord injuries; Renevia(TM), currently in a pivotal trial in Europe as an injectable matrix for the engraftment of transplanted cells to treat HIV-related lipoatrophy; and PanC-Dx(TM) cancer diagnostics, nearing the completion of initial clinical studies for the detection of bladder, breast, and lung cancers. AST-VAC2, a cancer vaccine, is in the pre-clinical trial stage.</w:t>
      </w:r>
      <w:r>
        <w:br/>
      </w:r>
      <w:r>
        <w:br/>
      </w:r>
      <w:r>
        <w:t>BioTime's subsidiaries include the publicly traded Asterias Biotherapeutics, Inc. (NYSE MKT: AST), developing pluripotent stem cell-based therapies in neurology and oncology, including AST-OPC1 and AST-VAC2; Cell Cure Neurosciences Ltd., developing stem cell-based therapies for retinal and neurological disorders, including OpRegen(R); OncoCyte Corporation, developing PanC-Dx(TM) cancer diagnostics; LifeMap Sciences, Inc., developing and marketing an integrated on-line database resource for biomedical and stem cell research; LifeMap Solutions, Inc., a subsidiary of LifeMap Sciences, developing mobile health (mHealth) products; ES Cell International Pte Ltd, which has developed cGMP-compliant human embryonic stem cell lines that are being marketed by BioTime for research purposes under the ESI BIO branding program; OrthoCyte Corporation, developing therapies to treat orthopedic disorders, diseases and injuries; and ReCyte Therapeutics, Inc., developing therapies to treat a variety of cardiovascular and related ischemic disorders.</w:t>
      </w:r>
      <w:r>
        <w:br/>
      </w:r>
      <w:r>
        <w:br/>
      </w:r>
      <w:r>
        <w:t>BioTime common stock is traded on the NYSE MKT under the symbol BTX. For more information, please visit www.biotimeinc.com or connect with the company on Twitter, LinkedIn, Facebook, YouTube, and Google+.</w:t>
      </w:r>
      <w:r>
        <w:br/>
      </w:r>
      <w:r>
        <w:br/>
      </w:r>
      <w:r>
        <w:t>Keywords for this news article include: Oncology, BioTime Inc., Cancer Vaccines, Stem Cell Research, Clinical Trials and Studies.</w:t>
      </w:r>
      <w:r>
        <w:br/>
      </w:r>
      <w:r>
        <w:br/>
      </w:r>
      <w:r>
        <w:t>Our reports deliver fact-based news of research and discoveries from around the world. Copyright 2015, NewsRx LLC</w:t>
      </w:r>
    </w:p>
    <w:p xmlns:wp14="http://schemas.microsoft.com/office/word/2010/wordml" w14:paraId="38C1D216" wp14:textId="77777777">
      <w:pPr>
        <w:pStyle w:val="Heading1"/>
      </w:pPr>
      <w:r>
        <w:t>End of Article 6</w:t>
      </w:r>
    </w:p>
    <w:p xmlns:wp14="http://schemas.microsoft.com/office/word/2010/wordml" w14:paraId="5A39BBE3" wp14:textId="77777777">
      <w:r>
        <w:br w:type="page"/>
      </w:r>
    </w:p>
    <w:p xmlns:wp14="http://schemas.microsoft.com/office/word/2010/wordml" w14:paraId="5220BA90" wp14:textId="2571DFF6">
      <w:pPr>
        <w:pStyle w:val="Heading1"/>
      </w:pPr>
      <w:r w:rsidRPr="418402C7" w:rsidR="418402C7">
        <w:rPr>
          <w:highlight w:val="yellow"/>
        </w:rPr>
        <w:t>Start of Article 7</w:t>
      </w:r>
      <w:r w:rsidRPr="418402C7" w:rsidR="418402C7">
        <w:rPr>
          <w:highlight w:val="yellow"/>
        </w:rPr>
        <w:t xml:space="preserve"> - done</w:t>
      </w:r>
    </w:p>
    <w:p xmlns:wp14="http://schemas.microsoft.com/office/word/2010/wordml" w14:paraId="515B2D94" wp14:textId="77777777">
      <w:pPr>
        <w:pStyle w:val="Heading1"/>
      </w:pPr>
      <w:r>
        <w:t>Document ID PBRELS0020150209eb2300005</w:t>
      </w:r>
    </w:p>
    <w:p xmlns:wp14="http://schemas.microsoft.com/office/word/2010/wordml" w14:paraId="2C44A2A1" wp14:textId="77777777">
      <w:r>
        <w:t>Website: http://www.pharmaceutical-business-review.com/</w:t>
      </w:r>
    </w:p>
    <w:p xmlns:wp14="http://schemas.microsoft.com/office/word/2010/wordml" w14:paraId="65405D21" wp14:textId="77777777">
      <w:pPr>
        <w:pStyle w:val="Heading1"/>
      </w:pPr>
      <w:r>
        <w:t>End of Article 7</w:t>
      </w:r>
    </w:p>
    <w:p xmlns:wp14="http://schemas.microsoft.com/office/word/2010/wordml" w14:paraId="41C8F396" wp14:textId="77777777">
      <w:r>
        <w:br w:type="page"/>
      </w:r>
    </w:p>
    <w:p xmlns:wp14="http://schemas.microsoft.com/office/word/2010/wordml" w:rsidP="418402C7" w14:paraId="112FA418" wp14:textId="4C43480C">
      <w:pPr>
        <w:pStyle w:val="Heading1"/>
        <w:rPr>
          <w:highlight w:val="yellow"/>
        </w:rPr>
      </w:pPr>
      <w:r w:rsidRPr="418402C7" w:rsidR="418402C7">
        <w:rPr>
          <w:highlight w:val="yellow"/>
        </w:rPr>
        <w:t>Start of Article 8</w:t>
      </w:r>
      <w:r w:rsidRPr="418402C7" w:rsidR="418402C7">
        <w:rPr>
          <w:highlight w:val="yellow"/>
        </w:rPr>
        <w:t xml:space="preserve"> - done</w:t>
      </w:r>
    </w:p>
    <w:p xmlns:wp14="http://schemas.microsoft.com/office/word/2010/wordml" w14:paraId="54E57656" wp14:textId="77777777">
      <w:pPr>
        <w:pStyle w:val="Heading1"/>
      </w:pPr>
      <w:r>
        <w:t>Document ID APRS000020150916eb9g00and</w:t>
      </w:r>
    </w:p>
    <w:p xmlns:wp14="http://schemas.microsoft.com/office/word/2010/wordml" w14:paraId="1F434F2B" wp14:textId="77777777">
      <w:r>
        <w:t>6 a.m.-5 p.m. Skip Wollenberg and Charles N. Sheehan.</w:t>
      </w:r>
      <w:r>
        <w:br/>
      </w:r>
      <w:r>
        <w:br/>
      </w:r>
      <w:r>
        <w:t>5 p.m.-9 p.m. Richard Jacobsen.</w:t>
      </w:r>
      <w:r>
        <w:br/>
      </w:r>
      <w:r>
        <w:br/>
      </w:r>
      <w:r>
        <w:t>For help please call: 800-845-8450, ext. 1680. Photos, ext. 1900. For graphics and interactives, ext. 7636. Expanded AP content can be obtained from http://www.apexchange.com. For access to AP Exchange and other technical issues, contact customersupport@ap.org or call 877-836-9477.</w:t>
      </w:r>
      <w:r>
        <w:br/>
      </w:r>
      <w:r>
        <w:br/>
      </w:r>
      <w:r>
        <w:t>If you have questions about transmission of financial market listings, please call 800-3AP-STOX.</w:t>
      </w:r>
      <w:r>
        <w:br/>
      </w:r>
      <w:r>
        <w:br/>
      </w:r>
      <w:r>
        <w:t>A selection of top photos can be found at: http://bit.ly/APTopPhotos</w:t>
      </w:r>
      <w:r>
        <w:br/>
      </w:r>
      <w:r>
        <w:br/>
      </w:r>
      <w:r>
        <w:t>All times EDT.</w:t>
      </w:r>
      <w:r>
        <w:br/>
      </w:r>
      <w:r>
        <w:br/>
      </w:r>
      <w:r>
        <w:t>TOP STORIES:</w:t>
      </w:r>
      <w:r>
        <w:br/>
      </w:r>
      <w:r>
        <w:br/>
      </w:r>
      <w:r>
        <w:t>FEDERAL RESERVE-THE GREAT DEBATE</w:t>
      </w:r>
      <w:r>
        <w:br/>
      </w:r>
      <w:r>
        <w:br/>
      </w:r>
      <w:r>
        <w:t>WASHINGTON — For seven years, investors could count on one thing: Short-term U.S. interest rates would stay locked near zero. Now, the Fed is weighing whether to start phasing out the era of easy money on Thursday. Here's the case for a rate hike now — and the case for delaying it. By Christopher S. Rugaber and Paul Wiseman. SENT: 1,400 words, photos, video.</w:t>
      </w:r>
      <w:r>
        <w:br/>
      </w:r>
      <w:r>
        <w:br/>
      </w:r>
      <w:r>
        <w:t>—Video of AP reporters making both cases can be found at http://apne.ws/1iwl7YJ</w:t>
      </w:r>
      <w:r>
        <w:br/>
      </w:r>
      <w:r>
        <w:br/>
      </w:r>
      <w:r>
        <w:t>AB INBEV-SABMILLER</w:t>
      </w:r>
      <w:r>
        <w:br/>
      </w:r>
      <w:r>
        <w:br/>
      </w:r>
      <w:r>
        <w:t>LONDON — The world's largest brewer and maker of Budweiser isn't satisfied with owning the king of beers. AB InBev wants to expand its global empire and add on major brands including Miller and Peroni. A deal to buy SABMiller would create by far the biggest brewer on the planet. By Danica Kirka. SENT: 700 words, photos.</w:t>
      </w:r>
      <w:r>
        <w:br/>
      </w:r>
      <w:r>
        <w:br/>
      </w:r>
      <w:r>
        <w:t>With:</w:t>
      </w:r>
      <w:r>
        <w:br/>
      </w:r>
      <w:r>
        <w:br/>
      </w:r>
      <w:r>
        <w:t>— BIG BREWERS — A closer look at the world's big brewers and the beers they make. UPCOMING: 300 words by 3 p.m., photos.</w:t>
      </w:r>
      <w:r>
        <w:br/>
      </w:r>
      <w:r>
        <w:br/>
      </w:r>
      <w:r>
        <w:t>FRANKFURT AUTO SHOW-CONNECTED CAR</w:t>
      </w:r>
      <w:r>
        <w:br/>
      </w:r>
      <w:r>
        <w:br/>
      </w:r>
      <w:r>
        <w:t>FRANKFURT, Germany — Carmakers are bracing for disruption from new technologies and trying to figure out which of the myriad areas to plunge into to fend off the inroads of tech companies. The recent purchase of Nokia's maps division by three German luxury carmakers is a sign of things to come. By David McHugh. SENT: 840 words, photos.</w:t>
      </w:r>
      <w:r>
        <w:br/>
      </w:r>
      <w:r>
        <w:br/>
      </w:r>
      <w:r>
        <w:t>With:</w:t>
      </w:r>
      <w:r>
        <w:br/>
      </w:r>
      <w:r>
        <w:br/>
      </w:r>
      <w:r>
        <w:t>FRANKFURT AUTO SHOW-RIDING HIGH</w:t>
      </w:r>
      <w:r>
        <w:br/>
      </w:r>
      <w:r>
        <w:br/>
      </w:r>
      <w:r>
        <w:t>FRANKFURT, Germany — Does anyone really need a sport-utility vehicle so fast it can hit speeds close to those seen in Formula One races? Luxury automaker Bentley is betting that some well-heeled customers will feel that they do. By David McHugh. SENT: 700 words, photos.</w:t>
      </w:r>
      <w:r>
        <w:br/>
      </w:r>
      <w:r>
        <w:br/>
      </w:r>
      <w:r>
        <w:t>And:</w:t>
      </w:r>
      <w:r>
        <w:br/>
      </w:r>
      <w:r>
        <w:br/>
      </w:r>
      <w:r>
        <w:t>— GERMANY-FRANKFURT AUTO SHOW-BMW CEO — BMW CEO Harald Krueger says he's doing fine, a day after he collapsed during a news conference at the Frankfurt auto show. SENT: 130 words, photos.</w:t>
      </w:r>
      <w:r>
        <w:br/>
      </w:r>
      <w:r>
        <w:br/>
      </w:r>
      <w:r>
        <w:t>FILM-DIVERSE SUCCESS</w:t>
      </w:r>
      <w:r>
        <w:br/>
      </w:r>
      <w:r>
        <w:br/>
      </w:r>
      <w:r>
        <w:t>LOS ANGELES — "The Perfect Guy's" win at the box office this past weekend marks the fifth time in a row this summer where a film with a primarily African American cast has held the No. 1 position. "The Perfect Guy," ''War Room," and "Straight Outta Compton," all wildly different and wildly successful movies, prove once again that there is money to be made in telling diverse stories for an audience that is underserved by mainstream Hollywood filmmaking. By Lindsey Bahr. UPCOMING: 700 words by 5 p.m., photos.</w:t>
      </w:r>
      <w:r>
        <w:br/>
      </w:r>
      <w:r>
        <w:br/>
      </w:r>
      <w:r>
        <w:t>MARKETS &amp; ECONOMY:</w:t>
      </w:r>
      <w:r>
        <w:br/>
      </w:r>
      <w:r>
        <w:br/>
      </w:r>
      <w:r>
        <w:t>CONSUMER PRICES</w:t>
      </w:r>
      <w:r>
        <w:br/>
      </w:r>
      <w:r>
        <w:br/>
      </w:r>
      <w:r>
        <w:t>WASHINGTON — U.S. consumer prices edge down in August, marking the first decline in seven months and fueled by a big drop in gasoline prices. By Martin Crutsinger. SENT: 570 words, photo.</w:t>
      </w:r>
      <w:r>
        <w:br/>
      </w:r>
      <w:r>
        <w:br/>
      </w:r>
      <w:r>
        <w:t>BUILDER SENTIMENT</w:t>
      </w:r>
      <w:r>
        <w:br/>
      </w:r>
      <w:r>
        <w:br/>
      </w:r>
      <w:r>
        <w:t>WASHINGTON — U.S. homebuilders are feeling slightly more optimistic about the housing market, nudging their confidence this month to a level not seen since the high-flying days of the housing boom nearly 10 years ago. By Alex Veiga. SENT: 450 words, photo.</w:t>
      </w:r>
      <w:r>
        <w:br/>
      </w:r>
      <w:r>
        <w:br/>
      </w:r>
      <w:r>
        <w:t>FOREIGN HOLDINGS</w:t>
      </w:r>
      <w:r>
        <w:br/>
      </w:r>
      <w:r>
        <w:br/>
      </w:r>
      <w:r>
        <w:t>WASHINGTON — The Treasury Department reports on foreign holdings of U.S. debt for July. In June, foreign holdings of U.S. Treasury securities rebounded following two straight months of declines. By Martin Crutsinger. UPCOMING: 130 words after release of report at 4 p.m., 350 words by 4:45 p.m.</w:t>
      </w:r>
      <w:r>
        <w:br/>
      </w:r>
      <w:r>
        <w:br/>
      </w:r>
      <w:r>
        <w:t>FINANCIAL MARKETS</w:t>
      </w:r>
      <w:r>
        <w:br/>
      </w:r>
      <w:r>
        <w:br/>
      </w:r>
      <w:r>
        <w:t>NEW YORK — Stocks edge higher in midday trading as investors wait to hear from the Federal Reserve and work through company news, including a possible deal between two giant beer makers. By Ken Sweet. SENT: 450 words, photos. UPCOMING: 700 words by 5 p.m.</w:t>
      </w:r>
      <w:r>
        <w:br/>
      </w:r>
      <w:r>
        <w:br/>
      </w:r>
      <w:r>
        <w:t>— CENSUS-POVERTY — The number of Americans living below the poverty line showed no statistical difference from the previous year, according to new numbers from the U.S. Census Bureau. By Jesse J. Holland. SENT: 410 words.</w:t>
      </w:r>
      <w:r>
        <w:br/>
      </w:r>
      <w:r>
        <w:br/>
      </w:r>
      <w:r>
        <w:t>EARNINGS:</w:t>
      </w:r>
      <w:r>
        <w:br/>
      </w:r>
      <w:r>
        <w:br/>
      </w:r>
      <w:r>
        <w:t>EARNS-FEDEX</w:t>
      </w:r>
      <w:r>
        <w:br/>
      </w:r>
      <w:r>
        <w:br/>
      </w:r>
      <w:r>
        <w:t>DALLAS — FedEx reports disappointing results for its latest quarter, and the delivery giant cuts its full-year profit forecast on weaker demand for freight services and higher costs in its ground division. By David Koenig. SENT: 700 words, photo.</w:t>
      </w:r>
      <w:r>
        <w:br/>
      </w:r>
      <w:r>
        <w:br/>
      </w:r>
      <w:r>
        <w:t>— SPAIN-EARNS-INDITEX — The Spanish owner of the Zara clothing store chain says profit for the first half of 2015 rose 26 percent, boosted by growth in all markets around the world where the company sells clothes. SENT: 130 words.</w:t>
      </w:r>
      <w:r>
        <w:br/>
      </w:r>
      <w:r>
        <w:br/>
      </w:r>
      <w:r>
        <w:t>INDUSTRY:</w:t>
      </w:r>
      <w:r>
        <w:br/>
      </w:r>
      <w:r>
        <w:br/>
      </w:r>
      <w:r>
        <w:t>TARGET-WELLNESS</w:t>
      </w:r>
      <w:r>
        <w:br/>
      </w:r>
      <w:r>
        <w:br/>
      </w:r>
      <w:r>
        <w:t>MINNEAPOLIS — Target is going on a health kick, aimed at both customers and its employees. By Anne D'Innocenzio and Tom Murphy. SENT: 530 words, photo.</w:t>
      </w:r>
      <w:r>
        <w:br/>
      </w:r>
      <w:r>
        <w:br/>
      </w:r>
      <w:r>
        <w:t>AMGEN DEALS</w:t>
      </w:r>
      <w:r>
        <w:br/>
      </w:r>
      <w:r>
        <w:br/>
      </w:r>
      <w:r>
        <w:t>TRENTON, N.J. — Biotech drug giant Amgen has made two much-needed deals to replenish its stock of medicines in development as new competition to its lucrative biotech drugs threatens future revenue. By Linda A. Johnson. SENT: 130 words. UPCOMING: About 500 words by 2:30 p.m.</w:t>
      </w:r>
      <w:r>
        <w:br/>
      </w:r>
      <w:r>
        <w:br/>
      </w:r>
      <w:r>
        <w:t>— OLIVE GARDEN-PASTA PASS — Olive Garden is bringing back its "Pasta Pass" that lets people gorge on as much pasta as they want for seven weeks. By Candice Choi. SENT: 450 words, photo.</w:t>
      </w:r>
      <w:r>
        <w:br/>
      </w:r>
      <w:r>
        <w:br/>
      </w:r>
      <w:r>
        <w:t>— OBAMA-BUDGET-BUSINESS LEADERS — President Barack Obama urges Congress to avoid another contentious budget showdown and warns that the economy would surely take a hit if the government shuts down again. By Kevin Freking. SENT: 520 words, photos, video.</w:t>
      </w:r>
      <w:r>
        <w:br/>
      </w:r>
      <w:r>
        <w:br/>
      </w:r>
      <w:r>
        <w:t>— MARIJUANA TAX HOLIDAY — An accounting error in Colorado is paying off for marijuana consumers, as a quirk in a state tax law triggers a suspension of most taxes on recreational pot. SENT: 430 words, photos. UPCOMING: Will be updated after stores open.</w:t>
      </w:r>
      <w:r>
        <w:br/>
      </w:r>
      <w:r>
        <w:br/>
      </w:r>
      <w:r>
        <w:t>— BEHIND THE WHEEL-2016 ACURA ILX — Acura's least expensive sedan, the ILX, has luxurious upgrades for 2016, including a quieter interior, a handsome LED-accented exterior and improved performance — all at a reasonable price. By Ann M. Job. SENT: 800 words, photo, box.</w:t>
      </w:r>
      <w:r>
        <w:br/>
      </w:r>
      <w:r>
        <w:br/>
      </w:r>
      <w:r>
        <w:t>TECHNOLOGY &amp; MEDIA:</w:t>
      </w:r>
      <w:r>
        <w:br/>
      </w:r>
      <w:r>
        <w:br/>
      </w:r>
      <w:r>
        <w:t>— AUDIO BOOKS GO CELEBRITY — Audiobooks — for so long dismissed as the things on CD you hope keep the kids quiet during long car trips — have all grown up and lately the balance of power has shifted from the author to the presentation, with seasoned actors from Broadway and Hollywood. By Mark Kennedy. SENT: 940 words, photos.</w:t>
      </w:r>
      <w:r>
        <w:br/>
      </w:r>
      <w:r>
        <w:br/>
      </w:r>
      <w:r>
        <w:t>INTERNATIONAL:</w:t>
      </w:r>
      <w:r>
        <w:br/>
      </w:r>
      <w:r>
        <w:br/>
      </w:r>
      <w:r>
        <w:t>— ARGENTINA-DEBT STANDOFF — A federal appeals court hands Argentina a victory in its quest to relieve itself of the pressures of debt owed to American hedge funds and others, saying a judge went too far by letting some bondholders demand payment without proving how much they are entitled to be paid. By Larry Neumeister. SENT: 490 words.</w:t>
      </w:r>
      <w:r>
        <w:br/>
      </w:r>
      <w:r>
        <w:br/>
      </w:r>
      <w:r>
        <w:t>— EUROPE-ECONOMY — Inflation across the 19-country eurozone is revised down to 0.1 percent in the year to August, in a development that's likely to renew fears that the region could see another bout of falling prices. SENT: 400 words.</w:t>
      </w:r>
      <w:r>
        <w:br/>
      </w:r>
      <w:r>
        <w:br/>
      </w:r>
      <w:r>
        <w:t>— BRITAIN-ECONOMY — Pay growth in Britain is finally picking up, with wages rising 2.9 percent in the three months to July compared with a year earlier — the strongest increase since February 2009. SENT: 130 words.</w:t>
      </w:r>
      <w:r>
        <w:br/>
      </w:r>
      <w:r>
        <w:br/>
      </w:r>
      <w:r>
        <w:t>— JAPAN-CREDIT RATING — Standard &amp; Poor's lowers Japan's sovereign credit rating and says it doesn't expect Prime Minister Shinzo Abe's economic revival strategy to reverse deteriorating government finances within the next three years. SENT: 260 words.</w:t>
      </w:r>
      <w:r>
        <w:br/>
      </w:r>
      <w:r>
        <w:br/>
      </w:r>
      <w:r>
        <w:t>A sampling of Money &amp; Markets modules is below. The full digest for AP's Money &amp; Markets service can be found at markets.ap.org. For questions about Money &amp; Markets content, please contact Trevor Delaney (800-845-8450, ext. 1807). For technical support: Todd Balog (816-654-1096). After 6 p.m., contact the AP Business News desk (800-845-8450, ext. 1680) for content questions; 1-800-3AP-STOX for technical support and 212-621-1905 for graphics help.</w:t>
      </w:r>
      <w:r>
        <w:br/>
      </w:r>
      <w:r>
        <w:br/>
      </w:r>
      <w:r>
        <w:t>CENTERPIECE</w:t>
      </w:r>
      <w:r>
        <w:br/>
      </w:r>
      <w:r>
        <w:br/>
      </w:r>
      <w:r>
        <w:t>Interest rate risk</w:t>
      </w:r>
      <w:r>
        <w:br/>
      </w:r>
      <w:r>
        <w:br/>
      </w:r>
      <w:r>
        <w:t>Just like a homeowner with an adjustable-rate mortgage, a corporation can also have debt with an interest rate that can move higher. And a higher rate will mean more expensive interest payments for companies repaying variable-rate debt, eating into their profits. UPCOMING: Graphic expected by 6 p.m.</w:t>
      </w:r>
      <w:r>
        <w:br/>
      </w:r>
      <w:r>
        <w:br/>
      </w:r>
      <w:r>
        <w:t>COMPANY SPOTLIGHT</w:t>
      </w:r>
      <w:r>
        <w:br/>
      </w:r>
      <w:r>
        <w:br/>
      </w:r>
      <w:r>
        <w:t>Dentsply buying rival</w:t>
      </w:r>
      <w:r>
        <w:br/>
      </w:r>
      <w:r>
        <w:br/>
      </w:r>
      <w:r>
        <w:t>Dental product company Dentsply is buying its rival Sirona for $5.51 billion. UPCOMING: Graphic expected by 6 p.m.</w:t>
      </w:r>
    </w:p>
    <w:p xmlns:wp14="http://schemas.microsoft.com/office/word/2010/wordml" w14:paraId="436A8518" wp14:textId="77777777">
      <w:pPr>
        <w:pStyle w:val="Heading1"/>
      </w:pPr>
      <w:r>
        <w:t>End of Article 8</w:t>
      </w:r>
    </w:p>
    <w:p xmlns:wp14="http://schemas.microsoft.com/office/word/2010/wordml" w14:paraId="72A3D3EC" wp14:textId="77777777">
      <w:r>
        <w:br w:type="page"/>
      </w:r>
    </w:p>
    <w:p xmlns:wp14="http://schemas.microsoft.com/office/word/2010/wordml" w:rsidP="418402C7" w14:paraId="3A768C6B" wp14:textId="607DA7BC">
      <w:pPr>
        <w:pStyle w:val="Heading1"/>
        <w:rPr>
          <w:highlight w:val="yellow"/>
        </w:rPr>
      </w:pPr>
      <w:r w:rsidRPr="418402C7" w:rsidR="418402C7">
        <w:rPr>
          <w:highlight w:val="yellow"/>
        </w:rPr>
        <w:t>Start of Article 9</w:t>
      </w:r>
      <w:r w:rsidRPr="418402C7" w:rsidR="418402C7">
        <w:rPr>
          <w:highlight w:val="yellow"/>
        </w:rPr>
        <w:t xml:space="preserve"> - done</w:t>
      </w:r>
    </w:p>
    <w:p xmlns:wp14="http://schemas.microsoft.com/office/word/2010/wordml" w14:paraId="6995DA3B" wp14:textId="77777777">
      <w:pPr>
        <w:pStyle w:val="Heading1"/>
      </w:pPr>
      <w:r>
        <w:t>Document ID INVDAI0020150429eb4t0001g</w:t>
      </w:r>
    </w:p>
    <w:p xmlns:wp14="http://schemas.microsoft.com/office/word/2010/wordml" w14:paraId="650AC7AB" wp14:textId="77777777">
      <w:r>
        <w:t>Investors already were in a buoyant mood after Merck announced late Monday that its trial of cardiovascular outcomes in patients taking its blockbuster diabetes drug Januvia, called Tecos, indicated it didn't increase risk of heart failure.</w:t>
      </w:r>
      <w:r>
        <w:br/>
      </w:r>
      <w:r>
        <w:br/>
      </w:r>
      <w:r>
        <w:t>This had been a fear since other drugs in Januvia's class, called DPP-4 inhibitors, have been connected to cardiovascular risk. This month, the FDA added a warning to the label on Onglyza, a DPP-4 developed by Bristol-Myers Squibb (NYSE:BMY) and marketed by AstraZeneca (NYSE:AZN), that it could boost the risk of heart failure and death.</w:t>
      </w:r>
      <w:r>
        <w:br/>
      </w:r>
      <w:r>
        <w:br/>
      </w:r>
      <w:r>
        <w:t>"This removes MRK's biggest overhang," Leerink analyst Seamus Fernandez wrote in a research note. "We believe it is likely that TECOS could be used to differentiate MRK's Januvia from, at a minimum, Onglyza/Kombiglyze."</w:t>
      </w:r>
      <w:r>
        <w:br/>
      </w:r>
      <w:r>
        <w:br/>
      </w:r>
      <w:r>
        <w:t>Januvia and its sister drug Janumet contribute 14% of Merck's total sales, and their quarterly revenue of $1.39 billion was up 10% from Q1 2014, and $32 million above consensus.</w:t>
      </w:r>
      <w:r>
        <w:br/>
      </w:r>
      <w:r>
        <w:br/>
      </w:r>
      <w:r>
        <w:t>The overall revenue decline was due mostly to foreign-exchange headwinds and divestitures, as the company has restructured to focus more on innovative drugs.</w:t>
      </w:r>
      <w:r>
        <w:br/>
      </w:r>
      <w:r>
        <w:br/>
      </w:r>
      <w:r>
        <w:t>One such drug is Keytruda, a cancer drug in the new PD-1 inhibitor class that Merck launched for melanoma last September. Keytruda's $83 million in Q1 sales was $13 million above consensus, and also contrasted with Bristol-Myers' rival PD-1 Opdivo, whose sales of $40 million missed consensus in Bristol's Q1 report Tuesday.</w:t>
      </w:r>
      <w:r>
        <w:br/>
      </w:r>
      <w:r>
        <w:br/>
      </w:r>
      <w:r>
        <w:t>"We believe the market underappreciates Merck's immuno-oncology drug Keytruda," Morningstar analyst Damien Conover wrote in a research note Tuesday. "We expect the addition of the lung cancer indication later in 2015 to bring an additional $5 billion in Keytruda sales at peak."</w:t>
      </w:r>
      <w:r>
        <w:br/>
      </w:r>
      <w:r>
        <w:br/>
      </w:r>
      <w:r>
        <w:t>Merck did not change its sales guidance of $38.3 billion to $39.8 billion, but it upped its estimate of adverse foreign-exchange impact by some $200 million, indicating an "operational" sales increase, noted Evercore ISI analyst Mark Schoenebaum. Merck guided operating EPS at $3.35 to $3.48, tightening its previous guidance and raising the high end by a penny.</w:t>
      </w:r>
      <w:r>
        <w:br/>
      </w:r>
      <w:r>
        <w:br/>
      </w:r>
      <w:r>
        <w:t>Last year Merck made $3.49 a share on $42.2 billion in revenue.</w:t>
      </w:r>
      <w:r>
        <w:br/>
      </w:r>
      <w:r>
        <w:br/>
      </w:r>
      <w:r>
        <w:t>Meanwhile, United Therapeutics (NASDAQ:UTHR) reported revenue of $327.5 million, up 13% but $37 million short of consensus. Non-GAAP earnings per share rose 36% to $2.55, above consensus of $2.14, but analysts estimate somewhat differently depending on how they account for the company's oddball method of stock-based compensation, which co-CEO Martine Rothblatt described on the firm's earnings conference call Tuesday as "shadow stock options that are settled in cash by the company in lieu of having a stock-option plan."</w:t>
      </w:r>
      <w:r>
        <w:br/>
      </w:r>
      <w:r>
        <w:br/>
      </w:r>
      <w:r>
        <w:t>Rothblatt said management has asked the board to approve a transition to a more conventional stock-option plan, which would help clarify earnings for investors.</w:t>
      </w:r>
      <w:r>
        <w:br/>
      </w:r>
      <w:r>
        <w:br/>
      </w:r>
      <w:r>
        <w:t>3 Of 4 Drugs Miss On Sales</w:t>
      </w:r>
      <w:r>
        <w:br/>
      </w:r>
      <w:r>
        <w:br/>
      </w:r>
      <w:r>
        <w:t>On the more significant revenue metric, three of United's four marketed drugs missed views. Of particular concern to the Street was Orenitram, the oral pulmonary arterial hypertension drug that launched last May. The company had guided a run rate of $100 million by year-end, but Q1 sales were $21 million, $5 million short of consensus and barely up from Q4.</w:t>
      </w:r>
      <w:r>
        <w:br/>
      </w:r>
      <w:r>
        <w:br/>
      </w:r>
      <w:r>
        <w:t>On the call, Rothblatt said this was because most of the 800 patients on Orenitram were new to treprostinil, the working ingredient in Orenitram that is also the basis of United's injectable Remodulin and inhalable Tyvaso. Patients who switch from another form of treprostinil can start on a relatively high dose, Rothblatt said, but new patients have to start on a lower dose and work their way up. Therefore, she said United can still hit its guidance for that drug's sales once the patients work up to a stable dose. She said peak annual sales could hit $1 billion.</w:t>
      </w:r>
      <w:r>
        <w:br/>
      </w:r>
      <w:r>
        <w:br/>
      </w:r>
      <w:r>
        <w:t>Executives do admit to total uncertainty on another permutation of treprostinil that the company is working on, an implantable pump co-developed with Medtronic (NYSE:MDT).</w:t>
      </w:r>
      <w:r>
        <w:br/>
      </w:r>
      <w:r>
        <w:br/>
      </w:r>
      <w:r>
        <w:t>After the close Monday, Medtronic said the FDA filed a consent decree requiring it to stop manufacturing its SynchroMed II pump until some quality-control problems can be worked out. The SynchroMed pump forms the basis of the Remodulin pump.</w:t>
      </w:r>
      <w:r>
        <w:br/>
      </w:r>
      <w:r>
        <w:br/>
      </w:r>
      <w:r>
        <w:t>United Therapeutics Co-CEO Roger Jeffs said the company just learned of the consent decree and hasn't had a chance to talk with the FDA to assess its impact.</w:t>
      </w:r>
    </w:p>
    <w:p xmlns:wp14="http://schemas.microsoft.com/office/word/2010/wordml" w14:paraId="79DB7A3A" wp14:textId="77777777">
      <w:pPr>
        <w:pStyle w:val="Heading1"/>
      </w:pPr>
      <w:r>
        <w:t>End of Article 9</w:t>
      </w:r>
    </w:p>
    <w:p xmlns:wp14="http://schemas.microsoft.com/office/word/2010/wordml" w14:paraId="0D0B940D" wp14:textId="77777777">
      <w:r>
        <w:br w:type="page"/>
      </w:r>
    </w:p>
    <w:p xmlns:wp14="http://schemas.microsoft.com/office/word/2010/wordml" w:rsidP="418402C7" w14:paraId="568594CE" wp14:textId="7F27CFA7">
      <w:pPr>
        <w:pStyle w:val="Heading1"/>
        <w:rPr>
          <w:highlight w:val="yellow"/>
        </w:rPr>
      </w:pPr>
      <w:r w:rsidR="418402C7">
        <w:rPr/>
        <w:t>S</w:t>
      </w:r>
      <w:r w:rsidRPr="418402C7" w:rsidR="418402C7">
        <w:rPr>
          <w:highlight w:val="yellow"/>
        </w:rPr>
        <w:t>tart of Article 10</w:t>
      </w:r>
      <w:r w:rsidRPr="418402C7" w:rsidR="418402C7">
        <w:rPr>
          <w:highlight w:val="yellow"/>
        </w:rPr>
        <w:t xml:space="preserve"> - done</w:t>
      </w:r>
    </w:p>
    <w:p xmlns:wp14="http://schemas.microsoft.com/office/word/2010/wordml" w14:paraId="65E0DE93" wp14:textId="77777777">
      <w:pPr>
        <w:pStyle w:val="Heading1"/>
      </w:pPr>
      <w:r>
        <w:t>Document ID JTRANS0020151009eba90007r</w:t>
      </w:r>
    </w:p>
    <w:p xmlns:wp14="http://schemas.microsoft.com/office/word/2010/wordml" w14:paraId="31CD063D" wp14:textId="77777777">
      <w:r>
        <w:t>This patent was filed on September 18, 2009 and was published online on September 29, 2015.</w:t>
      </w:r>
      <w:r>
        <w:br/>
      </w:r>
      <w:r>
        <w:br/>
      </w:r>
      <w:r>
        <w:t>From the background information supplied by the inventors, news correspondents obtained the following quote: "In certain circumstances, it is desirable to inject medication directly into human tissue. Typically, syringes or pen injection devices are used to inject medicaments into tissue areas, such as the intramuscular tissue layer, the subcutaneous tissue layer, and the intradermal tissue layer.</w:t>
      </w:r>
      <w:r>
        <w:br/>
      </w:r>
      <w:r>
        <w:br/>
      </w:r>
      <w:r>
        <w:t>"The assembly and operation of a typical pen injection device, as shown in FIGS. 1 and 2, is described in U.S. Patent Application Publication No. 2006/0229562, published on Oct. 12, 2006, which is hereby incorporated by reference in its entirety.</w:t>
      </w:r>
      <w:r>
        <w:br/>
      </w:r>
      <w:r>
        <w:br/>
      </w:r>
      <w:r>
        <w:t>"Pen injection devices, such as the exemplary pen injector 100, as shown in FIG. 1, typically comprise a dose knob/button 24, an outer sleeve 13, and a cap 21. The dose knob/button 24 allows a user to set the dosage of medication to be injected. The outer sleeve 13 is gripped by the user when injecting medication. The cap 21 is used by the user to securely hold the pen injector device 100 in a shirt pocket, purse or other suitable location.</w:t>
      </w:r>
      <w:r>
        <w:br/>
      </w:r>
      <w:r>
        <w:br/>
      </w:r>
      <w:r>
        <w:t>"FIG. 2 is an exploded view of an exemplary drug delivery pen shown in FIG. 1. The dose knob/button 24 has a dual purpose and is used to both set the dosage of the medication to be injected and to inject the dosed medicament via the lead screw 7 and stopper 15 through the medicament cartridge 12, which is attached to the drug delivery pen through a lower housing 17. In standard drug delivery pens, the dosing and delivery mechanisms are all found within the outer sleeve 13 and are not described in greater detail here as they are understood by those knowledgeable of the prior art. The distal movement of the plunger or stopper 15 within the medicament cartridge 12 causes medication to be forced into the needle 11 of the hub 20. The medicament cartridge 12 is sealed by septum 16, which is punctured by a septum penetrating needle cannula 18 located within the hub 20. The hub 20 is preferably screwed onto the lower housing 17, although other attachment means can be used such as attaching to the cartridge. To protect a user, or anyone who handles the pen injection device 100, an outer shield 69, which attaches to the hub 20, covers the hub. An inner shield 59 covers the patient needle 11 within the outer shield 69. The inner shield 59 can be secured to the hub 20 to cover the patient needle 11 by any suitable means, such as an interference fit or a snap fit. The outer shield 69 and inner shield 59 are removed prior to use. The cap 21 fits snugly against outer sleeve 13 to allow a user to securely carry the drug delivery pen 100.</w:t>
      </w:r>
      <w:r>
        <w:br/>
      </w:r>
      <w:r>
        <w:br/>
      </w:r>
      <w:r>
        <w:t>"The medicament cartridge 12 is typically a glass tube sealed at one end with the septum 16 and sealed at the other end with the stopper 15. The septum 16 is pierceable by a septum penetrating cannula 18 in the hub 20, but does not move with respect to the medicament cartridge 12. The stopper 15 is axially displaceable within the medicament cartridge 12 while maintaining a fluid tight seal.</w:t>
      </w:r>
      <w:r>
        <w:br/>
      </w:r>
      <w:r>
        <w:br/>
      </w:r>
      <w:r>
        <w:t>"Following an injection, the used needle 11 and hub assembly 20, or 'sharps', is removed and must be properly disposed of. Used sharps may become contaminated by body fluids and the like creating a hazard for anyone that may handle them following their use. Sharps disposal containers store the disposed sharps and prevent unintentional contact with any object disposed therein.</w:t>
      </w:r>
      <w:r>
        <w:br/>
      </w:r>
      <w:r>
        <w:br/>
      </w:r>
      <w:r>
        <w:t>"One problem associated with shipping new product and a sharps disposal container is that the new product and the sharps disposal container are each contained in separate rigid containers, such that the overall size of the shipping container is the size of both containers combined. Accordingly, a need exists for a shipping container that integrates a sharps disposal container with a new product storage container such that the size of the shipping container is substantially the same size as the larger of the storage container or the sharps disposal container."</w:t>
      </w:r>
      <w:r>
        <w:br/>
      </w:r>
      <w:r>
        <w:br/>
      </w:r>
      <w:r>
        <w:t>Supplementing the background information on this patent, VerticalNews reporters also obtained the inventors' summary information for this patent: "In accordance with an aspect of the present invention, the shipping container integrates a sharps disposal container with a storage container containing new product such that one container is disposed inside the other for shipping.</w:t>
      </w:r>
      <w:r>
        <w:br/>
      </w:r>
      <w:r>
        <w:br/>
      </w:r>
      <w:r>
        <w:t>"In accordance with another aspect of the present invention, a storage container containing new product is disposed within a sharps disposal container for shipping, thereby reducing the size of the shipping container.</w:t>
      </w:r>
      <w:r>
        <w:br/>
      </w:r>
      <w:r>
        <w:br/>
      </w:r>
      <w:r>
        <w:t>"In accordance with yet another aspect of the present invention, a sharps disposal container having a movable partition is disposed within a storage container for shipping, thereby reducing the size of the shipping container.</w:t>
      </w:r>
      <w:r>
        <w:br/>
      </w:r>
      <w:r>
        <w:br/>
      </w:r>
      <w:r>
        <w:t>"The shipping container of an exemplary embodiment of the present invention integrates a disposal container with a new product storage container for shipping. The storage container stores new product. A disposal container receives used product, such as used sharps. One of the storage container and the disposal container is nested within the other of the storage container and the disposal container for shipping. A lid is adapted to be connected to the outermost one of the disposal container and the storage container for shipping and to a top of the disposal container for receiving the used product. Accordingly, a shipping container is provided that is not significantly larger than required to store the new product.</w:t>
      </w:r>
      <w:r>
        <w:br/>
      </w:r>
      <w:r>
        <w:br/>
      </w:r>
      <w:r>
        <w:t>"Objects, advantages, and salient features of the invention will become apparent from the following detailed description, which, taken in conjunction with the annexed drawings, discloses exemplary embodiments of the invention."</w:t>
      </w:r>
      <w:r>
        <w:br/>
      </w:r>
      <w:r>
        <w:br/>
      </w:r>
      <w:r>
        <w:t>For the URL and additional information on this patent, see: Hwang, Charles G.; Horvath, Joshua D.; Schlenk, Christopher; Tunkel, Roman; Zaveri, Zenia. Shipping Container Integrating a Sharps Disposal Container with a New Product Storage Container. U.S. Patent Number 9144642, filed September 18, 2009, and published online on September 29, 2015. Patent URL: http://patft.uspto.gov/netacgi/nph-Parser?Sect1=PTO1&amp;Sect2=HITOFF&amp;d=PALL&amp;p=1&amp;u=%2Fnetahtml%2FPTO%2Fsrchnum.htm&amp;r=1&amp;f=G&amp;l=50&amp;s1=9144642.PN.&amp;OS=PN/9144642RS=PN/9144642</w:t>
      </w:r>
      <w:r>
        <w:br/>
      </w:r>
      <w:r>
        <w:br/>
      </w:r>
      <w:r>
        <w:t>Keywords for this news article include: Therapy, Transportation, Shipping Container, Drug Delivery Systems, Becton Dickinson and Company.</w:t>
      </w:r>
      <w:r>
        <w:br/>
      </w:r>
      <w:r>
        <w:br/>
      </w:r>
      <w:r>
        <w:t>Our reports deliver fact-based news of research and discoveries from around the world. Copyright 2015, NewsRx LLC</w:t>
      </w:r>
    </w:p>
    <w:p xmlns:wp14="http://schemas.microsoft.com/office/word/2010/wordml" w14:paraId="148394C6" wp14:textId="77777777">
      <w:pPr>
        <w:pStyle w:val="Heading1"/>
      </w:pPr>
      <w:r>
        <w:t>End of Article 10</w:t>
      </w:r>
    </w:p>
    <w:p xmlns:wp14="http://schemas.microsoft.com/office/word/2010/wordml" w14:paraId="0E27B00A" wp14:textId="77777777">
      <w:r>
        <w:br w:type="page"/>
      </w:r>
    </w:p>
    <w:p xmlns:wp14="http://schemas.microsoft.com/office/word/2010/wordml" w14:paraId="2A8A3CDE" wp14:textId="3951DBAF">
      <w:pPr>
        <w:pStyle w:val="Heading1"/>
      </w:pPr>
      <w:r w:rsidR="2B7B4B94">
        <w:rPr/>
        <w:t xml:space="preserve">Start of Article </w:t>
      </w:r>
      <w:r w:rsidRPr="2B7B4B94" w:rsidR="2B7B4B94">
        <w:rPr>
          <w:highlight w:val="yellow"/>
        </w:rPr>
        <w:t>11</w:t>
      </w:r>
      <w:r w:rsidRPr="2B7B4B94" w:rsidR="2B7B4B94">
        <w:rPr>
          <w:highlight w:val="yellow"/>
        </w:rPr>
        <w:t>-done</w:t>
      </w:r>
    </w:p>
    <w:p xmlns:wp14="http://schemas.microsoft.com/office/word/2010/wordml" w14:paraId="7A1031AF" wp14:textId="77777777">
      <w:pPr>
        <w:pStyle w:val="Heading1"/>
      </w:pPr>
      <w:r>
        <w:t>Document ID PHBW000020150716eb7g0000t</w:t>
      </w:r>
    </w:p>
    <w:p xmlns:wp14="http://schemas.microsoft.com/office/word/2010/wordml" w14:paraId="572B9D9D" wp14:textId="77777777">
      <w:r>
        <w:t>The complaint alleges that QRx Pharma issued false and misleading public statements and omitted material facts concerning the commercial prospects for its experiment drug Moxduo. Specifically, the complaint alleges that QRx Pharma failed to disclose to investors that it received a "no agreement letter" from the Food and Drug Administration ("FDA") regarding its Moxduo trials and further misrepresented and concealed other material facts concerning its attempts to get Moxduo approved. Upon the disclosure of an FDA memo which denied QRx Pharma's application to get Moxduo approved, the price of QRx Pharma ADRs plummeted over 83% on April 23, 2014.</w:t>
      </w:r>
      <w:r>
        <w:br/>
      </w:r>
      <w:r>
        <w:br/>
      </w:r>
      <w:r>
        <w:t>If you purchased QRx Pharma shares prior to April 23, 2014, have information or would like to learn more about these claims, or have any questions concerning this announcement or your rights or interests with respect to these matters, please contact Lesley Portnoy of Glancy Prongay &amp; Murray LLP, 1925 Century Park East, Suite 2100, Los Angeles, California 90067 at 310-201-9150, Toll-Free at 888-773-9224, by email to shareholders@glancylaw.com, or visit our website at http://www.glancylaw.com. If you inquire by email please include your mailing address, telephone number and number of shares purchased.</w:t>
      </w:r>
      <w:r>
        <w:br/>
      </w:r>
      <w:r>
        <w:br/>
      </w:r>
      <w:r>
        <w:t>This press release may be considered Attorney Advertising in some jurisdictions under the applicable law and ethical rules. View source version on businesswire.com: http://www.businesswire.com/news/home/20150706005598/en/</w:t>
      </w:r>
      <w:r>
        <w:br/>
      </w:r>
      <w:r>
        <w:br/>
      </w:r>
      <w:r>
        <w:t>Keywords for this news article include: Glancy Prongay &amp; Murray LLP.</w:t>
      </w:r>
      <w:r>
        <w:br/>
      </w:r>
      <w:r>
        <w:br/>
      </w:r>
      <w:r>
        <w:t>Our reports deliver fact-based news of research and discoveries from around the world. Copyright 2015, NewsRx LLC</w:t>
      </w:r>
    </w:p>
    <w:p xmlns:wp14="http://schemas.microsoft.com/office/word/2010/wordml" w14:paraId="4D4F66BE" wp14:textId="77777777">
      <w:pPr>
        <w:pStyle w:val="Heading1"/>
      </w:pPr>
      <w:r>
        <w:t>End of Article 11</w:t>
      </w:r>
    </w:p>
    <w:p xmlns:wp14="http://schemas.microsoft.com/office/word/2010/wordml" w14:paraId="60061E4C" wp14:textId="77777777">
      <w:r>
        <w:br w:type="page"/>
      </w:r>
    </w:p>
    <w:p xmlns:wp14="http://schemas.microsoft.com/office/word/2010/wordml" w14:paraId="5B6A1C71" wp14:textId="6F9DD3D8">
      <w:pPr>
        <w:pStyle w:val="Heading1"/>
      </w:pPr>
      <w:r w:rsidR="2B7B4B94">
        <w:rPr/>
        <w:t xml:space="preserve">Start of Article </w:t>
      </w:r>
      <w:r w:rsidRPr="2B7B4B94" w:rsidR="2B7B4B94">
        <w:rPr>
          <w:highlight w:val="yellow"/>
        </w:rPr>
        <w:t>12</w:t>
      </w:r>
      <w:r w:rsidRPr="2B7B4B94" w:rsidR="2B7B4B94">
        <w:rPr>
          <w:highlight w:val="yellow"/>
        </w:rPr>
        <w:t>-done</w:t>
      </w:r>
    </w:p>
    <w:p xmlns:wp14="http://schemas.microsoft.com/office/word/2010/wordml" w14:paraId="2BCCCE12" wp14:textId="77777777">
      <w:pPr>
        <w:pStyle w:val="Heading1"/>
      </w:pPr>
      <w:r>
        <w:t>Document ID DRIDY00020150623eb6n00002</w:t>
      </w:r>
    </w:p>
    <w:p xmlns:wp14="http://schemas.microsoft.com/office/word/2010/wordml" w14:paraId="21A68E12" wp14:textId="77777777">
      <w:r>
        <w:t>Fycompa was approved as an adjunctive treatment for partial-onset seizures in October 2012, but did not launch until January 2014. Eisai subsequently sued the FDA, claiming the government arbitrarily shortened its five-year exclusivity from generics competition.</w:t>
      </w:r>
      <w:r>
        <w:br/>
      </w:r>
      <w:r>
        <w:br/>
      </w:r>
      <w:r>
        <w:t>In a complaint filed in August 2014, Eisai argues that Fycompa's release was delayed because it needed to be scheduled by the Drug Enforcement Administration under the Controlled Substances Act, due to the potential for abuse (DID, Aug. 12, 2014).</w:t>
      </w:r>
      <w:r>
        <w:br/>
      </w:r>
      <w:r>
        <w:br/>
      </w:r>
      <w:r>
        <w:t>Eisai says the exclusivity clock started while the company was waiting for the drugs to be scheduled, when it would have been illegal to market them, and that that constitutes a violation of the guaranteed exclusivity. The firm filed a request June 16 in U.S. District Court for the District of Columbia for a status conference to resolve the matter. -- John Bechtel</w:t>
      </w:r>
      <w:r>
        <w:br/>
      </w:r>
      <w:r>
        <w:br/>
      </w:r>
      <w:r>
        <w:t>Release date: 20150623</w:t>
      </w:r>
    </w:p>
    <w:p xmlns:wp14="http://schemas.microsoft.com/office/word/2010/wordml" w14:paraId="66DB7AF3" wp14:textId="77777777">
      <w:pPr>
        <w:pStyle w:val="Heading1"/>
      </w:pPr>
      <w:r>
        <w:t>End of Article 12</w:t>
      </w:r>
    </w:p>
    <w:p xmlns:wp14="http://schemas.microsoft.com/office/word/2010/wordml" w14:paraId="44EAFD9C" wp14:textId="77777777">
      <w:r>
        <w:br w:type="page"/>
      </w:r>
    </w:p>
    <w:p xmlns:wp14="http://schemas.microsoft.com/office/word/2010/wordml" w14:paraId="49DC9E91" wp14:textId="77777777">
      <w:pPr>
        <w:pStyle w:val="Heading1"/>
      </w:pPr>
      <w:r>
        <w:t>Start of Article 13</w:t>
      </w:r>
    </w:p>
    <w:p xmlns:wp14="http://schemas.microsoft.com/office/word/2010/wordml" w14:paraId="525AB3AD" wp14:textId="77777777">
      <w:pPr>
        <w:pStyle w:val="Heading1"/>
      </w:pPr>
      <w:r>
        <w:t>Document ID BIOELSE020160107ebcn0000e</w:t>
      </w:r>
    </w:p>
    <w:p xmlns:wp14="http://schemas.microsoft.com/office/word/2010/wordml" w14:paraId="34163258" wp14:textId="77777777">
      <w:r>
        <w:t xml:space="preserve"> The approval of Xeomin (incobotulinumtoxinA) for the treatment of adult ULS is based on results of a randomized, multicentre, placebo-controlled trial showing significant improvements in two co-primary outcome parameters: muscle tone (Ashworth Scale score) and the Investigator's Global Impression of Change of the Primary Target Clinical Pattern (PTCP) at Week 4. Both showed statistical significance, with p is below 0.001 and p is 0.003 respectively. The trial also met a key secondary outcome measure, in which subjects with an improvement of 1 on the Ashworth Scale at Week 4 were classified as responders (p is below 0.001). Treatment related adverse events were reported for 3.8% and 1.9% of subjects treated with Xeomin (incobotulinumtoxinA) and placebo, respectively. The most commonly observed adverse reactions (incidence is 2% of patients and greater than placebo) for Xeomin were seizure (3%), nasopharyngitis (2%), dry mouth (2%), and upper respiratory tract infection (2%). Original Source: BioSpace.com, 2015. From website: http://www.biospace.com.</w:t>
      </w:r>
      <w:r>
        <w:br/>
      </w:r>
      <w:r>
        <w:br/>
      </w:r>
      <w:r>
        <w:t>BioSpace</w:t>
      </w:r>
      <w:r>
        <w:br/>
      </w:r>
      <w:r>
        <w:br/>
      </w:r>
      <w:r>
        <w:t>Website: http://www.biospace.com</w:t>
      </w:r>
    </w:p>
    <w:p xmlns:wp14="http://schemas.microsoft.com/office/word/2010/wordml" w14:paraId="4E935DEA" wp14:textId="77777777">
      <w:pPr>
        <w:pStyle w:val="Heading1"/>
      </w:pPr>
      <w:r>
        <w:t>End of Article 13</w:t>
      </w:r>
    </w:p>
    <w:p xmlns:wp14="http://schemas.microsoft.com/office/word/2010/wordml" w14:paraId="4B94D5A5" wp14:textId="77777777">
      <w:r>
        <w:br w:type="page"/>
      </w:r>
    </w:p>
    <w:p xmlns:wp14="http://schemas.microsoft.com/office/word/2010/wordml" w14:paraId="6C9ACCC4" wp14:textId="77777777">
      <w:pPr>
        <w:pStyle w:val="Heading1"/>
      </w:pPr>
      <w:r>
        <w:t>Start of Article 14</w:t>
      </w:r>
    </w:p>
    <w:p xmlns:wp14="http://schemas.microsoft.com/office/word/2010/wordml" w14:paraId="1EEB7839" wp14:textId="77777777">
      <w:pPr>
        <w:pStyle w:val="Heading1"/>
      </w:pPr>
      <w:r>
        <w:t>Document ID BIWK000020150515eb5k000no</w:t>
      </w:r>
    </w:p>
    <w:p xmlns:wp14="http://schemas.microsoft.com/office/word/2010/wordml" w14:paraId="79E001D5" wp14:textId="77777777">
      <w:r>
        <w:t>Investors and the general public are invited to listen to a live webcast of the presentation at www.ophthotech.com. Please connect to Ophthotech's website several minutes prior to the start of the presentation to ensure adequate time for any software download that may be necessary. A replay will be available for 14 days following the presentation. About Ophthotech Corporation Ophthotech is a biopharmaceutical company specializing in the development of novel therapeutics to treat back of the eye diseases, with a focus on developing innovative therapies for age-related macular degeneration (AMD). Ophthotech's most advanced product candidate, Fovista(R) anti-PDGF therapy, is in Phase 3 clinical trials for use in combination with anti-VEGF therapy that represents the current standard of care for the treatment of wet AMD. Ophthotech's second product candidate, Zimura(R), an inhibitor of complement factor C5, is being developed for the treatment of geographic atrophy (a form of dry AMD) and, potentially in combination with anti-VEGF therapy and Fovista(R), for the treatment of wet AMD. For more information, please visit www.ophthotech.com. Forward-looking Statements Any statements in this press release about Ophthotech's future expectations, plans and prospects constitute forward-looking statements for purposes of the safe harbor provisions under the Private Securities Litigation Reform Act of 1995. Actual results may differ materially from those indicated by such forward-looking statements as a result of various important factors. Any forward-looking statements represent Ophthotech's views only as of the date of this press release. Ophthotech anticipates that subsequent events and developments will cause its views to change. While Ophthotech may elect to update these forward-looking statements at some point in the future, Ophthotech specifically disclaims any obligation to do so. OPHT-G</w:t>
      </w:r>
      <w:r>
        <w:br/>
      </w:r>
      <w:r>
        <w:br/>
      </w:r>
      <w:r>
        <w:t>Keywords for this news article include: Pharmaceuticals, Therapy, Ophthotech Corporation.</w:t>
      </w:r>
      <w:r>
        <w:br/>
      </w:r>
      <w:r>
        <w:br/>
      </w:r>
      <w:r>
        <w:t>Our reports deliver fact-based news of research and discoveries from around the world. Copyright 2015, NewsRx LLC</w:t>
      </w:r>
    </w:p>
    <w:p xmlns:wp14="http://schemas.microsoft.com/office/word/2010/wordml" w14:paraId="5C4278A7" wp14:textId="77777777">
      <w:pPr>
        <w:pStyle w:val="Heading1"/>
      </w:pPr>
      <w:r>
        <w:t>End of Article 14</w:t>
      </w:r>
    </w:p>
    <w:p xmlns:wp14="http://schemas.microsoft.com/office/word/2010/wordml" w14:paraId="3DEEC669" wp14:textId="77777777">
      <w:r>
        <w:br w:type="page"/>
      </w:r>
    </w:p>
    <w:p xmlns:wp14="http://schemas.microsoft.com/office/word/2010/wordml" w14:paraId="00BC91B3" wp14:textId="77777777">
      <w:pPr>
        <w:pStyle w:val="Heading1"/>
      </w:pPr>
      <w:r>
        <w:t>Start of Article 15</w:t>
      </w:r>
    </w:p>
    <w:p xmlns:wp14="http://schemas.microsoft.com/office/word/2010/wordml" w14:paraId="7E5E76D4" wp14:textId="77777777">
      <w:pPr>
        <w:pStyle w:val="Heading1"/>
      </w:pPr>
      <w:r>
        <w:t>Document ID HAMW000020150723eb7n000ai</w:t>
      </w:r>
    </w:p>
    <w:p xmlns:wp14="http://schemas.microsoft.com/office/word/2010/wordml" w14:paraId="5570A435" wp14:textId="77777777">
      <w:r>
        <w:t>Upon completion of the acquisition of I.V.S., which is subject to the satisfaction of certain closing conditions, OphthaliX's portfolio of products in development will include two medical devices, Glance(TM), a desktop application, and vView(TM), wearable virtual reality goggles. These devices are based on breakthrough technologies that aim to diagnose, improve sight and offer therapy for a variety of ocular diseases and eye conditions including age related macular degeneration (AMD), glaucoma, diabetic retinopathy and oculo-motor pathologies.</w:t>
      </w:r>
      <w:r>
        <w:br/>
      </w:r>
      <w:r>
        <w:br/>
      </w:r>
      <w:r>
        <w:t>OphthaliX continues to develop its drug candidate, CF101, a novel first in class small molecule orally bioavailable drug for ophthalmic indications, glaucoma and uveitis.</w:t>
      </w:r>
      <w:r>
        <w:br/>
      </w:r>
      <w:r>
        <w:br/>
      </w:r>
      <w:r>
        <w:t>Keywords for this news article include: OpthaliX.</w:t>
      </w:r>
      <w:r>
        <w:br/>
      </w:r>
      <w:r>
        <w:br/>
      </w:r>
      <w:r>
        <w:t>Our reports deliver fact-based news of research and discoveries from around the world. Copyright 2015, NewsRx LLC</w:t>
      </w:r>
    </w:p>
    <w:p xmlns:wp14="http://schemas.microsoft.com/office/word/2010/wordml" w14:paraId="7D904EDB" wp14:textId="77777777">
      <w:pPr>
        <w:pStyle w:val="Heading1"/>
      </w:pPr>
      <w:r>
        <w:t>End of Article 15</w:t>
      </w:r>
    </w:p>
    <w:p xmlns:wp14="http://schemas.microsoft.com/office/word/2010/wordml" w14:paraId="3656B9AB" wp14:textId="77777777">
      <w:r>
        <w:br w:type="page"/>
      </w:r>
    </w:p>
    <w:p xmlns:wp14="http://schemas.microsoft.com/office/word/2010/wordml" w14:paraId="683C7493" wp14:textId="77777777">
      <w:pPr>
        <w:pStyle w:val="Heading1"/>
      </w:pPr>
      <w:r>
        <w:t>Start of Article 16</w:t>
      </w:r>
    </w:p>
    <w:p xmlns:wp14="http://schemas.microsoft.com/office/word/2010/wordml" w14:paraId="40599DC1" wp14:textId="77777777">
      <w:pPr>
        <w:pStyle w:val="Heading1"/>
      </w:pPr>
      <w:r>
        <w:t>Document ID BIWK000020150515eb5k000no</w:t>
      </w:r>
    </w:p>
    <w:p xmlns:wp14="http://schemas.microsoft.com/office/word/2010/wordml" w14:paraId="784A0B76" wp14:textId="77777777">
      <w:r>
        <w:t>Investors and the general public are invited to listen to a live webcast of the presentation at www.ophthotech.com. Please connect to Ophthotech's website several minutes prior to the start of the presentation to ensure adequate time for any software download that may be necessary. A replay will be available for 14 days following the presentation. About Ophthotech Corporation Ophthotech is a biopharmaceutical company specializing in the development of novel therapeutics to treat back of the eye diseases, with a focus on developing innovative therapies for age-related macular degeneration (AMD). Ophthotech's most advanced product candidate, Fovista(R) anti-PDGF therapy, is in Phase 3 clinical trials for use in combination with anti-VEGF therapy that represents the current standard of care for the treatment of wet AMD. Ophthotech's second product candidate, Zimura(R), an inhibitor of complement factor C5, is being developed for the treatment of geographic atrophy (a form of dry AMD) and, potentially in combination with anti-VEGF therapy and Fovista(R), for the treatment of wet AMD. For more information, please visit www.ophthotech.com. Forward-looking Statements Any statements in this press release about Ophthotech's future expectations, plans and prospects constitute forward-looking statements for purposes of the safe harbor provisions under the Private Securities Litigation Reform Act of 1995. Actual results may differ materially from those indicated by such forward-looking statements as a result of various important factors. Any forward-looking statements represent Ophthotech's views only as of the date of this press release. Ophthotech anticipates that subsequent events and developments will cause its views to change. While Ophthotech may elect to update these forward-looking statements at some point in the future, Ophthotech specifically disclaims any obligation to do so. OPHT-G</w:t>
      </w:r>
      <w:r>
        <w:br/>
      </w:r>
      <w:r>
        <w:br/>
      </w:r>
      <w:r>
        <w:t>Keywords for this news article include: Pharmaceuticals, Therapy, Ophthotech Corporation.</w:t>
      </w:r>
      <w:r>
        <w:br/>
      </w:r>
      <w:r>
        <w:br/>
      </w:r>
      <w:r>
        <w:t>Our reports deliver fact-based news of research and discoveries from around the world. Copyright 2015, NewsRx LLC</w:t>
      </w:r>
    </w:p>
    <w:p xmlns:wp14="http://schemas.microsoft.com/office/word/2010/wordml" w14:paraId="1598B80D" wp14:textId="77777777">
      <w:pPr>
        <w:pStyle w:val="Heading1"/>
      </w:pPr>
      <w:r>
        <w:t>End of Article 16</w:t>
      </w:r>
    </w:p>
    <w:p xmlns:wp14="http://schemas.microsoft.com/office/word/2010/wordml" w14:paraId="45FB0818" wp14:textId="77777777">
      <w:r>
        <w:br w:type="page"/>
      </w:r>
    </w:p>
    <w:p xmlns:wp14="http://schemas.microsoft.com/office/word/2010/wordml" w14:paraId="080DA12C" wp14:textId="77777777">
      <w:pPr>
        <w:pStyle w:val="Heading1"/>
      </w:pPr>
      <w:r>
        <w:t>Start of Article 17</w:t>
      </w:r>
    </w:p>
    <w:p xmlns:wp14="http://schemas.microsoft.com/office/word/2010/wordml" w14:paraId="78EEEF85" wp14:textId="77777777">
      <w:pPr>
        <w:pStyle w:val="Heading1"/>
      </w:pPr>
      <w:r>
        <w:t>Document ID ATPHAM0020151009eba80002e</w:t>
      </w:r>
    </w:p>
    <w:p xmlns:wp14="http://schemas.microsoft.com/office/word/2010/wordml" w14:paraId="01B32FFA" wp14:textId="77777777">
      <w:r>
        <w:t>Next-generation sequencing is increasingly used to support immuno-oncology studies. However, typical NGS cancer offerings fall short for immuno-oncology in a number of areas including sequence biases, gaps in gene coverage, narrow gene footprint, limited validation studies, lack of support for paired tumor/normal analysis, and lack of integrated RNA analysis. Personalis addresses these issues with proprietary Accuracy and Content Enhanced (ACE) technology to improve cancer panel, exome, and transcriptome sequencing. ACE fills in systematic NGS sequencing gaps through Personalis' enhanced targeted enrichment approach which optimizes sample prep and targeted capture in difficult to sequence regions such as regions of high-GC content. The ACE cancer exome and ACE cancer panel augment over 1600 cancer and immuno-oncology genes as well as key non-coding regions. High coverage ACE sequencing data provides sensitive detection of small variants and CNVs at low allele frequencies. In addition, RNA data from the same sample, targeted to the same gene set, is used to quantify gene expression-critical for immune-oncology applications-in addition to detecting gene fusions and confirming allelic expression. ACE ImmunoID features leading edge informatics pipelines supporting both RNA and DNA analysis as well as tumor normal analysis to aid in the detection of neoantigens. "We recognize the enormous importance of immuno-oncology research and are excited to be launching a comprehensive and accurate solution for our pharmaceutical, biotech and academic customers," says John West, CEO of Personalis.</w:t>
      </w:r>
      <w:r>
        <w:br/>
      </w:r>
      <w:r>
        <w:br/>
      </w:r>
      <w:r>
        <w:t>More information, including a comprehensive brochure detailing these new offerings can be found at: http://www.personalis.com/cancer/ace-services-for-immuno-oncology/</w:t>
      </w:r>
      <w:r>
        <w:br/>
      </w:r>
      <w:r>
        <w:br/>
      </w:r>
      <w:r>
        <w:t>Source: Personalis</w:t>
      </w:r>
    </w:p>
    <w:p xmlns:wp14="http://schemas.microsoft.com/office/word/2010/wordml" w14:paraId="27A8C906" wp14:textId="77777777">
      <w:pPr>
        <w:pStyle w:val="Heading1"/>
      </w:pPr>
      <w:r>
        <w:t>End of Article 17</w:t>
      </w:r>
    </w:p>
    <w:p xmlns:wp14="http://schemas.microsoft.com/office/word/2010/wordml" w14:paraId="049F31CB" wp14:textId="77777777">
      <w:r>
        <w:br w:type="page"/>
      </w:r>
    </w:p>
    <w:p xmlns:wp14="http://schemas.microsoft.com/office/word/2010/wordml" w14:paraId="35676AA4" wp14:textId="77777777">
      <w:pPr>
        <w:pStyle w:val="Heading1"/>
      </w:pPr>
      <w:r>
        <w:t>Start of Article 18</w:t>
      </w:r>
    </w:p>
    <w:p xmlns:wp14="http://schemas.microsoft.com/office/word/2010/wordml" w14:paraId="769C41A7" wp14:textId="77777777">
      <w:pPr>
        <w:pStyle w:val="Heading1"/>
      </w:pPr>
      <w:r>
        <w:t>Document ID PHBW000020150709eb7900005</w:t>
      </w:r>
    </w:p>
    <w:p xmlns:wp14="http://schemas.microsoft.com/office/word/2010/wordml" w14:paraId="3451F7AB" wp14:textId="77777777">
      <w:r>
        <w:t>Mr. Osborne has more than 20 years of life sciences experience, including 16 years as the Chief Financial Officer of publicly-traded or venture-backed companies. Most recently, Mr. Osborne was the Chief Financial Officer at SCYNEXIS, where he led the initial public and a follow-on offering on NASDAQ. Prior experiences include NOBEX, where he raised more than $60 million of venture capital, and International Murex Technologies Co., where he ran the world-wide finance group and which he helped sell to Abbott Laboratories. Mr. Osborne holds a B.S. in Accounting from the University of North Carolina at Chapel Hill.</w:t>
      </w:r>
      <w:r>
        <w:br/>
      </w:r>
      <w:r>
        <w:br/>
      </w:r>
      <w:r>
        <w:t>"This is an exciting time to be joining Innocrin as the company initiates Phase 2 castration-resistant prostate cancer (CRPC) and breast cancer studies of VT-464," said Mr. Osborne. "I'm excited to help the Innocrin team attain its goal of improving the lives of patients of high unmet medical need." About VT-464 VT-464 is a once-daily oral therapeutic given without prednisone. VT-464 selectively inhibits CYP17 lyase, a target of abiraterone, and blocks the androgen receptor (AR), the target of enzalutamide. There is a strong and growing body of preclinical and clinical evidence that shows that some abiraterone- or enzalutamide-resistant patients will respond to VT-464 treatment. Resistance to abiraterone, enzalutamide or both represents a major unmet medical need due to the widespread and growing use of these new agents, and their high cross-resistance (e.g., patients who have been treated with either abiraterone or enzlutamide typically do not respond to the other).</w:t>
      </w:r>
      <w:r>
        <w:br/>
      </w:r>
      <w:r>
        <w:br/>
      </w:r>
      <w:r>
        <w:t>VT-464 may also have significant potential for the treatment of breast cancer due to its selective inhibition of CYP17 lyase, which results in the depletion of both androgens and estrogens, in addition to its AR antagonist activity. It is thought that the AR may stimulate disease progression in some patients whose tumors are triple-negative or are ER+ but have become resistant to ER-directed therapies such as aromatase inhibitors or tamoxifen. Recent preclinical study results have confirmed that VT-464 more potently blocks the growth of ER+ and/or AR+ breast cancer cells more potently than enzalutamide. About Prostate Cancer Prostate cancer is the second most common form of cancer affecting men in the United States: an estimated one in six will be diagnosed with prostate cancer in his lifetime. The American Cancer Society estimates that approximately 240,000 new cases of prostate cancer will be diagnosed and about 30,000 men will die of the disease this year, and that approximately two million men in the U.S. currently count themselves among prostate cancer survivors. About Breast Cancer Each year over 230,000 new cases of breast cancer are diagnosed in the United States, with almost 40,000 deaths attributable to the disease. While estrogen deprivation is currently the standard of care for postmenopausal women with hormone receptor-positive breast cancer, the majority of patients eventually develop resistance. Though patients with the ER+/AR+ subtype comprise ~75% of all metastatic BC cases, the most significant unmet need lis the triple-negative subtype, a population that might respond well to anti-androgen therapies as evidenced by recent results from a Phase 2 study using enzalutamide. About Innocrin Pharmaceuticals, Inc. (www.innocrinpharma.com)</w:t>
      </w:r>
      <w:r>
        <w:br/>
      </w:r>
      <w:r>
        <w:br/>
      </w:r>
      <w:r>
        <w:t>Innocrin discovers and develops novel, best-in-class oral inhibitors of CYP17 lyase, a validated enzyme target for the treatment of castration-resistant prostate cancer (CRPC). VT-464 and structurally-related classes of CYP17 inhibitors are wholly owned by Innocrin. CYP17 lyase inhibitors may also have high commercial potential for the treatment of breast cancer as well as non-oncologic syndromes that are due to hormonal excess including endometriosis, polycystic ovary syndrome and congenital adrenal hyperplasia. Innocrin's investors include the Novartis Venture Fund, Eshelman Ventures, Lilly Ventures, Hatteras Venture Partners, Intersouth Partners, Lurie Holdings, and Astellas Venture Management. View source version on businesswire.com: http://www.businesswire.com/news/home/20150701005954/en/</w:t>
      </w:r>
      <w:r>
        <w:br/>
      </w:r>
      <w:r>
        <w:br/>
      </w:r>
      <w:r>
        <w:t>Keywords for this news article include: Innocrin Pharmaceuticals Inc., Investment and Finance.</w:t>
      </w:r>
      <w:r>
        <w:br/>
      </w:r>
      <w:r>
        <w:br/>
      </w:r>
      <w:r>
        <w:t>Our reports deliver fact-based news of research and discoveries from around the world. Copyright 2015, NewsRx LLC</w:t>
      </w:r>
    </w:p>
    <w:p xmlns:wp14="http://schemas.microsoft.com/office/word/2010/wordml" w14:paraId="1CAA193A" wp14:textId="77777777">
      <w:pPr>
        <w:pStyle w:val="Heading1"/>
      </w:pPr>
      <w:r>
        <w:t>End of Article 18</w:t>
      </w:r>
    </w:p>
    <w:p xmlns:wp14="http://schemas.microsoft.com/office/word/2010/wordml" w14:paraId="53128261" wp14:textId="77777777">
      <w:r>
        <w:br w:type="page"/>
      </w:r>
    </w:p>
    <w:p xmlns:wp14="http://schemas.microsoft.com/office/word/2010/wordml" w14:paraId="07DDDC5C" wp14:textId="77777777">
      <w:pPr>
        <w:pStyle w:val="Heading1"/>
      </w:pPr>
      <w:r>
        <w:t>Start of Article 19</w:t>
      </w:r>
    </w:p>
    <w:p xmlns:wp14="http://schemas.microsoft.com/office/word/2010/wordml" w14:paraId="5998E63A" wp14:textId="77777777">
      <w:pPr>
        <w:pStyle w:val="Heading1"/>
      </w:pPr>
      <w:r>
        <w:t>Document ID CTRW000020150626eb6t000a0</w:t>
      </w:r>
    </w:p>
    <w:p xmlns:wp14="http://schemas.microsoft.com/office/word/2010/wordml" w14:paraId="6AE4DBBB" wp14:textId="77777777">
      <w:r>
        <w:t>Our news journalists obtained a quote from the research from Case Western Reserve University, "Summary of Background Data: rhBMP-2 has been increasingly used in spinal fusions over the past decade. Early studies reported that the use of rhBMP-2 is associated with decreased operative time, blood loss, and pain scores, as well as improved fusion rates. Recent investigations have shown rhBMP-2 to be associated with various complications occurring at incidences ranging from 0% to 100%. Using the institutional electronic medical records, we retrospectively reviewed all patients between January 2002 and September 2010 that underwent thoracolumbar and lumbar spine fusion with BMP. Patient demographics, operative, and outcome/complication information was collected. A total of 547 patient charts were reviewed with a mean follow-up time of 17 months. Mean age was 58 years. Forty-one percent of patients had undergone previous spine surgery. Thirty-nine percent of patients had a PLIF/TLIF, 29% underwent a PLF, and 20% an ALIF. No relevant differences in the patient characteristics and complications were identified between the various surgical approaches. For all approaches, having undergone a previous spine surgery was associated with increased incidence of radiculitis, reoperation, and pseudoarthrosis (P=0.005, 0.0008, 0.05, respectively) as compared with those without previous spine surgery. Being a current smoker at the time of operation was associated with increased rate of radiculitis (P=0.03) as compared with nonsmokers. The use of rhBMP-2, in this study, had an incidence of radiculitis, pseudoarthrosis, and reoperation that was similar to the rates in historical controls without rhBMP-2. Complications do not differ by surgical approach, but are more likely in current smokers and those undergoing revision surgery."</w:t>
      </w:r>
      <w:r>
        <w:br/>
      </w:r>
      <w:r>
        <w:br/>
      </w:r>
      <w:r>
        <w:t>According to the news editors, the research concluded: "A prospective study is warranted to further delineate the adverse event profile of rhBMP-2 and the variables that are likely to affect it (ie, type of surgery, carrier, and dose)."</w:t>
      </w:r>
      <w:r>
        <w:br/>
      </w:r>
      <w:r>
        <w:br/>
      </w:r>
      <w:r>
        <w:t>For more information on this research see: Adverse Events With the Use of rhBMP-2 in Thoracolumbar and Lumbar Spine Fusions A 9-Year Institutional Analysis. Journal of Spinal Disorders &amp; Techniques, 2015;28(5):E277-E283. Journal of Spinal Disorders &amp; Techniques can be contacted at: Lippincott Williams &amp; Wilkins, Two Commerce Sq, 2001 Market St, Philadelphia, PA 19103, USA. (Lippincott Williams and Wilkins - www.lww.com; Journal of Spinal Disorders &amp; Techniques - journals.lww.com/jspinaldisorders/pages/default.aspx)</w:t>
      </w:r>
      <w:r>
        <w:br/>
      </w:r>
      <w:r>
        <w:br/>
      </w:r>
      <w:r>
        <w:t>Our news journalists report that additional information may be obtained by contacting D. Lubelski, Case Western Reserve University, Cleveland, OH 44106, United States. Additional authors for this research include K.G. Abdullah, M.P. Steinmetz, M.D. Alvin, A.S. Nowacki, S. Chakka, E.C. Benzel and T.E. Mroz.</w:t>
      </w:r>
      <w:r>
        <w:br/>
      </w:r>
      <w:r>
        <w:br/>
      </w:r>
      <w:r>
        <w:t>Keywords for this news article include: Ohio, Surgery, Cleveland, United States, Health and Medicine, North and Central America</w:t>
      </w:r>
      <w:r>
        <w:br/>
      </w:r>
      <w:r>
        <w:br/>
      </w:r>
      <w:r>
        <w:t>Our reports deliver fact-based news of research and discoveries from around the world. Copyright 2015, NewsRx LLC</w:t>
      </w:r>
    </w:p>
    <w:p xmlns:wp14="http://schemas.microsoft.com/office/word/2010/wordml" w14:paraId="33BA6BBB" wp14:textId="77777777">
      <w:pPr>
        <w:pStyle w:val="Heading1"/>
      </w:pPr>
      <w:r>
        <w:t>End of Article 19</w:t>
      </w:r>
    </w:p>
    <w:p xmlns:wp14="http://schemas.microsoft.com/office/word/2010/wordml" w14:paraId="62486C05" wp14:textId="77777777">
      <w:r>
        <w:br w:type="page"/>
      </w:r>
    </w:p>
    <w:p xmlns:wp14="http://schemas.microsoft.com/office/word/2010/wordml" w14:paraId="5ABD0470" wp14:textId="77777777">
      <w:pPr>
        <w:pStyle w:val="Heading1"/>
      </w:pPr>
      <w:r>
        <w:t>Start of Article 20</w:t>
      </w:r>
    </w:p>
    <w:p xmlns:wp14="http://schemas.microsoft.com/office/word/2010/wordml" w14:paraId="390F4F4D" wp14:textId="77777777">
      <w:pPr>
        <w:pStyle w:val="Heading1"/>
      </w:pPr>
      <w:r>
        <w:t>Document ID DJDN000020150930eb9u001fg</w:t>
      </w:r>
    </w:p>
    <w:p xmlns:wp14="http://schemas.microsoft.com/office/word/2010/wordml" w14:paraId="05C6BAFA" wp14:textId="77777777">
      <w:r>
        <w:t>Company Initiates Efforts to Secure Global Development and Commercialization Partner</w:t>
      </w:r>
      <w:r>
        <w:br/>
      </w:r>
      <w:r>
        <w:br/>
      </w:r>
      <w:r>
        <w:t>SAN DIEGO, Sept. 30, 2015 (GLOBE NEWSWIRE) -- Zogenix, Inc. (Nasdaq:ZGNX), a pharmaceutical company developing therapies for the treatment of central nervous system (CNS) disorders, today announced positive top-line pharmacokinetic results from its Phase 1b multi-dose clinical trial of Relday(TM) , a proprietary, once-monthly subcutaneous investigational formulation of risperidone for the treatment of schizophrenia. If approved, Relday has the potential to be the first subcutaneous antipsychotic product that achieves therapeutic drug levels on the first day of administration, allows for once-monthly dosing and does not require reconstitution. Zogenix has retained Locust Walk Partners of Cambridge, MA, a transaction advisory firm for life sciences companies, to provide transaction advisory and support services for Relday, and has now initiated efforts to secure a global strategic development and commercialization partner for Relday.</w:t>
      </w:r>
      <w:r>
        <w:br/>
      </w:r>
      <w:r>
        <w:br/>
      </w:r>
      <w:r>
        <w:t>The Phase 1b multi-dose parallel group clinical trial enrolled 60 subjects comprised of three cohorts of patients receiving four monthly injections of Relday, at dose levels of either 60, 90 or 120 mg of risperidone per month. A fourth cohort received five bi-weekly intramuscular injections of Risperdal(R) Consta(R) . Risperdal Consta requires oral supplementation for the first three weeks following dosing initiation, and requires at least four doses to reach steady state. The results for Relday demonstrated that risperidone plasma concentrations in the therapeutic range were achieved on the first day of dosing, reached steady state levels following the second dose and consistently maintained therapeutic levels throughout the four-month period. In addition, dose proportionality was confirmed across the dose range intended for clinical practice (60 to 120 mg). Relday was generally safe and well-tolerated, with results consistent with the profile of risperidone and the Company's previous Phase 1 single-dose clinical trial.</w:t>
      </w:r>
      <w:r>
        <w:br/>
      </w:r>
      <w:r>
        <w:br/>
      </w:r>
      <w:r>
        <w:t>"With the positive top-line results from the Phase 1b multi-dose trial, Relday is now well-positioned to begin a Phase 3 program once a development and commercialization partner is secured," said Stephen Farr, Ph.D., President and CEO of Zogenix. "Our market research indicates that Relday, if approved, has the potential to address a medical need within the schizophrenia treatment landscape by becoming the first monthly subcutaneous antipsychotic product that achieves therapeutic drug levels on the first day of administration, thereby eliminating the need for loading dose regimens upon therapy initiation or following a missed dose."</w:t>
      </w:r>
      <w:r>
        <w:br/>
      </w:r>
      <w:r>
        <w:br/>
      </w:r>
      <w:r>
        <w:t>Risperidone is one of the most widely prescribed medications used to treat the symptoms of schizophrenia in adults and teenagers 13 years of age and older. The injectable formulation of risperidone, Risperdal Consta, requires twice-a-month dosing, oral supplementation during therapy initiation, intramuscular injection and drug reconstitution prior to use.</w:t>
      </w:r>
      <w:r>
        <w:br/>
      </w:r>
      <w:r>
        <w:br/>
      </w:r>
      <w:r>
        <w:t>About Relday(TM)</w:t>
      </w:r>
      <w:r>
        <w:br/>
      </w:r>
      <w:r>
        <w:br/>
      </w:r>
      <w:r>
        <w:t>If approved, Relday has the potential to be the first subcutaneous antipsychotic product that allows for once-monthly dosing and achieves therapeutic drug levels on the first day of administration. Zogenix believes that Relday will offer an improved pharmacokinetic (PK) profile, significant reduction in injection volume and a simplified dosing regimen (e.g., no need for loading dose) due to DURECT's (Nasdaq:DRRX) SABER(R) controlled-release depot technology. In July 2011, Zogenix licensed from DURECT exclusive global rights to develop and commercialize this proprietary formulation which utilizes DURECT's SABER(R) depot technology.</w:t>
      </w:r>
      <w:r>
        <w:br/>
      </w:r>
      <w:r>
        <w:br/>
      </w:r>
      <w:r>
        <w:t>The Phase 1b multi-dose clinical trial for Relday was conducted as a single-center, open-label, safety and PK trial of 60 patients with chronic, stable schizophrenia or schizoaffective disorder across a dose range of 60, 90 and 120 mg, and included a comparator arm of Risperdal Consta.</w:t>
      </w:r>
      <w:r>
        <w:br/>
      </w:r>
      <w:r>
        <w:br/>
      </w:r>
      <w:r>
        <w:t>About Zogenix</w:t>
      </w:r>
      <w:r>
        <w:br/>
      </w:r>
      <w:r>
        <w:br/>
      </w:r>
      <w:r>
        <w:t>Zogenix, Inc. (Nasdaq:ZGNX) is a pharmaceutical company committed to developing and commercializing CNS therapies that address specific clinical needs for people living with orphan and other CNS disorders who need innovative treatment alternatives to help them return to normal daily functioning.</w:t>
      </w:r>
      <w:r>
        <w:br/>
      </w:r>
      <w:r>
        <w:br/>
      </w:r>
      <w:r>
        <w:t>For more information, visit www.zogenix.com.</w:t>
      </w:r>
      <w:r>
        <w:br/>
      </w:r>
      <w:r>
        <w:br/>
      </w:r>
      <w:r>
        <w:t>Forward-Looking Statements</w:t>
      </w:r>
      <w:r>
        <w:br/>
      </w:r>
      <w:r>
        <w:br/>
      </w:r>
      <w:r>
        <w:t>Zogenix cautions you that statements included in this press release that are not a description of historical facts are forward-looking statements. Words such as "believes," "anticipates," "plans," "expects," "indicates," "will," "intends," "potential," "suggests," "assuming" and similar expressions are intended to identify forward-looking statements. These statements are based on the company's current beliefs and expectations. These forward-looking statements include statements regarding delivery and dosing benefits of Relday to both the patient and clinician, the viability of Relday, initiation of a multi-dose clinical trial and Phase 3 development studies for Relday, Zogenix's ability to secure a global strategic development partner for rest-of-world development and commercialization of Relday, Zogenix's ability to initiate a Phase 3 clinical trial for Relday based on results from the Phase 1b clinical trial, the introduction of DosePro technology and the timing thereof, the ability of such product to address the global anti-psychotic market, and the ability to develop a once-monthly injectable product with improved pharmacokinetics and significant reduction in injection volume. The inclusion of forward-looking statements should not be regarded as a representation by Zogenix that any of its plans will be achieved. Actual results may differ from those set forth in this release due to the risk and uncertainties inherent in Zogenix's business, including, without limitation: the uncertainties associated with the clinical development and regulatory approval of product candidates such as Relday, including potential delays in enrollment and completion of clinical trials; potential delays in the initiation of a Phase 3 program for Relday or the requirement that Zogenix conduct additional development activities prior to initiating such Phase 3 program; Zogenix's dependence on its collaboration with DURECT Corporation to develop Relday; inadequate therapeutic efficacy or unexpected adverse side effects relating to Relday that could prevent its development or commercialization; difficulties in identifying, negotiating, executing and carrying out strategic transactions relating to Relday; the terms of any development or commercialization partnership for Relday may not be favorable, and the partner may not perform as expected; the market potential for anti-psychotics, and Zogenix's ability to compete within that market; Zogenix's ability to obtain and the validity and duration of patent protection and other intellectual property rights for Relday; and other risks described in the company's prior press releases and filings with the Securities and Exchange Commission.</w:t>
      </w:r>
      <w:r>
        <w:br/>
      </w:r>
      <w:r>
        <w:br/>
      </w:r>
      <w:r>
        <w:t>You are cautioned not to place undue reliance on these forward-looking statements, which speak only as of the date hereof, and Zogenix undertakes no obligation to revise or update this release to reflect events or circumstances after the date hereof. All forward-looking statements are qualified in their entirety by this cautionary statement. This caution is made under the safe harbor provisions of Section 21E of the Private Securities Litigation Reform Act of 1995.</w:t>
      </w:r>
      <w:r>
        <w:br/>
      </w:r>
      <w:r>
        <w:br/>
      </w:r>
      <w:r>
        <w:t>Relday(TM) is a trademark of Zogenix, Inc.</w:t>
      </w:r>
      <w:r>
        <w:br/>
      </w:r>
      <w:r>
        <w:br/>
      </w:r>
      <w:r>
        <w:t xml:space="preserve">SABER(R) is a trademark of DURECT Corporation. </w:t>
      </w:r>
      <w:r>
        <w:br/>
      </w:r>
      <w:r>
        <w:br/>
      </w:r>
      <w:r>
        <w:br/>
      </w:r>
      <w:r>
        <w:t xml:space="preserve">CONTACT: Investors: Andrew McDonald </w:t>
      </w:r>
      <w:r>
        <w:br/>
      </w:r>
      <w:r>
        <w:t xml:space="preserve">         Founding Partner, LifeSci Advisors LLC </w:t>
      </w:r>
      <w:r>
        <w:br/>
      </w:r>
      <w:r>
        <w:t xml:space="preserve">         646-597-6987 | Andrew@lifesciadvisors.com </w:t>
      </w:r>
      <w:r>
        <w:br/>
      </w:r>
      <w:r>
        <w:br/>
      </w:r>
      <w:r>
        <w:t>30 Sep 2015 08:01 ET *Zogenix Reports Positive Top-Line Results From Relday Phase 1B Multi-Dose Clinical Trial</w:t>
      </w:r>
      <w:r>
        <w:br/>
      </w:r>
      <w:r>
        <w:br/>
      </w:r>
      <w:r>
        <w:t>30 Sep 2015 08:01 ET *Zogenix: Product Candidate Now Ready for Phase 3</w:t>
      </w:r>
      <w:r>
        <w:br/>
      </w:r>
      <w:r>
        <w:br/>
      </w:r>
      <w:r>
        <w:t>30 Sep 2015 08:02 ET *Zogenix: Relday is a Once-Monthly Subcutaneous Formulation of Risperidone for Treating Schizophrenia</w:t>
      </w:r>
      <w:r>
        <w:br/>
      </w:r>
      <w:r>
        <w:br/>
      </w:r>
      <w:r>
        <w:t>(MORE TO FOLLOW) Dow Jones Newswires (212-416-2800)</w:t>
      </w:r>
      <w:r>
        <w:br/>
      </w:r>
      <w:r>
        <w:br/>
      </w:r>
      <w:r>
        <w:t>September 30, 2015 08:02 ET (12:02 GMT)</w:t>
      </w:r>
    </w:p>
    <w:p xmlns:wp14="http://schemas.microsoft.com/office/word/2010/wordml" w14:paraId="75DF0169" wp14:textId="77777777">
      <w:pPr>
        <w:pStyle w:val="Heading1"/>
      </w:pPr>
      <w:r>
        <w:t>End of Article 20</w:t>
      </w:r>
    </w:p>
    <w:p xmlns:wp14="http://schemas.microsoft.com/office/word/2010/wordml" w14:paraId="4101652C" wp14:textId="77777777">
      <w:r>
        <w:br w:type="page"/>
      </w:r>
    </w:p>
    <w:p xmlns:wp14="http://schemas.microsoft.com/office/word/2010/wordml" w14:paraId="6A7A9B8C" wp14:textId="77777777">
      <w:pPr>
        <w:pStyle w:val="Heading1"/>
      </w:pPr>
      <w:r>
        <w:t>Start of Article 21</w:t>
      </w:r>
    </w:p>
    <w:p xmlns:wp14="http://schemas.microsoft.com/office/word/2010/wordml" w14:paraId="30098506" wp14:textId="77777777">
      <w:pPr>
        <w:pStyle w:val="Heading1"/>
      </w:pPr>
      <w:r>
        <w:t>Document ID JOENG00020150928eb9s000wd</w:t>
      </w:r>
    </w:p>
    <w:p xmlns:wp14="http://schemas.microsoft.com/office/word/2010/wordml" w14:paraId="33411224" wp14:textId="77777777">
      <w:r>
        <w:t>Reporters obtained the following quote from the background information supplied by the inventors: "The present disclosure generally relates to clinical analysis and medical diagnostics and, in particular, to an instrument and process for the automated processing of liquid samples.</w:t>
      </w:r>
      <w:r>
        <w:br/>
      </w:r>
      <w:r>
        <w:br/>
      </w:r>
      <w:r>
        <w:t>"In recent years, a strong demand for the automated analysis of liquid samples has been observed, which is primarily due to the fact that there is an ongoing increase in the number of clinical analyses. Sample analysis most typically involves mixing of the samples with one or more reagents for determining the absence/presence and optionally concentration of one or more analytes contained therein. Commercially available analyzers typically use pipetting robots for pipetting samples and reagents.</w:t>
      </w:r>
      <w:r>
        <w:br/>
      </w:r>
      <w:r>
        <w:br/>
      </w:r>
      <w:r>
        <w:t>"Many reagents have to be cooled and/or conditioned (e.g. mixed) before their use. In daily practice, it is convenient to cool-store the reagent containers obtained from a supplier and to leave the reagents therein until the reagent is needed. Commercially available instruments for the automated processing of liquid samples often comprise a dedicated loading device for loading the cooled reagent containers on a handling device such as a container carousel for withdrawing portions of the pre-cooled reagents contained therein with a pipette inserted through a container opening.</w:t>
      </w:r>
      <w:r>
        <w:br/>
      </w:r>
      <w:r>
        <w:br/>
      </w:r>
      <w:r>
        <w:t>"Due to the fact that reaction conditions may vary with temperatures, many reactions for analyzing liquid samples require that the sample/reagent mixtures are heated or incubated prior to transferring the reacted sample to an analyzer. Usually, the temperature of the sample/reagent mixtures is raised and kept constant for at least one specific time interval to enable the desired reactions to run and to provide a generally controlled environment under which the reactions may be carried out. As a result, comparable analytical results may be reliably obtained.</w:t>
      </w:r>
      <w:r>
        <w:br/>
      </w:r>
      <w:r>
        <w:br/>
      </w:r>
      <w:r>
        <w:t>"There is a need for an improved automated instrument for analyzing samples involving the use of cooled reagents to prepare sample/reagent mixtures and involving incubation of the sample/reagent mixtures in order to obtain the reacted sample that has a reduced footprint and has an improved workflow for processing the liquid samples."</w:t>
      </w:r>
      <w:r>
        <w:br/>
      </w:r>
      <w:r>
        <w:br/>
      </w:r>
      <w:r>
        <w:t>In addition to obtaining background information on this patent, VerticalNews editors also obtained the inventors' summary information for this patent: "According to the present disclosure, an automated instrument for processing liquid samples is presented. The instrument can comprise a sampling area for receiving samples and reaction vessels, an analytical area comprising a first device resource comprising at least one analytical device for analyzing the samples, a reaction area comprising a conveyor provided with a plurality of holders for storing reagent containers for containing reagents and an incubator configured for receiving one or more of the reaction vessels for incubating the samples contained therein, and a second device resource comprising first functional devices selected from at least one first gripper for gripping the reaction vessels and at least one first pipettor for pipetting liquids. The first functional devices can have access to the sampling area and the reaction area such as to transfer reaction vessels from the sampling area to the incubator and to pipette samples and/or reagents into the reaction vessels. The instrument can further comprise a third device resource comprising second functional devices selected from at least one second gripper for gripping the reaction vessels and at least one second pipettor for pipetting liquids. The second functional devices can have access to the reaction area and the analytical area such as to transfer reaction vessels from the incubator to the analytical area and to dispense and/or withdraw one or more liquids to/from the reaction vessels transferred to analytical area. Finally, the instrument can comprise a controller, which operates the first, second and third device resources for processing a sample. At least two of the device resources can be at least temporarily operated in parallel for processing two or more samples.</w:t>
      </w:r>
      <w:r>
        <w:br/>
      </w:r>
      <w:r>
        <w:br/>
      </w:r>
      <w:r>
        <w:t>"In accordance with one embodiment of the present disclosure, a process for the automated processing of liquid samples is also presented. The process can comprise providing a conveyor having plural holders for storing reagent containers provided with one or more reagent containers. The holders are at least partly surrounding a central region containing an incubator for receiving one or more reaction vessels. A first gripper transfers at least one of the reaction vessels from a sampling area to the incubator. The conveyor can be moved with respect to the incubator such as to move at least one reagent container in a pipetting position for pipetting reagent contained therein. A first pipettor pipettes the reagent to the reaction vessel received in the incubator. The first pipettor pipettes sample contained in the sampling area to the reaction vessel in the incubator containing the reagent. The sample-reagent mixture can be incubated such as to obtain a reacted sample. A gripper can transfer the reaction vessel containing the reacted sample from the incubator to an analytical area provided with at least one analytical device for analyzing samples. The reacted sample can be transferred from the reaction vessel to the at least one analytical device for analysis thereof with respect to at least one analyte.</w:t>
      </w:r>
      <w:r>
        <w:br/>
      </w:r>
      <w:r>
        <w:br/>
      </w:r>
      <w:r>
        <w:t>"Accordingly, it is a feature of the embodiments of the present disclosure to provide an improved automated instrument for analyzing samples involving the use of cooled reagents to prepare sample/reagent mixtures and involving incubation of the sample/reagent mixtures in order to obtain the reacted sample that has a reduced footprint and has an improved workflow for processing the liquid samples. Other features of the embodiments of the present disclosure will be apparent in light of the description of the disclosure embodied herein."</w:t>
      </w:r>
      <w:r>
        <w:br/>
      </w:r>
      <w:r>
        <w:br/>
      </w:r>
      <w:r>
        <w:t>For more information, see this patent: Frey, Rolf; Schacher, Gottlieb. Instrument and Process for the Automated Processing of Liquid Samples. U.S. Patent Number 9134332, filed July 12, 2012, and published online on September 15, 2015. Patent URL: http://patft.uspto.gov/netacgi/nph-Parser?Sect1=PTO1&amp;Sect2=HITOFF&amp;d=PALL&amp;p=1&amp;u=%2Fnetahtml%2FPTO%2Fsrchnum.htm&amp;r=1&amp;f=G&amp;l=50&amp;s1=9134332.PN.&amp;OS=PN/9134332RS=PN/9134332</w:t>
      </w:r>
      <w:r>
        <w:br/>
      </w:r>
      <w:r>
        <w:br/>
      </w:r>
      <w:r>
        <w:t>Keywords for this news article include: Roche Diagnostics Operations Inc.</w:t>
      </w:r>
      <w:r>
        <w:br/>
      </w:r>
      <w:r>
        <w:br/>
      </w:r>
      <w:r>
        <w:t>Our reports deliver fact-based news of research and discoveries from around the world. Copyright 2015, NewsRx LLC</w:t>
      </w:r>
    </w:p>
    <w:p xmlns:wp14="http://schemas.microsoft.com/office/word/2010/wordml" w14:paraId="4DF1E517" wp14:textId="77777777">
      <w:pPr>
        <w:pStyle w:val="Heading1"/>
      </w:pPr>
      <w:r>
        <w:t>End of Article 21</w:t>
      </w:r>
    </w:p>
    <w:p xmlns:wp14="http://schemas.microsoft.com/office/word/2010/wordml" w14:paraId="4B99056E" wp14:textId="77777777">
      <w:r>
        <w:br w:type="page"/>
      </w:r>
    </w:p>
    <w:p xmlns:wp14="http://schemas.microsoft.com/office/word/2010/wordml" w14:paraId="7079CD0E" wp14:textId="77777777">
      <w:pPr>
        <w:pStyle w:val="Heading1"/>
      </w:pPr>
      <w:r>
        <w:t>Start of Article 22</w:t>
      </w:r>
    </w:p>
    <w:p xmlns:wp14="http://schemas.microsoft.com/office/word/2010/wordml" w14:paraId="6829FD1E" wp14:textId="77777777">
      <w:pPr>
        <w:pStyle w:val="Heading1"/>
      </w:pPr>
      <w:r>
        <w:t>Document ID RTTNEW0020150304eb33000xe</w:t>
      </w:r>
    </w:p>
    <w:p xmlns:wp14="http://schemas.microsoft.com/office/word/2010/wordml" w14:paraId="18F25337" wp14:textId="77777777">
      <w:r>
        <w:t>Mr. Watts most recently served as President, Weight Watchers Health Solutions. Prior to Weight Watchers, he held the role of Chief Innovation Officer at Walgreens. Watts also held senior leadership positions at Campbell Soup Company, and was Worldwide President, McNeil Consumer Healthcare and Worldwide President, McNeil Nutritionals, part of the Johnson &amp; Johnson family of companies.</w:t>
      </w:r>
      <w:r>
        <w:br/>
      </w:r>
      <w:r>
        <w:br/>
      </w:r>
      <w:r>
        <w:t>For comments and feedback: contact editorial@rttnews.com</w:t>
      </w:r>
      <w:r>
        <w:br/>
      </w:r>
      <w:r>
        <w:br/>
      </w:r>
      <w:r>
        <w:t>Copyright(c) 2015 RTTNews.com. All Rights Reserved</w:t>
      </w:r>
    </w:p>
    <w:p xmlns:wp14="http://schemas.microsoft.com/office/word/2010/wordml" w14:paraId="176727E4" wp14:textId="77777777">
      <w:pPr>
        <w:pStyle w:val="Heading1"/>
      </w:pPr>
      <w:r>
        <w:t>End of Article 22</w:t>
      </w:r>
    </w:p>
    <w:p xmlns:wp14="http://schemas.microsoft.com/office/word/2010/wordml" w14:paraId="1299C43A" wp14:textId="77777777">
      <w:r>
        <w:br w:type="page"/>
      </w:r>
    </w:p>
    <w:p xmlns:wp14="http://schemas.microsoft.com/office/word/2010/wordml" w14:paraId="38D0FAF8" wp14:textId="77777777">
      <w:pPr>
        <w:pStyle w:val="Heading1"/>
      </w:pPr>
      <w:r>
        <w:t>Start of Article 23</w:t>
      </w:r>
    </w:p>
    <w:p xmlns:wp14="http://schemas.microsoft.com/office/word/2010/wordml" w14:paraId="640BEC38" wp14:textId="77777777">
      <w:pPr>
        <w:pStyle w:val="Heading1"/>
      </w:pPr>
      <w:r>
        <w:t>Document ID DRGW000020150306eb3d0002m</w:t>
      </w:r>
    </w:p>
    <w:p xmlns:wp14="http://schemas.microsoft.com/office/word/2010/wordml" w14:paraId="60524204" wp14:textId="77777777">
      <w:r>
        <w:t>Our news editors obtained a quote from the research, "The most active therapeutic group in terms of new launches was anti-infective therapies, with 11 new drugs and biologics launched, most for the treatment of multidrug-resistant bacterial infections or hepatitis C. The most active market for new launches was again the U.S., site of more than half of all new launches in 2014. However new launch activity increased considerably last year in Japan, which actually pulled ahead of the E.U. for the first time in many years. In another important new development, 15 of the new drugs and biologics launched last year had orphan drug status, 5 had breakthrough therapy designation and 3 had Qualified Infectious Disease Product (QIDP) status."</w:t>
      </w:r>
      <w:r>
        <w:br/>
      </w:r>
      <w:r>
        <w:br/>
      </w:r>
      <w:r>
        <w:t>According to the news editors, the research concluded: "Another 19 products were approved for the first time during the year but not yet launched by close of this article; most are slated for launch in the first months of the new year."</w:t>
      </w:r>
      <w:r>
        <w:br/>
      </w:r>
      <w:r>
        <w:br/>
      </w:r>
      <w:r>
        <w:t>For more information on this research see: The Year's New Drugs &amp; Biologics 2014: Part I. Drugs of Today, 2015;51(1):37-87. Drugs of Today can be contacted at: Prous Science, Sau-Thomson Reuters, 398 Provenca, 08025 Barcelona, Spain.</w:t>
      </w:r>
      <w:r>
        <w:br/>
      </w:r>
      <w:r>
        <w:br/>
      </w:r>
      <w:r>
        <w:t>The news editors report that additional information may be obtained by contacting A.I. Graul, Thomson Reuters, Barcelona 08025, Spain. Additional authors for this research include E. Cruces and M. Stringer.</w:t>
      </w:r>
      <w:r>
        <w:br/>
      </w:r>
      <w:r>
        <w:br/>
      </w:r>
      <w:r>
        <w:t>Keywords for this news article include: Spain, Europe, Barcelona, Drugs and Therapies</w:t>
      </w:r>
      <w:r>
        <w:br/>
      </w:r>
      <w:r>
        <w:br/>
      </w:r>
      <w:r>
        <w:t>Our reports deliver fact-based news of research and discoveries from around the world. Copyright 2015, NewsRx LLC</w:t>
      </w:r>
    </w:p>
    <w:p xmlns:wp14="http://schemas.microsoft.com/office/word/2010/wordml" w14:paraId="6736FD64" wp14:textId="77777777">
      <w:pPr>
        <w:pStyle w:val="Heading1"/>
      </w:pPr>
      <w:r>
        <w:t>End of Article 23</w:t>
      </w:r>
    </w:p>
    <w:p xmlns:wp14="http://schemas.microsoft.com/office/word/2010/wordml" w14:paraId="4DDBEF00" wp14:textId="77777777">
      <w:r>
        <w:br w:type="page"/>
      </w:r>
    </w:p>
    <w:p xmlns:wp14="http://schemas.microsoft.com/office/word/2010/wordml" w14:paraId="4708C50D" wp14:textId="77777777">
      <w:pPr>
        <w:pStyle w:val="Heading1"/>
      </w:pPr>
      <w:r>
        <w:t>Start of Article 24</w:t>
      </w:r>
    </w:p>
    <w:p xmlns:wp14="http://schemas.microsoft.com/office/word/2010/wordml" w14:paraId="17C4BFFF" wp14:textId="77777777">
      <w:pPr>
        <w:pStyle w:val="Heading1"/>
      </w:pPr>
      <w:r>
        <w:t>Document ID DJDN000020150908eb98001ch</w:t>
      </w:r>
    </w:p>
    <w:p xmlns:wp14="http://schemas.microsoft.com/office/word/2010/wordml" w14:paraId="7652082E" wp14:textId="77777777">
      <w:r>
        <w:t>SOUTH SAN FRANCISCO, Calif., Sept. 8, 2015</w:t>
      </w:r>
      <w:r>
        <w:br/>
      </w:r>
      <w:r>
        <w:br/>
      </w:r>
      <w:r>
        <w:t>SOUTH SAN FRANCISCO, Calif., Sept. 8, 2015 /PRNewswire/ -- Rigel Pharmaceuticals, Inc. (Nasdaq: RIGL) announced that the U.S. Food and Drug Administration (FDA) has granted Orphan Drug designation to Fostamatinib, Rigel's oral spleen tyrosine kinase (SYK) inhibitor which is currently in Phase 3 clinical studies in patients with chronic immune thrombocytopenic purpura (ITP). Rigel's Phase 3 program for Fostamatinib in ITP, called FIT, has surpassed the half-way point in enrollment and Rigel expects the program to read out results in mid-2016.</w:t>
      </w:r>
      <w:r>
        <w:br/>
      </w:r>
      <w:r>
        <w:br/>
      </w:r>
      <w:r>
        <w:t>"Receiving this Orphan Drug designation from the FDA is a positive step forward in the development of Fostamatinib," said Raul Rodriguez, president and chief executive officer of Rigel. "We look forward to completing our Phase 3 program and intend to file a New Drug Application for Fostamatinib in ITP in the U.S.," he added.</w:t>
      </w:r>
      <w:r>
        <w:br/>
      </w:r>
      <w:r>
        <w:br/>
      </w:r>
      <w:r>
        <w:t>Fostamatinib and ITP</w:t>
      </w:r>
      <w:r>
        <w:br/>
      </w:r>
      <w:r>
        <w:br/>
      </w:r>
      <w:r>
        <w:t>In patients with ITP, the immune system attacks and destroys the body's own blood platelets, which play an active role in blood clotting and healing. ITP patients can suffer extraordinary bruising, bleeding and fatigue as a result of low platelet counts. Current therapies for ITP include steroids, blood platelet production boosters (TPOs) and splenectomy. Rigel believes that Fostamatinib may address the autoimmune basis of the disease.</w:t>
      </w:r>
      <w:r>
        <w:br/>
      </w:r>
      <w:r>
        <w:br/>
      </w:r>
      <w:r>
        <w:t>Orphan Drug Designation</w:t>
      </w:r>
      <w:r>
        <w:br/>
      </w:r>
      <w:r>
        <w:br/>
      </w:r>
      <w:r>
        <w:t>Orphan Drug designation is granted to compounds that are in development for the safe and effective treatment, diagnosis or prevention of rare diseases or disorders that affect fewer than 200,000 people in the United States. This designation can provide numerous benefits to the companies developing these drugs for these indications, including possibly a market exclusivity period, tax credits, waived FDA fees and research and development grants and others.</w:t>
      </w:r>
      <w:r>
        <w:br/>
      </w:r>
      <w:r>
        <w:br/>
      </w:r>
      <w:r>
        <w:t>About Rigel (www.rigel.com)</w:t>
      </w:r>
      <w:r>
        <w:br/>
      </w:r>
      <w:r>
        <w:br/>
      </w:r>
      <w:r>
        <w:t>Rigel Pharmaceuticals, Inc. is a clinical-stage biotechnology company focused on the discovery and development of novel, small-molecule drugs for the treatment of immune diseases and cancers. Rigel's pioneering research focuses on signaling pathways that are critical to disease mechanisms. Rigel currently has the following product candidates in development: Fostamatinib, an oral SYK inhibitor, which is in Phase 3 clinical trials for ITP and a Phase 2 clinical trial for IgA nephropathy (IgAN); R348, a topical ophthalmic JAK/SYK inhibitor, in a Phase 2 clinical trial for dry eye in ocular graft-versus-host disease (GvHD); two oncology product candidates in Phase 1 development with partners BerGenBio AG and Daiichi Sankyo; and two preclinical programs with partners AstraZeneca, for R256 in asthma, and Bristol-Myers Squibb, for TGF beta inhibitors in immuno-oncology.</w:t>
      </w:r>
      <w:r>
        <w:br/>
      </w:r>
      <w:r>
        <w:br/>
      </w:r>
      <w:r>
        <w:t>This release contains forward-looking statements relating to, among other things, the results of Rigel's Phase 3 clinical studies with Fostamatinib in ITP, the potential filing and timing of filing of a New Drug Application for Fostamatinib and Rigel's product pipeline and development programs. Any statements contained in this press release that are not statements of historical fact may be deemed to be forward-looking statements. Words such as "planned," "will," "may," "expect," and similar expressions are intended to identify these forward-looking statements. These forward-looking statements are based on Rigel's current expectations and inherently involve significant risks and uncertainties. Actual results and the timing of events could differ materially from those anticipated in such forward looking statements as a result of these risks and uncertainties, which include, without limitation, the availability of resources to develop Rigel's product candidates, Rigel's need for additional capital in the future to sufficiently fund Rigel's operations and research, the uncertain timing of completion of and the success of clinical trials, market competition, risks associated with and Rigel's dependence on Rigel's corporate partnerships, as well as other risks detailed from time to time in Rigel's reports filed with the Securities and Exchange Commission, including its Quarterly Report on Form 10-Q for the three months ended June 30, 2015. Rigel does not undertake any obligation to update forward-looking statements and expressly disclaims any obligation or undertaking to release publicly any updates or revisions to any forward-looking statements contained herein.</w:t>
      </w:r>
      <w:r>
        <w:br/>
      </w:r>
      <w:r>
        <w:br/>
      </w:r>
      <w:r>
        <w:t>Contact: Raul Rodriguez</w:t>
      </w:r>
      <w:r>
        <w:br/>
      </w:r>
      <w:r>
        <w:br/>
      </w:r>
      <w:r>
        <w:t>Phone: 650.624.1302</w:t>
      </w:r>
      <w:r>
        <w:br/>
      </w:r>
      <w:r>
        <w:br/>
      </w:r>
      <w:r>
        <w:t>Email: invrel@rigel.com</w:t>
      </w:r>
      <w:r>
        <w:br/>
      </w:r>
      <w:r>
        <w:br/>
      </w:r>
      <w:r>
        <w:t>Media Contact: Susan C. Rogers, Rivily, Inc.</w:t>
      </w:r>
      <w:r>
        <w:br/>
      </w:r>
      <w:r>
        <w:br/>
      </w:r>
      <w:r>
        <w:t>Phone: 650.430.3777</w:t>
      </w:r>
      <w:r>
        <w:br/>
      </w:r>
      <w:r>
        <w:br/>
      </w:r>
      <w:r>
        <w:t>Email: susan@rivily.com</w:t>
      </w:r>
      <w:r>
        <w:br/>
      </w:r>
      <w:r>
        <w:br/>
      </w:r>
      <w:r>
        <w:t>Logo - http://photos.prnewswire.com/prnh/20030226/RIGLLOGO</w:t>
      </w:r>
      <w:r>
        <w:br/>
      </w:r>
      <w:r>
        <w:br/>
      </w:r>
      <w:r>
        <w:t>To view the original version on PR Newswire, visit:http://www.prnewswire.com/news-releases/rigel-granted-orphan-drug-designation-for-fostamatinib-in-itp-300138809.html</w:t>
      </w:r>
      <w:r>
        <w:br/>
      </w:r>
      <w:r>
        <w:br/>
      </w:r>
      <w:r>
        <w:t>SOURCE Rigel Pharmaceuticals, Inc.</w:t>
      </w:r>
      <w:r>
        <w:br/>
      </w:r>
      <w:r>
        <w:br/>
      </w:r>
      <w:r>
        <w:t>/Web site: http://www.rigel.com</w:t>
      </w:r>
      <w:r>
        <w:br/>
      </w:r>
      <w:r>
        <w:br/>
      </w:r>
      <w:r>
        <w:t>8 Sep 2015 07:30 ET *Rigel Granted Orphan Drug Designation For Fostamatinib In ITP &gt;RIGL</w:t>
      </w:r>
      <w:r>
        <w:br/>
      </w:r>
      <w:r>
        <w:br/>
      </w:r>
      <w:r>
        <w:t>8 Sep 2015 07:30 ET *Rigel Expects Program To Read Out Results In Mid-2016 &gt;RIGL</w:t>
      </w:r>
      <w:r>
        <w:br/>
      </w:r>
      <w:r>
        <w:br/>
      </w:r>
      <w:r>
        <w:t>(MORE TO FOLLOW) Dow Jones Newswires (212-416-2800)</w:t>
      </w:r>
      <w:r>
        <w:br/>
      </w:r>
      <w:r>
        <w:br/>
      </w:r>
      <w:r>
        <w:t>September 08, 2015 07:30 ET (11:30 GMT)</w:t>
      </w:r>
    </w:p>
    <w:p xmlns:wp14="http://schemas.microsoft.com/office/word/2010/wordml" w14:paraId="0093D89C" wp14:textId="77777777">
      <w:pPr>
        <w:pStyle w:val="Heading1"/>
      </w:pPr>
      <w:r>
        <w:t>End of Article 24</w:t>
      </w:r>
    </w:p>
    <w:p xmlns:wp14="http://schemas.microsoft.com/office/word/2010/wordml" w14:paraId="3461D779" wp14:textId="77777777">
      <w:r>
        <w:br w:type="page"/>
      </w:r>
    </w:p>
    <w:p xmlns:wp14="http://schemas.microsoft.com/office/word/2010/wordml" w14:paraId="63A52234" wp14:textId="77777777">
      <w:pPr>
        <w:pStyle w:val="Heading1"/>
      </w:pPr>
      <w:r>
        <w:t>Start of Article 25</w:t>
      </w:r>
    </w:p>
    <w:p xmlns:wp14="http://schemas.microsoft.com/office/word/2010/wordml" w14:paraId="5A48ADC4" wp14:textId="77777777">
      <w:pPr>
        <w:pStyle w:val="Heading1"/>
      </w:pPr>
      <w:r>
        <w:t>Document ID MHWK000020150522eb5p00079</w:t>
      </w:r>
    </w:p>
    <w:p xmlns:wp14="http://schemas.microsoft.com/office/word/2010/wordml" w14:paraId="3EBEAB53" wp14:textId="77777777">
      <w:r>
        <w:t>"Janssen remains committed to ensuring long-term treatment success for the 2.4 million adult Americans living with schizophrenia and to providing novel solutions for the family members and friends who care for them," said Larry Alphs, MD, PhD, Psychiatry Therapeutic Team Lead, Medical Affairs, Janssen Pharmaceuticals, Inc. "We are evaluating the content of the Complete Response letter and look forward to continuing productive discussions with the FDA to advance this supplemental New Drug Application."</w:t>
      </w:r>
      <w:r>
        <w:br/>
      </w:r>
      <w:r>
        <w:br/>
      </w:r>
      <w:r>
        <w:t>The proposed label update is based on investigational data from the landmark Paliperidone Palmitate Research In Demonstrating Effectiveness (PRIDE) study. PRIDE is the first real-world head-to-head antipsychotic study comparing INVEGA SUSTENNA((R)), a once-monthly long-acting therapy, with commonly prescribed oral medications to treat schizophrenia within the context of many real-world issues faced by patients in their daily lives, including challenging situations such as recent incarceration or substance abuse.</w:t>
      </w:r>
      <w:r>
        <w:br/>
      </w:r>
      <w:r>
        <w:br/>
      </w:r>
      <w:r>
        <w:t>Data from the PRIDE study was presented at the 167(th) Annual Meeting of the American Psychiatric Association in May 2014, and published in The Journal of Clinical Psychiatry in April 2015.</w:t>
      </w:r>
      <w:r>
        <w:br/>
      </w:r>
      <w:r>
        <w:br/>
      </w:r>
      <w:r>
        <w:t>Keywords for this news article include: Antipsychotic, Janssen Pharmaceuticals Inc., Psychiatry, FDA Actions, Legal Issues, Mental Health, Government Agencies Offices and Entities.</w:t>
      </w:r>
      <w:r>
        <w:br/>
      </w:r>
      <w:r>
        <w:br/>
      </w:r>
      <w:r>
        <w:t>Our reports deliver fact-based news of research and discoveries from around the world. Copyright 2015, NewsRx LLC</w:t>
      </w:r>
    </w:p>
    <w:p xmlns:wp14="http://schemas.microsoft.com/office/word/2010/wordml" w14:paraId="72E99226" wp14:textId="77777777">
      <w:pPr>
        <w:pStyle w:val="Heading1"/>
      </w:pPr>
      <w:r>
        <w:t>End of Article 25</w:t>
      </w:r>
    </w:p>
    <w:p xmlns:wp14="http://schemas.microsoft.com/office/word/2010/wordml" w14:paraId="3CF2D8B6" wp14:textId="77777777">
      <w:r>
        <w:br w:type="page"/>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B7B4B94"/>
    <w:rsid w:val="418402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c6b8bf6-34af-4cf9-8d91-f7209011464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369377F-B6D4-4396-B033-F0EC1CB85596}"/>
</file>

<file path=customXml/itemProps3.xml><?xml version="1.0" encoding="utf-8"?>
<ds:datastoreItem xmlns:ds="http://schemas.openxmlformats.org/officeDocument/2006/customXml" ds:itemID="{2C56E9E5-7A0C-45A1-BAAE-346D5086C582}"/>
</file>

<file path=customXml/itemProps4.xml><?xml version="1.0" encoding="utf-8"?>
<ds:datastoreItem xmlns:ds="http://schemas.openxmlformats.org/officeDocument/2006/customXml" ds:itemID="{44D0DEB4-895C-4D5F-B489-06BE4127528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Manager/>
  <ap:Company/>
  <ap:SharedDoc>false</ap:SharedDoc>
  <ap:HyperlinkBase/>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Tobin, Eliza Nicole (ent4pn)</cp:lastModifiedBy>
  <cp:revision>3</cp:revision>
  <dcterms:created xsi:type="dcterms:W3CDTF">2013-12-23T23:15:00Z</dcterms:created>
  <dcterms:modified xsi:type="dcterms:W3CDTF">2019-07-25T18:29:01Z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