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INVDAI0020150317eb3g00002</w:t>
      </w:r>
    </w:p>
    <w:p>
      <w:r>
        <w:t>Stock Market Today</w:t>
        <w:br/>
        <w:br/>
        <w:t>Investors are looking for a bounce from the Nasdaq and S&amp;P 500 on the stock market today after a two-week decline. The S&amp;P 500 ended Friday in a test of support at its 50-day moving average and a shade more than 3% below its Feb. 25 high. The Nasdaq ended above its 50-day line, and less than 3% below its March 2 high. Recent pullbacks have tended to fall between 4% and 10%. Small caps bounced last week, with the S&amp;P small cap 600 ending ahead 1.4% and the Russell 2000 up 1.2% for the week.</w:t>
        <w:br/>
        <w:br/>
        <w:t>Stocks</w:t>
        <w:br/>
        <w:br/>
        <w:t>Mobile video game maker King Digital (NYSE:KING) jumped 7% ahead of the open after an upgrade, to overweight from neutral, from JPMorgan. The report placed a 20 price target on the stock. The volatile, Ireland-based stock is up 48% since October, climbing the right side of a correction, but still 51% below its March IPO price.</w:t>
        <w:br/>
        <w:br/>
        <w:t>Boston Scientific (NYSE:BSX) powered up 4%. The company said the Food &amp; Drug Administration had approved the company's Watchman atrial closure device, a stroke risk reduction alternative to pharmaceutical blood thinners. The stock has lodged a stair-step advance, rising 49% since October.</w:t>
        <w:br/>
        <w:br/>
        <w:t>Economic News</w:t>
        <w:br/>
        <w:br/>
        <w:t>New York region manufacturing slowed in March, according to the New York Federal Reserve, which reported the General Business Conditions portion of its Empire State Manufacturing Survey dipped to 6.9. The index read 7.8 in February, and economists had projected slowdown to 7.</w:t>
        <w:br/>
        <w:br/>
        <w:t>Up next, the Federal Reserve's February industrial production and factory capacity utilization numbers at 9:15 a.m. ET. At 10 a.m., the National Association of Home Builders turns in its March builders confidence index. The Treasury Department reports January international capital flows data at 2 p.m.</w:t>
        <w:br/>
        <w:br/>
        <w:t>Overseas</w:t>
        <w:br/>
        <w:br/>
        <w:t>Europe's markets showed mixed gains at midday, topped by Frankfurt's DAX, which was up 1.2%. China markets also ended unevenly higher, with Hong Kong's Hang Seng up 0.5%, while the Shanghai Composite ended with a 2.3% gain.</w:t>
        <w:br/>
        <w:br/>
        <w:t>Currencies/Commodities</w:t>
        <w:br/>
        <w:br/>
        <w:t>The dollar backtracked a bit vs. the euro and the yen. Oil prices were down about 1%, with the U.S. benchmark West Texas Intermediate crude holding above $44 a barrel and the spread between WTI and Europe's Brent crude holding at just about $10. Gold tacked on a fraction to trade at $1,155 an ounce.</w:t>
      </w:r>
    </w:p>
    <w:p>
      <w:pPr>
        <w:pStyle w:val="Heading1"/>
      </w:pPr>
      <w:r>
        <w:t>End of Article 1</w:t>
      </w:r>
    </w:p>
    <w:p>
      <w:r>
        <w:br w:type="page"/>
      </w:r>
    </w:p>
    <w:p>
      <w:pPr>
        <w:pStyle w:val="Heading1"/>
      </w:pPr>
      <w:r>
        <w:t>Start of Article 2</w:t>
      </w:r>
    </w:p>
    <w:p>
      <w:pPr>
        <w:pStyle w:val="Heading1"/>
      </w:pPr>
      <w:r>
        <w:t>Document ID DJDN000020150105eb15001u2</w:t>
      </w:r>
    </w:p>
    <w:p>
      <w:r>
        <w:t>PR Newswire</w:t>
        <w:br/>
        <w:br/>
        <w:t>PAOLI, Pa., Jan. 5, 2015</w:t>
        <w:br/>
        <w:br/>
        <w:t>PAOLI, Pa., Jan. 5, 2015 /PRNewswire/ -- Today, Dune Medical Devices announced FDA approval of an updated version of its flagship product, MarginProbe, a medical device that enables real-time detection of cancer at the surface of excised tissue specimens during breast-conserving cancer surgery.</w:t>
        <w:br/>
        <w:br/>
        <w:t>Surgeon feedback, innovative design ideas, and superior miniaturization engineering were the driving forces behind the development of MarginProbe 1.2. This new version, which utilizes the same trusted, FDA-approved, diagnostic technology as version 1.1, is focused on proving superior functionality, portability, and overall ease of use.</w:t>
        <w:br/>
        <w:br/>
        <w:t>"Our goal in offering this update is to provide surgeons with the most effective, easy-to-use product when they walk into a lumpectomy case," said Dan Hashimshony, CEO of Dune Medical Devices. "Once the MarginProbe demonstrated national success across all territories, we began enhancing the usability for surgeons while offering simpler handling. Despite the fact that we offer the only product dedicated to the pressing need for intraoperative margin assessment in breast cancer surgery, we always knew it's critical we constantly listen to our loyal and growing customer base and do our best to offer them further innovation."</w:t>
        <w:br/>
        <w:br/>
        <w:t xml:space="preserve">Feature enhancements for MarginProbe 1.2 include: </w:t>
        <w:br/>
        <w:br/>
        <w:br/>
        <w:t xml:space="preserve">   -- Reduced Size &amp; Weight: A major highlight of MarginProbe 1.2 is the </w:t>
        <w:br/>
        <w:t xml:space="preserve">      reduced size. The new unit is in tabletop form (29 x 43 x 38 cm in size) </w:t>
        <w:br/>
        <w:t xml:space="preserve">      and weighs 35 lbs. making it 75% lighter and much easier to handle in </w:t>
        <w:br/>
        <w:t xml:space="preserve">      today's busy operating rooms. </w:t>
        <w:br/>
        <w:t xml:space="preserve"> </w:t>
        <w:br/>
        <w:t xml:space="preserve">   -- Brighter Screen: The screen's brightness has been enhanced to provide </w:t>
        <w:br/>
        <w:t xml:space="preserve">      surgeons a clearer screen image. </w:t>
        <w:br/>
        <w:t xml:space="preserve"> </w:t>
        <w:br/>
        <w:t xml:space="preserve">   -- Wider Viewing angle: With MarginProbe 1.2, surgeons will have the ability </w:t>
        <w:br/>
        <w:t xml:space="preserve">      to clearly view the screen from anywhere in the operating room without </w:t>
        <w:br/>
        <w:t xml:space="preserve">      encountering a glare, pixilation, or a blind spot. </w:t>
        <w:br/>
        <w:t xml:space="preserve"> </w:t>
        <w:br/>
        <w:t xml:space="preserve">   -- Improved on-screen notices: Ensuring key alerts are easier to notice in </w:t>
        <w:br/>
        <w:t xml:space="preserve">      the OR ambiance. </w:t>
        <w:br/>
        <w:t xml:space="preserve"> </w:t>
        <w:br/>
        <w:t xml:space="preserve">   -- Startup Time Reduced 50%: The startup time for MarginProbe 1.2 is reduced </w:t>
        <w:br/>
        <w:t xml:space="preserve">      from approximately three minutes to 90 seconds, making MarginProbe's </w:t>
        <w:br/>
        <w:t xml:space="preserve">      services even more instantaneous. </w:t>
        <w:br/>
        <w:t xml:space="preserve"> </w:t>
        <w:br/>
        <w:t xml:space="preserve">   -- Improved service time: Due to its new reduced size, technicians are able </w:t>
        <w:br/>
        <w:t xml:space="preserve">      to provide faster service, reducing down time in case service is needed. </w:t>
        <w:br/>
        <w:br/>
        <w:t>Additional information about MarginProbe 1.2 can be found at http://www.marginprobe.com/marginprobe-1-2/ . MarginProbe 1.1 is, and will remain, fully supported by Dune Medical Devices.</w:t>
        <w:br/>
        <w:br/>
        <w:t>About Dune Medical Devices</w:t>
        <w:br/>
        <w:br/>
        <w:t>Dune Medical Devices was founded in 2002 by Dr. Dan Hashimshony to realize the extraordinary medical potential of its proprietary tissue characterization technology. Offering surgeons and radiologists the real time ability to identify cancerous tissues and react immediately, this technology holds the promise for a broad range of surgical and diagnostic applications.</w:t>
        <w:br/>
        <w:br/>
        <w:t>Dune Medical Devices is a privately held company with offices in the U.S. and Israel. For more information, please visit www.dunemedical.com.</w:t>
        <w:br/>
        <w:br/>
        <w:t>Photo - http://photos.prnewswire.com/prnh/20150104/166808</w:t>
        <w:br/>
        <w:br/>
        <w:t>Logo - http://photos.prnewswire.com/prnh/20150104/166834LOGO</w:t>
        <w:br/>
        <w:br/>
        <w:t>Logo - http://photos.prnewswire.com/prnh/20150104/166835LOGO</w:t>
        <w:br/>
        <w:br/>
        <w:t>To view the original version on PR Newswire, visit:http://www.prnewswire.com/news-releases/dune-medical-devices-announces-fda-approval-of-updated-version-of-marginprobe-with-feature-enhancements-further-improving-user-friendly-experience-for-surgeons-300015555.html</w:t>
        <w:br/>
        <w:br/>
        <w:t>SOURCE Dune Medical Devices</w:t>
        <w:br/>
        <w:br/>
        <w:t>/Web site: http://www.dunemedical.com</w:t>
        <w:br/>
        <w:br/>
        <w:t>(END) Dow Jones Newswires</w:t>
        <w:br/>
        <w:br/>
        <w:t>January 05, 2015 09:49 ET (14:49 GMT)</w:t>
      </w:r>
    </w:p>
    <w:p>
      <w:pPr>
        <w:pStyle w:val="Heading1"/>
      </w:pPr>
      <w:r>
        <w:t>End of Article 2</w:t>
      </w:r>
    </w:p>
    <w:p>
      <w:r>
        <w:br w:type="page"/>
      </w:r>
    </w:p>
    <w:p>
      <w:pPr>
        <w:pStyle w:val="Heading1"/>
      </w:pPr>
      <w:r>
        <w:t>Start of Article 3</w:t>
      </w:r>
    </w:p>
    <w:p>
      <w:pPr>
        <w:pStyle w:val="Heading1"/>
      </w:pPr>
      <w:r>
        <w:t>Document ID NBPPBS0020150310eb3a0010p</w:t>
      </w:r>
    </w:p>
    <w:p>
      <w:r>
        <w:t>Here is a record of James F. Young's transactions that were reported:</w:t>
        <w:br/>
        <w:br/>
        <w:t>Date            Transaction Type  No. of Shares  Price, US$  Value, US$</w:t>
        <w:br/>
        <w:t>March 25, 2014 Bought            25,000         4.47        111,750</w:t>
        <w:br/>
        <w:t>June 06, 2013  Bought            100,000        1.91        191,000</w:t>
        <w:br/>
        <w:br/>
        <w:br/>
        <w:t>MANAGEMENT SCORECARD FOR NOVAVAX, INC.:</w:t>
        <w:br/>
        <w:br/>
        <w:t>Creation of shareholder value:</w:t>
        <w:br/>
        <w:br/>
        <w:t>Since appointment as Chairman: The present value of USD1,000 invested on the appointment date of April 20, 2011 at close price of US$2.56 is US$3,434, for a capital gain of US$2,434.</w:t>
        <w:br/>
        <w:br/>
        <w:t>James F. Young's performance for Novavax is placed 243/2,434 in BSS News Bites's ranking of NASDAQ performers in the past year, a percentile ranking of 89%.</w:t>
        <w:br/>
        <w:br/>
        <w:t>Key Financials:</w:t>
        <w:br/>
        <w:br/>
        <w:t>(all figures in pct)</w:t>
        <w:br/>
        <w:br/>
        <w:t xml:space="preserve"> Revenue Growth ROE</w:t>
        <w:br/>
        <w:t>2013            -7.4   -25.6</w:t>
        <w:br/>
        <w:t>2012            34.3   -35.5</w:t>
        <w:br/>
        <w:t>2011            544.5 -36</w:t>
        <w:br/>
        <w:t>2010            5.5    -60.5</w:t>
        <w:br/>
        <w:br/>
        <w:br/>
        <w:t xml:space="preserve"> Share Price (USD)  Market Capitalisation ($)</w:t>
        <w:br/>
        <w:t>Last               8.8 2.1 billion</w:t>
        <w:br/>
        <w:t>1 Year ago         6.4 1.1 billion</w:t>
        <w:br/>
        <w:t>2 Years ago        1.8 270.7 million</w:t>
        <w:br/>
        <w:t>3 Years ago        1.3 146.2 million</w:t>
        <w:br/>
        <w:t>4 Years ago        2.6 300.5 million</w:t>
        <w:br/>
        <w:t>5 Years ago        2.4 271.7 million</w:t>
        <w:br/>
        <w:br/>
        <w:br/>
        <w:t>Biography</w:t>
        <w:br/>
        <w:br/>
        <w:t>James F. Young, Chairman and Director</w:t>
        <w:br/>
        <w:br/>
        <w:t>Dr. Young joined Novavax" Board of Directors in April 2010 and was appointed Chairman in April 2011. He has over 30 years of experience in the fields of molecular genetics, microbiology, immunology and pharmaceutical development. Most recently, Dr. Young was MedImmune's President of Research and Development, where he had responsibility for regulatory affairs and was instrumental in the development of FluMist(Registered) and Synagis(Registered). In 2005, Dr. Young was awarded the Albert B. Sabin Humanitarian Award. Prior to MedImmune, Dr. Young was influential in building the department of molecular genetics at Smith Kline &amp; French Laboratories (now part of GlaxoSmithKline) and culminated as director, department of molecular genetics. Dr. Young was on the faculty of the department of microbiology at Mount Sinai School of Medicine in New York, NY. He received his doctorate in microbiology and immunology from Baylor College of Medicine in Houston, Texas and Bachelor of Science degrees in biology and general sciences from Villanova University.</w:t>
        <w:br/>
        <w:br/>
        <w:t>Original Newsbody (Release Date: Mar 09, 2015)</w:t>
        <w:br/>
        <w:br/>
        <w:t>http://www.sec.gov/Archives/edgar/data/1000694/000120919115024197/xslF345X03/doc4.xml</w:t>
        <w:br/>
        <w:br/>
        <w:t>Source: BuySellSignals.com</w:t>
      </w:r>
    </w:p>
    <w:p>
      <w:pPr>
        <w:pStyle w:val="Heading1"/>
      </w:pPr>
      <w:r>
        <w:t>End of Article 3</w:t>
      </w:r>
    </w:p>
    <w:p>
      <w:r>
        <w:br w:type="page"/>
      </w:r>
    </w:p>
    <w:p>
      <w:pPr>
        <w:pStyle w:val="Heading1"/>
      </w:pPr>
      <w:r>
        <w:t>Start of Article 4</w:t>
      </w:r>
    </w:p>
    <w:p>
      <w:pPr>
        <w:pStyle w:val="Heading1"/>
      </w:pPr>
      <w:r>
        <w:t>Document ID ATPHAM0020150602eb5t00030</w:t>
      </w:r>
    </w:p>
    <w:p>
      <w:r>
        <w:t>As previously announced on May 6, 2015, Alexion and Synageva entered into a definitive agreement pursuant to which Alexion would acquire Synageva for consideration of $115 in cash and 0.6581 Alexion shares, for each share of Synageva, implying a total per share value of $230 based on the nine day volume-weighted average closing price of Alexion stock through May 5, 2015. Termination of the HSR Act waiting period satisfies one of the conditions to closing of the proposed transaction. The closing of the transaction remains subject to other customary closing conditions, including the effectiveness of Alexion's Registration Statement on Form S-4, which was initially filed with the SEC on May 22, 2015, and the tender of a majority of the outstanding shares of Synageva common stock. Subject to the satisfaction of the other conditions to closing, the transaction is expected to close in mid-2015.</w:t>
        <w:br/>
        <w:br/>
        <w:t>Source: Alexion Pharmaceuticals</w:t>
      </w:r>
    </w:p>
    <w:p>
      <w:pPr>
        <w:pStyle w:val="Heading1"/>
      </w:pPr>
      <w:r>
        <w:t>End of Article 4</w:t>
      </w:r>
    </w:p>
    <w:p>
      <w:r>
        <w:br w:type="page"/>
      </w:r>
    </w:p>
    <w:p>
      <w:pPr>
        <w:pStyle w:val="Heading1"/>
      </w:pPr>
      <w:r>
        <w:t>Start of Article 5</w:t>
      </w:r>
    </w:p>
    <w:p>
      <w:pPr>
        <w:pStyle w:val="Heading1"/>
      </w:pPr>
      <w:r>
        <w:t>Document ID BWR0000020150209eb290004b</w:t>
      </w:r>
    </w:p>
    <w:p>
      <w:r>
        <w:t>"We are very pleased with the FDA's agreement on our clinical trial design and planned analysis, which clearly defines what we believe to be a feasible path for the development and registration of LJPC-501," said George F. Tidmarsh, M.D., Ph.D., President and Chief Executive Officer of La Jolla. "The prognosis for patients suffering from CRH is very poor, with less than 50% of these patients surviving one month from diagnosis. We believe that LJPC-501 has the potential to reverse hypotension and, therefore, provide a significant benefit to these patients."</w:t>
        <w:br/>
        <w:br/>
        <w:t>About Special Protocol Assessments</w:t>
        <w:br/>
        <w:br/>
        <w:t>A Special Protocol Assessment is a written agreement between a sponsor and the U.S. Food and Drug Administration on the design, execution and analysis for a clinical trial that may form the basis of a new drug application, or NDA. Final marketing approval depends upon the efficacy results, the safety profile and an evaluation of the risk/benefit of treatment demonstrated in the Phase 3 clinical program.</w:t>
        <w:br/>
        <w:br/>
        <w:t>About LJPC-501</w:t>
        <w:br/>
        <w:br/>
        <w:t>LJPC-501 is La Jolla's proprietary formulation of angiotensin II. Angiotensin II, the major bioactive component of the renin-angiotensin system, serves as one of the body's central regulators of blood pressure. La Jolla is developing LJPC-501 for the treatment of catecholamine-resistant hypotension, or CRH, which is an acute, life-threatening condition in which blood pressure drops to dangerously low levels and is poorly responsive to current treatments. Angiotensin II has been shown to raise blood pressure in a randomized, placebo-controlled clinical trial in CRH, as well as animal models of hypotension. In October 2014, La Jolla presented positive data from a preclinical study of LJPC-501 for the treatment of CRH. In February 2015, La Jolla reached agreement with the FDA on a Special Protocol Assessment, or SPA, for its Phase 3 clinical trial of LJPC-501 for the treatment of CRH, in which agreement was reached that blood pressure can be the primary endpoint for approval. La Jolla's Phase 3 clinical trial of LJPC-501 for the treatment of CRH is expected to begin in the first quarter of 2015. La Jolla has submitted an Orphan Drug Designation application to the FDA for LJPC-501 for the treatment of CRH.</w:t>
        <w:br/>
        <w:br/>
        <w:t>La Jolla is also developing LJPC-501 for hepatorenal syndrome, or HRS. HRS is a life-threatening form of progressive renal failure in patients with liver cirrhosis or fulminant liver failure. In these patients, the diseased liver secretes vasodilator substances (e.g., nitric oxide and prostaglandins) into the bloodstream that cause under-filling of blood vessels. This low blood pressure state causes a reduction in blood flow to the kidneys. As a means to restore systemic blood pressure, the kidneys induce both sodium and water retention, which contribute to ascites, a major complication associated with HRS. Studies have shown that LJPC-501 may improve renal function in patients with conditions similar to HRS. La Jolla is currently conducting a Phase 1/2 clinical trial of LJPC-501 in HRS. The Phase 1/2 clinical trial is currently enrolling patients.</w:t>
        <w:br/>
        <w:br/>
        <w:t>About La Jolla Pharmaceutical Company</w:t>
        <w:br/>
        <w:br/>
        <w:t>La Jolla Pharmaceutical Company is a biopharmaceutical company focused on the discovery, development and commercialization of innovative therapies intended to significantly improve outcomes in patients suffering from life-threatening diseases. The Company has four product candidates in development. LJPC-501 is La Jolla's proprietary formulation of angiotensin II for the potential treatment of catecholamine-resistant hypotension and hepatorenal syndrome. GCS-100 is La Jolla's first-in-class galectin-3 inhibitor for the potential treatment of chronic kidney disease. LJPC-1010, La Jolla's second-generation galectin-3 inhibitor, is a more potent and purified derivative of GCS-100 that can be delivered orally for the potential treatment of nonalcoholic steatohepatitis and other diseases characterized by tissue fibrosis. LJPC-401 is La Jolla's novel formulation of hepcidin for the potential treatment of iron overload. For more information on La Jolla, please visit www.ljpc.com.</w:t>
        <w:br/>
        <w:br/>
        <w:t>Forward-Looking Statement Safe Harbor</w:t>
        <w:br/>
        <w:br/>
        <w:t>This document contains "forward-looking statements," as that term is defined in the Private Securities Litigation Reform Act of 1995. These statements relate to the Company's expectations regarding future events or its future results of operations. These statements are only predictions and involve known and unknown risks, uncertainties and other factors, any one of which may cause actual results to be materially different from these forward-looking statements. The Company cautions readers not to place undue reliance on any such forward-looking statements, which speak only as of the date they were made. Certain of these risks, uncertainties and other factors are described in greater detail in the Company's filings with the U.S. Securities and Exchange Commission (SEC), all of which are available free of charge on the SEC's web site http://www.sec.gov. These risks include, but are not limited to, risks relating to the future development of LJPC-501 for the treatment of CRH and the success of future development activities for this and other drug development programs sponsored by the Company; the ability of the Company to obtain orphan drug status for LJPC-501; the ability of the Company to use the planned Phase 3 study of LJPC-501 in CRH as a registration study; and the success of other potential indications for which this and other drug candidates may be developed. Subsequent written and oral forward-looking statements attributable to the Company or to persons acting on its behalf are expressly qualified in their entirety by the cautionary statements set forth in the Company's reports filed with the SEC. The Company expressly disclaims any intent to update any forward-looking statements.</w:t>
      </w:r>
    </w:p>
    <w:p>
      <w:pPr>
        <w:pStyle w:val="Heading1"/>
      </w:pPr>
      <w:r>
        <w:t>End of Article 5</w:t>
      </w:r>
    </w:p>
    <w:p>
      <w:r>
        <w:br w:type="page"/>
      </w:r>
    </w:p>
    <w:p>
      <w:pPr>
        <w:pStyle w:val="Heading1"/>
      </w:pPr>
      <w:r>
        <w:t>Start of Article 6</w:t>
      </w:r>
    </w:p>
    <w:p>
      <w:pPr>
        <w:pStyle w:val="Heading1"/>
      </w:pPr>
      <w:r>
        <w:t>Document ID DJDN000020150302eb320019u</w:t>
      </w:r>
    </w:p>
    <w:p>
      <w:r>
        <w:br/>
        <w:t xml:space="preserve">PARSIPPANY, N.J.--(BUSINESS WIRE)--March 02, 2015-- </w:t>
        <w:br/>
        <w:br/>
        <w:t>Pacira Pharmaceuticals, Inc. (NASDAQ: PCRX) today announced the receipt of a Complete Response Letter (CRL) from the U.S. Food and Drug Administration (FDA) following a review of its supplemental New Drug Application (sNDA) for the use of EXPAREL(R) (bupivacaine liposome injectable suspension) in nerve block to provide postsurgical analgesia. Pacira will immediately schedule an End-of-Review meeting with the Division of Anesthesia, Analgesia and Addiction Products of the Center for Drug Evaluation and Research to discuss the contents of the CRL.</w:t>
        <w:br/>
        <w:br/>
        <w:t>"We are reviewing the contents of the CRL and will work actively with the FDA to bring this important new indication to our core and growing business in infiltration," said Dave Stack, president, chief executive officer and chairman of Pacira. "Prescribed opioids in the acute care, postsurgical setting lead to chronic use and abuse in approximately one out of every 15 surgery patients in the United States; we remain committed to providing patients with long-acting, non-opioid analgesic options, like EXPAREL, to treat their pain while minimizing the risk of opioid-related adverse events. We look forward to finding solutions to address this public healthcare problem together with the FDA."</w:t>
        <w:br/>
        <w:br/>
        <w:t>EXPAREL is currently indicated for single-dose infiltration into the surgical site to produce postsurgical analgesia. The product combines bupivacaine with DepoFoam(R) , a proven product delivery technology that delivers medication over a desired time period. EXPAREL represents the first and only multivesicular liposome local anesthetic that can be utilized in the peri- or postsurgical setting. By utilizing the DepoFoam platform, a single dose of EXPAREL delivers bupivacaine over time, providing significant reductions in cumulative pain scores with a 45 percent decrease in opioid consumption; the clinical benefit of the opioid reduction was not demonstrated. Additional information is available at www.EXPAREL.com.</w:t>
        <w:br/>
        <w:br/>
        <w:t>Important Safety Information</w:t>
        <w:br/>
        <w:br/>
        <w:t>EXPAREL is contraindicated in obstetrical paracervical block anesthesia. EXPAREL has not been studied for use in patients younger than 18 years of age. Non-bupivacaine-based local anesthetics, including lidocaine, may cause an immediate release of bupivacaine from EXPAREL if administered together locally. The administration of EXPAREL may follow the administration of lidocaine after a delay of 20 minutes or more. Other formulations of bupivacaine should not be administered within 96 hours following administration of EXPAREL. Monitoring of cardiovascular and neurological status, as well as vital signs should be performed during and after injection of EXPAREL as with other local anesthetic products. Because amide-type local anesthetics, such as bupivacaine, are metabolized by the liver, EXPAREL should be used cautiously in patients with hepatic disease. Patients with severe hepatic disease, because of their inability to metabolize local anesthetics normally, are at a greater risk of developing toxic plasma concentrations. In clinical trials, the most common adverse reactions (incidence greater-than or equal to 10%) following EXPAREL administration were nausea, constipation, and vomiting.</w:t>
        <w:br/>
        <w:br/>
        <w:t>Please see the full Prescribing Information for more details available at http://www.exparel.com/pdf/EXPAREL_Prescribing_Information.pdf.</w:t>
        <w:br/>
        <w:br/>
        <w:t>About Pacira</w:t>
        <w:br/>
        <w:br/>
        <w:t>Pacira Pharmaceuticals, Inc. (NASDAQ: PCRX) is a specialty pharmaceutical company focused on the clinical and commercial development of new products that meet the needs of acute care practitioners and their patients. The company's flagship product, EXPAREL(R) (bupivacaine liposome injectable suspension), a non-opioid local analgesic for postsurgical pain control, was commercially launched in the United States in April 2012. EXPAREL and two other products have successfully utilized DepoFoam(R) , a unique and proprietary product delivery technology that encapsulates drugs without altering their molecular structure, and releases them over a desired period of time. Additional information about Pacira is available at www.pacira.com.</w:t>
        <w:br/>
        <w:br/>
        <w:t>Forward Looking Statements</w:t>
        <w:br/>
        <w:br/>
        <w:t xml:space="preserve">Any statements in this press release about our future expectations, plans, outlook and prospects, including statements about our expected revenues, and other statements containing the words "believes," "anticipates," "plans," "estimates," "expects," and similar expressions, constitute forward-looking statements within the meaning of The Private Securities Litigation Reform Act of 1995. Actual results may differ materially from those indicated by such forward-looking statements as a result of various important factors, including risks relating to: the success of our sales and manufacturing efforts in support of the commercialization of EXPAREL; the rate and degree of market acceptance of EXPAREL; the size and growth of the potential markets for EXPAREL and our ability to serve those markets; our plans to expand the use of EXPAREL to additional indications, including nerve block, oral surgery and chronic pain, as well as pediatrics; the related timing and success of a United States Food and Drug Administration supplemental New Drug Application; our receipt of FDA approval of our nerve block indication; the adverse effects and impacts of FDA warning letters; our plans to evaluate, develop and pursue additional DepoFoam-based product candidates; clinical studies in support of an existing or potential DepoFoam-based product; our plans to continue to manufacture and provide support services for our commercial partners who have licensed DepoCyt(e); our commercialization and marketing capabilities; our and Patheon UK Limited's ability to successfully and timely construct dedicated EXPAREL manufacturing suites; and other factors discussed in the "Risk Factors" of our most recent Annual Report on Form 10-K for the fiscal year ended December 31, 2014, and in other filings that we periodically make with the SEC. In addition, the forward-looking statements included in this press release represent our views as of the date of this press release. Important factors could cause our actual results to differ materially from those indicated or implied by forward-looking statements, and as such we anticipate that subsequent events and developments will cause our views to change. However, while we may elect to update these forward-looking statements at some point in the future, we specifically disclaim any obligation to do so. These forward-looking statements should not be relied upon as representing our views as of any date subsequent to the date of this press release. </w:t>
        <w:br/>
        <w:br/>
        <w:br/>
        <w:t xml:space="preserve"> </w:t>
        <w:br/>
        <w:t xml:space="preserve">    CONTACT:    Pacira Pharmaceuticals, Inc. </w:t>
        <w:br/>
        <w:br/>
        <w:t>Jessica Cho, 973-254-3574</w:t>
        <w:br/>
        <w:br/>
        <w:t>or</w:t>
        <w:br/>
        <w:br/>
        <w:t>Media Contact:</w:t>
        <w:br/>
        <w:br/>
        <w:t>Pure Communications, Inc.</w:t>
        <w:br/>
        <w:br/>
        <w:t>Susan Heins, 864-286-9597</w:t>
        <w:br/>
        <w:br/>
        <w:t>2 Mar 2015 06:33 ET *Pacira Pharmaceuticals: Reviewing Contents of CRL And Will Work Actively With FDA</w:t>
        <w:br/>
        <w:br/>
        <w:t>(MORE TO FOLLOW) Dow Jones Newswires (212-416-2800)</w:t>
        <w:br/>
        <w:br/>
        <w:t>March 02, 2015 06:33 ET (11:33 GMT)</w:t>
      </w:r>
    </w:p>
    <w:p>
      <w:pPr>
        <w:pStyle w:val="Heading1"/>
      </w:pPr>
      <w:r>
        <w:t>End of Article 6</w:t>
      </w:r>
    </w:p>
    <w:p>
      <w:r>
        <w:br w:type="page"/>
      </w:r>
    </w:p>
    <w:p>
      <w:pPr>
        <w:pStyle w:val="Heading1"/>
      </w:pPr>
      <w:r>
        <w:t>Start of Article 7</w:t>
      </w:r>
    </w:p>
    <w:p>
      <w:pPr>
        <w:pStyle w:val="Heading1"/>
      </w:pPr>
      <w:r>
        <w:t>Document ID FLYWAL0020150925eb9p008c1</w:t>
      </w:r>
    </w:p>
    <w:p>
      <w:r>
        <w:t xml:space="preserve"> The CheckMate -067 trial that serves as the basis for this submission includes comparative PFS and objective response rate data. The CheckMate -067 trial is ongoing and patients continue to be followed for the co-primary endpoint of overall survival. </w:t>
      </w:r>
    </w:p>
    <w:p>
      <w:pPr>
        <w:pStyle w:val="Heading1"/>
      </w:pPr>
      <w:r>
        <w:t>End of Article 7</w:t>
      </w:r>
    </w:p>
    <w:p>
      <w:r>
        <w:br w:type="page"/>
      </w:r>
    </w:p>
    <w:p>
      <w:pPr>
        <w:pStyle w:val="Heading1"/>
      </w:pPr>
      <w:r>
        <w:t>Start of Article 8</w:t>
      </w:r>
    </w:p>
    <w:p>
      <w:pPr>
        <w:pStyle w:val="Heading1"/>
      </w:pPr>
      <w:r>
        <w:t>Document ID CHPR000020150904eb8v0000i</w:t>
      </w:r>
    </w:p>
    <w:p>
      <w:r>
        <w:t>Website: http://www.marketwired.com</w:t>
      </w:r>
    </w:p>
    <w:p>
      <w:pPr>
        <w:pStyle w:val="Heading1"/>
      </w:pPr>
      <w:r>
        <w:t>End of Article 8</w:t>
      </w:r>
    </w:p>
    <w:p>
      <w:r>
        <w:br w:type="page"/>
      </w:r>
    </w:p>
    <w:p>
      <w:pPr>
        <w:pStyle w:val="Heading1"/>
      </w:pPr>
      <w:r>
        <w:t>Start of Article 9</w:t>
      </w:r>
    </w:p>
    <w:p>
      <w:pPr>
        <w:pStyle w:val="Heading1"/>
      </w:pPr>
      <w:r>
        <w:t>Document ID BIWK000020150709eb79000na</w:t>
      </w:r>
    </w:p>
    <w:p>
      <w:r>
        <w:t>The PPD PIN currently includes Columbia University, New York; LSU Health Shreveport; National Children's Research Centre at Our Lady's Children's Hospital Crumlin, Ireland; National Institute for Health Research/Wellcome Trust Clinical Research Facility at Central Manchester University Hospitals NHS Foundation Trust, United Kingdom; NHS Research Scotland; Seattle Children's Research Institute; Schneider Children's Medical Center of Israel; and University of North Carolina at Chapel Hill Department of Pediatrics. The company plans to continue to expand this network by selecting and partnering with other centers of excellence worldwide that align with particular pediatric populations and research needs.</w:t>
        <w:br/>
        <w:br/>
        <w:t>"Drugs intended for use in children require specific evaluation in the age groups where such use is recommended in product labels. In recent years we have seen increased development in pediatric patients related both to regulatory imperatives and to increased development activity in rare diseases where children and adolescents constitute at least half of those affected," said Mark Sorrentino, M.D., executive medical director and chair of PPD's pediatric practice area. "Our network already has been working effectively with our clients to provide state-of-the-art clinical trial delivery across the globe. Building formal relationships with strategically important centers that have significant pediatric clinical trial expertise, a proven track record of superior quality and the ability to recruit pediatric patients demonstrates our commitment to partnering with our clients to bring life-changing medications to market faster and at less cost."</w:t>
        <w:br/>
        <w:br/>
        <w:t>Keywords for this news article include: Pharmaceutical Product Development LLC, Pediatrics, Clinical Trials and Studies.</w:t>
        <w:br/>
        <w:br/>
        <w:t>Our reports deliver fact-based news of research and discoveries from around the world. Copyright 2015, NewsRx LLC</w:t>
      </w:r>
    </w:p>
    <w:p>
      <w:pPr>
        <w:pStyle w:val="Heading1"/>
      </w:pPr>
      <w:r>
        <w:t>End of Article 9</w:t>
      </w:r>
    </w:p>
    <w:p>
      <w:r>
        <w:br w:type="page"/>
      </w:r>
    </w:p>
    <w:p>
      <w:pPr>
        <w:pStyle w:val="Heading1"/>
      </w:pPr>
      <w:r>
        <w:t>Start of Article 10</w:t>
      </w:r>
    </w:p>
    <w:p>
      <w:pPr>
        <w:pStyle w:val="Heading1"/>
      </w:pPr>
      <w:r>
        <w:t>Document ID CHPR000020150904eb8v0000i</w:t>
      </w:r>
    </w:p>
    <w:p>
      <w:r>
        <w:t>Website: http://www.marketwired.com</w:t>
      </w:r>
    </w:p>
    <w:p>
      <w:pPr>
        <w:pStyle w:val="Heading1"/>
      </w:pPr>
      <w:r>
        <w:t>End of Article 10</w:t>
      </w:r>
    </w:p>
    <w:p>
      <w:r>
        <w:br w:type="page"/>
      </w:r>
    </w:p>
    <w:p>
      <w:pPr>
        <w:pStyle w:val="Heading1"/>
      </w:pPr>
      <w:r>
        <w:t>Start of Article 11</w:t>
      </w:r>
    </w:p>
    <w:p>
      <w:pPr>
        <w:pStyle w:val="Heading1"/>
      </w:pPr>
      <w:r>
        <w:t>Document ID PRGRSS0020150725eb7p0001h</w:t>
      </w:r>
    </w:p>
    <w:p>
      <w:r>
        <w:t>Praluent is the first in a new class of biotech medications that use a novel approach to lower bad, or LDL, cholesterol. The drugs are considered the first major advance in treatment since the introduction of statin drugs more than 20 years ago, and analysts expect them to generate billions in sales.</w:t>
      </w:r>
    </w:p>
    <w:p>
      <w:pPr>
        <w:pStyle w:val="Heading1"/>
      </w:pPr>
      <w:r>
        <w:t>End of Article 11</w:t>
      </w:r>
    </w:p>
    <w:p>
      <w:r>
        <w:br w:type="page"/>
      </w:r>
    </w:p>
    <w:p>
      <w:pPr>
        <w:pStyle w:val="Heading1"/>
      </w:pPr>
      <w:r>
        <w:t>Start of Article 12</w:t>
      </w:r>
    </w:p>
    <w:p>
      <w:pPr>
        <w:pStyle w:val="Heading1"/>
      </w:pPr>
      <w:r>
        <w:t>Document ID RTTNEW0020150709eb79001b9</w:t>
      </w:r>
    </w:p>
    <w:p>
      <w:r>
        <w:t>AEMD.OB closed Wednesday's trading 8.48% higher at $7.16.</w:t>
        <w:br/>
        <w:br/>
        <w:t>BG Medicine Inc. (BGMD) has implemented a one-for-four reverse stock split, and its common stock will open for trading on July 9, 2015 on a post-split basis.</w:t>
        <w:br/>
        <w:br/>
        <w:t>The reverse stock split reduces the number of shares of the common stock outstanding from approximately 34.6 million pre-reverse split shares to approximately 8.6 million post-reverse split shares, said the company.</w:t>
        <w:br/>
        <w:br/>
        <w:t>In the first quarter of 2015, the company reduced its net loss by 38% and cut its operating cash burn by 42% from the year-ago quarter.</w:t>
        <w:br/>
        <w:br/>
        <w:t>BGMD closed Wednesday's trading at $0.43, down 11.44%.</w:t>
        <w:br/>
        <w:br/>
        <w:t>Cellectis (CLLS) is all set to receive an undisclosed payment from Servier for achieving a significant milestone under a collaboration agreement with the French pharmaceutical company.</w:t>
        <w:br/>
        <w:br/>
        <w:t>Cellectis and Servier entered into collaboration in February 2014 to develop and commercialize UCART19 to treat leukemia and 5 product candidates targeting solid tumors.</w:t>
        <w:br/>
        <w:br/>
        <w:t>A phase I human clinical trial for UCART19 is planned for this year.</w:t>
        <w:br/>
        <w:br/>
        <w:t>CLLS closed Wednesday's trading at $33.45, down 1.39%.</w:t>
        <w:br/>
        <w:br/>
        <w:t>Lexmark (LXK) has received 510(k) Class II clearance from the FDA for Lexmark NilRead, a web-based, zero-footprint enterprise diagnostic viewer.</w:t>
        <w:br/>
        <w:br/>
        <w:t>Lexmark NilRead is designed to help healthcare organizations in the U.S. perform diagnostic review and interpretation of a wide variety of medical imaging studies, including mammography and digital breast tomosynthesis (DBT) studies. The zero-footprint design of NilRead enables these large files to be delivered throughout a healthcare enterprise to local clinician workstations without download wait times. This is significant in a mammography screening environment where the daily volume of imaging studies reviewed is high, according to the company.</w:t>
        <w:br/>
        <w:br/>
        <w:t>LXK closed Wednesday's trading at $43.65, down 2.50%.</w:t>
        <w:br/>
        <w:br/>
        <w:t>Pieris Pharmaceuticals Inc. (PIRS) will be receiving its third milestone payment for the second program in its discovery and development collaboration with Daiichi Sankyo Company, Limited, and seventh milestone payment overall under the multi program collaboration. The amount of payment was not disclosed.</w:t>
        <w:br/>
        <w:br/>
        <w:t>The payment was triggered by the achievement of positive in vivo proof of concept data and progression of the Anticalin drug candidate through a non-GLP toxicity study in non-human primates.</w:t>
        <w:br/>
        <w:br/>
        <w:t>Chau Khuong, a Partner at OrbiMed Advisors and Chairman of the Board of Directors of Pieris, stated, "To date, Pieris has received approximately $40 million in milestone and licensing payments as a result of its several collaborations. These payments speak to the ongoing success our Anticalin compounds are achieving in these partnerships".</w:t>
        <w:br/>
        <w:br/>
        <w:t>PIRS closed Wednesday's trading at $2.50, down 5.66%.</w:t>
        <w:br/>
        <w:br/>
        <w:t>Regeneron Pharmaceuticals Inc. (REGN) and Sanofi's (SNY) phase III trial of investigational therapy Praluent met its primary endpoint, showing LDL-C reductions of more than 60% in Japanese patients.</w:t>
        <w:br/>
        <w:br/>
        <w:t>The trial, dubbed ODYSSEY JAPAN, involved 216 Japanese patients with hypercholesterolemia at high cardiovascular (CV) risk and/or with an inherited form of high cholesterol known as heterozygous familial hypercholesterolemia (HeFH).</w:t>
        <w:br/>
        <w:br/>
        <w:t>In the U.S, Praluent is under FDA review, with a decision slated for July 24, 2015. Praluent was recommended for approval by an FDA panel on June 9, 2015. The FDA takes the Committee's advice into consideration, but is not bound by its recommendation.</w:t>
        <w:br/>
        <w:br/>
        <w:t>In the European Union too, the Marketing Authorization Application for Praluent is currently under review by the European Medicines Agency.</w:t>
        <w:br/>
        <w:br/>
        <w:t>REGN closed Wednesday's trading at $509.30, down 1.61%.</w:t>
        <w:br/>
        <w:br/>
        <w:t>For comments and feedback: contact editorial@rttnews.com</w:t>
        <w:br/>
        <w:br/>
        <w:t>Copyright(c) 2015 RTTNews.com. All Rights Reserved</w:t>
      </w:r>
    </w:p>
    <w:p>
      <w:pPr>
        <w:pStyle w:val="Heading1"/>
      </w:pPr>
      <w:r>
        <w:t>End of Article 12</w:t>
      </w:r>
    </w:p>
    <w:p>
      <w:r>
        <w:br w:type="page"/>
      </w:r>
    </w:p>
    <w:p>
      <w:pPr>
        <w:pStyle w:val="Heading1"/>
      </w:pPr>
      <w:r>
        <w:t>Start of Article 13</w:t>
      </w:r>
    </w:p>
    <w:p>
      <w:pPr>
        <w:pStyle w:val="Heading1"/>
      </w:pPr>
      <w:r>
        <w:t>Document ID ATPHAM0020151008eba800090</w:t>
      </w:r>
    </w:p>
    <w:p>
      <w:r>
        <w:t>Opsonix's core technology is based on proprietary pathogen-capture proteins. Its lead molecule is a recombinant human protein derived from mannose binding lectin (MBL) fused to the Fc region of human immunoglobulin (FcMBL). When Opsonix's FcMBL is attached to the membrane of a dialyzer-type device, it can remove a broad range of bacteria, fungi, parasites, viruses, and toxins responsible for initiating the sepsis cascade, including antibiotic-resistant organisms. Opsonix's pathogen-extracting therapy has been designed to work in synergy with conventional antibiotic treatments.</w:t>
        <w:br/>
        <w:br/>
        <w:t>"Opsonix's pathogen-extracting therapy provides a novel therapeutic solution leveraging the broad binding activities of a natural human protein that may rapidly remove sepsis-causing pathogens - and the toxins they release - from a patient's blood," said Eric Devroe, Ph.D., Founder and Chief Executive Officer of Opsonix. "With our FcMBL-based pathogen-extracting therapy, treatment of blood-borne infectious disease can be initiated earlier in the course of infection, when it is most needed, without having to wait to identify the disease-causing pathogen. With the strong support of our investors and a compelling body of evidence developed by our scientific founders, Opsonix will move forward expeditiously with preclinical studies to advance our pathogen-extracting therapy."</w:t>
        <w:br/>
        <w:br/>
        <w:t>Opsonix's pathogen-capture proteins are engineered versions of human blood opsonins - molecular components of the innate immune system that help to clear pathogens and the toxins they release. The company develops therapeutic products by applying recombinant protein engineering to harness the unique binding properties of opsonins that enable them to clear a broad range of infectious microbes and toxic components from blood, which can stimulate the inflammatory cascade that leads to sepsis.</w:t>
        <w:br/>
        <w:br/>
        <w:t>In studies conducted and published by Opsonix's scientific founders at Harvard University's Wyss Institute for Biologically Inspired Engineering, FcMBL-based pathogen-extracting therapies have been shown to work in synergy with conventional antibiotics, as well as to clear blood of antibiotic-resistant organisms. Hence, Opsonix's sepsis therapy has the potential to be used not only in combination with existing antibiotics, but also to treat patients when conventional therapeutic options are not available.</w:t>
        <w:br/>
        <w:br/>
        <w:t>Leadership Science and Founding Team</w:t>
        <w:br/>
        <w:br/>
        <w:t>Opsonix's scientific founders, Donald Ingber, M.D., Ph.D., and Michael Super, Ph.D., carried out the original protein engineering and initial design and experimental validation of the FcMBL-enabled pathogen-extracting therapy at the Wyss Institute for Biologically Inspired Engineering at Harvard University. Ingber and Super are pioneers in translating innovative design principles into healthcare products. They are also co-principal investigators on a project for sepsis treatment funded by the United States Defense Advanced Research Projects Agency (DARPA) Dialysis-Like Therapeutics Program, which led to the technology that Opsonix is commercializing.</w:t>
        <w:br/>
        <w:br/>
        <w:t>Prior to being appointed Chief Executive Officer of Opsonix, founder Eric Devroe, Ph.D. worked closely with Ingber and Super as an Entrepreneur-in-Residence at the Wyss Institute where he developed the company's product development, business, and fundraising strategy. He brings more than 15 years of experience in the life sciences, including roles in venture capital, business development, and as a founding team member of multiple start-up companies.</w:t>
        <w:br/>
        <w:br/>
        <w:t>Opsonix has an exclusive, worldwide license to intellectual property from Harvard University covering the use of engineered opsonin proteins in pathogen-extracting devices and companion diagnostics, and it is uniquely positioned to advance this technology into therapeutic products for the benefit of millions of sepsis patients worldwide.</w:t>
        <w:br/>
        <w:br/>
        <w:t>Source: Opsonix</w:t>
      </w:r>
    </w:p>
    <w:p>
      <w:pPr>
        <w:pStyle w:val="Heading1"/>
      </w:pPr>
      <w:r>
        <w:t>End of Article 13</w:t>
      </w:r>
    </w:p>
    <w:p>
      <w:r>
        <w:br w:type="page"/>
      </w:r>
    </w:p>
    <w:p>
      <w:pPr>
        <w:pStyle w:val="Heading1"/>
      </w:pPr>
      <w:r>
        <w:t>Start of Article 14</w:t>
      </w:r>
    </w:p>
    <w:p>
      <w:pPr>
        <w:pStyle w:val="Heading1"/>
      </w:pPr>
      <w:r>
        <w:t>Document ID NBPPBS0020150417eb4h000rz</w:t>
      </w:r>
    </w:p>
    <w:p>
      <w:r>
        <w:t>MANAGEMENT SCORECARD FOR IRONWOOD PHARMACEUTICALS, INC.:</w:t>
        <w:br/>
        <w:br/>
        <w:t>Key Financials:</w:t>
        <w:br/>
        <w:br/>
        <w:t>(all figures in pct)</w:t>
        <w:br/>
        <w:br/>
        <w:t xml:space="preserve"> Revenue Growth  Operating Margin ROE</w:t>
        <w:br/>
        <w:t>2014            234.1             -     -</w:t>
        <w:br/>
        <w:t>2013            -84.8             -     -</w:t>
        <w:br/>
        <w:t>2012            121.2             -48.2  -50.4</w:t>
        <w:br/>
        <w:t>2011            49.7              -95.2 -59</w:t>
        <w:br/>
        <w:br/>
        <w:br/>
        <w:t xml:space="preserve"> Share Price (USD)  Market Capitalisation ($)</w:t>
        <w:br/>
        <w:t>Last               15.6 2.2 billion</w:t>
        <w:br/>
        <w:t>1 Year ago         10.3 1.4 billion</w:t>
        <w:br/>
        <w:t>2 Years ago        16.9 1.3 billion</w:t>
        <w:br/>
        <w:t>3 Years ago        12.9 966.9 million</w:t>
        <w:br/>
        <w:t>4 Years ago        16.0 1.1 billion</w:t>
        <w:br/>
        <w:t>5 Years ago        14.7 881.4 million</w:t>
        <w:br/>
        <w:br/>
        <w:br/>
        <w:t>Biography</w:t>
        <w:br/>
        <w:br/>
        <w:t>Lawrence Olanoff, Director</w:t>
        <w:br/>
        <w:br/>
        <w:t>Dr. Olanoff most recently served as a director and as chief operating officer, and previously as executive vice president and chief scientific officer, of Forest Laboratories, Inc. (acquired by Actavis plc). He also previously served as president and chief executive officer of Celsion Corporation, senior vice president of clinical research and development at Sandoz Pharmaceutical Corporation (now a division of the Novartis Group), and in a number of positions at the Upjohn Company. Dr. Olanoff is currently an adjunct assistant professor and special advisor to the president for corporate relations at the Medical University of South Carolina (MUSC), a member of the MUSC foundation for research development board, and chairman of the board of the Clinical Biotechnology Research Institute at Roper St. Francis Hospital. He received his doctorate in biomedical engineering and medical doctor degree from Case Western Reserve University.</w:t>
        <w:br/>
        <w:br/>
        <w:t>Original Newsbody</w:t>
        <w:br/>
        <w:br/>
        <w:t>CAMBRIDGE, Mass.-- Ironwood Pharmaceuticals, Inc. (NASDAQ:IRWD) announced today the appointment of Lawrence Olanoff, M.D., Ph.D., to its board of directors as well as to its pharmaceutical advisory committee. Dr. Olanoff has more than 30 years of pharmaceutical industry experience and has been a leader in clinical development, discovery research, strategy and operations for several companies ranging from small biotechnology firms to large pharmaceutical corporations.</w:t>
        <w:br/>
        <w:br/>
        <w:t>Source: BuySellSignals.com</w:t>
      </w:r>
    </w:p>
    <w:p>
      <w:pPr>
        <w:pStyle w:val="Heading1"/>
      </w:pPr>
      <w:r>
        <w:t>End of Article 14</w:t>
      </w:r>
    </w:p>
    <w:p>
      <w:r>
        <w:br w:type="page"/>
      </w:r>
    </w:p>
    <w:p>
      <w:pPr>
        <w:pStyle w:val="Heading1"/>
      </w:pPr>
      <w:r>
        <w:t>Start of Article 15</w:t>
      </w:r>
    </w:p>
    <w:p>
      <w:pPr>
        <w:pStyle w:val="Heading1"/>
      </w:pPr>
      <w:r>
        <w:t>Document ID NJDE000020150819eb8j00037</w:t>
      </w:r>
    </w:p>
    <w:p>
      <w:r>
        <w:t>Flibanserin, which Whitehead says should hit the market by Oct.17 under the brand name Addyi, has been dubbed "Viagra for women" even though it works very differently from the erectile dysfunction drug for men. Viagra is taken before sex and increases blood flow to the genitals. Flibanserin is taken daily before bedtime and affects brain chemicals.</w:t>
        <w:br/>
        <w:br/>
        <w:t>The FDA has rejected the drug twice in the past five years, but an advisory panel of medical experts in June voted 18-6 to recommend approval if more safety restrictions were added. Panelists expressed concerns about potential side effects such as low blood pressure, fatigue and fainting, and questioned data on how the drug may interact with alcohol or birth control pills.</w:t>
        <w:br/>
        <w:br/>
        <w:t>But supporters say the benefits may outweigh the risks for many. Rep. Jackie Speer, D-Calif., and 10 other Congress members signed a letter to the FDA saying, "We firmly believe that access to health care should be a fundamental right, regardless of whether you are a man or a women."</w:t>
        <w:br/>
        <w:br/>
        <w:t>"Today's approval provides women distressed by their low sexual desire with an approved treatment option," said Janet Woodcock, director of the FDA's Center for Drug Evaluation and Research.</w:t>
        <w:br/>
        <w:br/>
        <w:t>The drug has gotten a big marketing push from an advocacy group called Even the Score, which is supported by Sprout.</w:t>
        <w:br/>
        <w:br/>
        <w:t>Kenneth Payne, with Norton OB/GYN Associates in Louisville, says he "takes exception to the aggressive marketing campaign" but would consider prescribing the drug to patients for whom the benefits outweigh the risks. "The jury's still a little bit out on this. Just because the FDA approves something doesn't mean it's going to work for everyone," Payne says. "I hope it lives up to its claims."</w:t>
      </w:r>
    </w:p>
    <w:p>
      <w:pPr>
        <w:pStyle w:val="Heading1"/>
      </w:pPr>
      <w:r>
        <w:t>End of Article 15</w:t>
      </w:r>
    </w:p>
    <w:p>
      <w:r>
        <w:br w:type="page"/>
      </w:r>
    </w:p>
    <w:p>
      <w:pPr>
        <w:pStyle w:val="Heading1"/>
      </w:pPr>
      <w:r>
        <w:t>Start of Article 16</w:t>
      </w:r>
    </w:p>
    <w:p>
      <w:pPr>
        <w:pStyle w:val="Heading1"/>
      </w:pPr>
      <w:r>
        <w:t>Document ID MANAVG0020150910eb9a0003b</w:t>
      </w:r>
    </w:p>
    <w:p>
      <w:r>
        <w:t>Enaltus is a portfolio company of HealthEdge Investment Partners.</w:t>
        <w:br/>
        <w:br/>
        <w:t>ScarAway is a in the scar management category in the OTC consumer channel. It is a 100% silicone scar treatment brand.</w:t>
        <w:br/>
        <w:br/>
        <w:t>Perrigo said it expects the brand to generate approximatelyUSD 10m in full, calendar year 2015 net sales or approximately USD 3m for the remainder of the year.</w:t>
        <w:br/>
        <w:br/>
        <w:t>Intrepid is a mergers and acquisitions advisors active in the beauty and personal care sector.</w:t>
        <w:br/>
        <w:br/>
        <w:t>Status: Closed</w:t>
        <w:br/>
        <w:br/>
        <w:t>Financing:</w:t>
        <w:br/>
        <w:br/>
        <w:t>Type: Corporate Acquisition</w:t>
        <w:br/>
        <w:br/>
        <w:t>Vendor: Enaltus, LLC</w:t>
        <w:br/>
        <w:br/>
        <w:t>Buyer: Perrigo Co. plc</w:t>
        <w:br/>
        <w:br/>
        <w:t>Buyer advisor:</w:t>
        <w:br/>
        <w:br/>
        <w:t>Buyer advisor:</w:t>
        <w:br/>
        <w:br/>
        <w:t>Buyer advisor:</w:t>
        <w:br/>
        <w:br/>
        <w:t>Comment: Terms of the deal were not disclosed</w:t>
        <w:br/>
        <w:br/>
        <w:t>Country: USA</w:t>
        <w:br/>
        <w:br/>
        <w:t>Deal size (USD):</w:t>
        <w:br/>
        <w:br/>
        <w:t>Sector: Pharmaceuticals</w:t>
        <w:br/>
        <w:br/>
        <w:t>Target: Perrigo Co. plc</w:t>
        <w:br/>
        <w:br/>
        <w:t>((Distributed via M2 Communications - http://www.m2.com))</w:t>
      </w:r>
    </w:p>
    <w:p>
      <w:pPr>
        <w:pStyle w:val="Heading1"/>
      </w:pPr>
      <w:r>
        <w:t>End of Article 16</w:t>
      </w:r>
    </w:p>
    <w:p>
      <w:r>
        <w:br w:type="page"/>
      </w:r>
    </w:p>
    <w:p>
      <w:pPr>
        <w:pStyle w:val="Heading1"/>
      </w:pPr>
      <w:r>
        <w:t>Start of Article 17</w:t>
      </w:r>
    </w:p>
    <w:p>
      <w:pPr>
        <w:pStyle w:val="Heading1"/>
      </w:pPr>
      <w:r>
        <w:t>Document ID ATPHAM0020150602eb5t0008f</w:t>
      </w:r>
    </w:p>
    <w:p>
      <w:r>
        <w:t>The gross proceeds to the Company were approximately $14.7 million, before deducting underwriting discounts and commissions and offering expenses payable, and before the repurchase of all of the outstanding shares of the Company's Series A-4 convertible preferred stock for approximately $3.2 million, which occurred simultaneously with the closing of this offering.</w:t>
        <w:br/>
        <w:br/>
        <w:t>The Company intends to use the net proceeds of this offering to fund the commercial launch of Quell in the United States and for general corporate purposes. Quell is an over-the-counter wearable pain relief device that utilizes proprietary non-invasive neurostimulation technology to provide pain relief. The device is designed for people with conditions such as diabetic nerve pain, low back and leg pain, fibromyalgia, and pain associated with osteoarthritis. The advanced wearable device is lightweight and can be worn during the day while active, and at night while sleeping. It has been cleared by the FDA for treatment of chronic pain without a prescription. Users of the device have the option of using their smart phone to track and personalize their pain therapy through the Quell Relief app which is available in the Apple app store.</w:t>
        <w:br/>
        <w:br/>
        <w:t>Source: NeuroMetrix</w:t>
      </w:r>
    </w:p>
    <w:p>
      <w:pPr>
        <w:pStyle w:val="Heading1"/>
      </w:pPr>
      <w:r>
        <w:t>End of Article 17</w:t>
      </w:r>
    </w:p>
    <w:p>
      <w:r>
        <w:br w:type="page"/>
      </w:r>
    </w:p>
    <w:p>
      <w:pPr>
        <w:pStyle w:val="Heading1"/>
      </w:pPr>
      <w:r>
        <w:t>Start of Article 18</w:t>
      </w:r>
    </w:p>
    <w:p>
      <w:pPr>
        <w:pStyle w:val="Heading1"/>
      </w:pPr>
      <w:r>
        <w:t>Document ID ELECWK0020150320eb3p000rf</w:t>
      </w:r>
    </w:p>
    <w:p>
      <w:r>
        <w:t>Reporters obtained the following quote from the background information supplied by the inventors: "The present invention relates to methods, apparatus, and devices associated with an ophthalmic lens system wherein the lenses may communicate with each other utilizing a secondary electronic external device. More particularly, the present invention relates to an ophthalmic lens system that may depend on the secondary electronic external device to reduce power, communication, and processing requirements within the ophthalmic lenses.</w:t>
        <w:br/>
        <w:br/>
        <w:t>"Traditionally, an ophthalmic device, such as a contact lens, an intraocular lens, or a punctal plug included a biocompatible device with a corrective, cosmetic, or therapeutic quality. A contact lens, for example, may provide one or more of vision correcting functionality, cosmetic enhancement, and/or therapeutic effects. Each function may be provided by a physical characteristic of the lens. A design incorporating a refractive quality into a lens may provide a vision corrective function. Pigmentation incorporated into the lens may provide a cosmetic enhancement. An active agent incorporated into a lens may provide a therapeutic functionality. Such physical characteristics may be accomplished without the lens entering into an energized state.</w:t>
        <w:br/>
        <w:br/>
        <w:t>"More recently, active components have been included in a contact lens, and the inclusion may involve the incorporation of energizing elements within the ophthalmic device. The relatively complicated components to accomplish this effect may derive improved characteristics by including them in insert devices which are then included with standard or similar materials useful in the fabrication of state of the art ophthalmic lenses.</w:t>
        <w:br/>
        <w:br/>
        <w:t>"The ability for a user's ophthalmic lenses to communicate with each other may expand the possible functionalities of an energizable ophthalmic lens system. Wireless communication may allow one lens to recognize the relative position of the opposite lens, which may provide a more accurate determination of where the user may be looking. Wireless communication may also allow the two lenses to interact with each other, for example, to trigger specific, different actions when a user blinks or winks.</w:t>
        <w:br/>
        <w:br/>
        <w:t>"Communication between two contact lenses on a user may be difficult for several reasons. Each contact lens has limited area and volume for batteries and electronic components. For example, the volume available for batteries and electronic circuits in a contact lens may be less than 20 mm.sup.3, whereas the volume available for all components in a smartphone may be 50,000 mm.sup.3. Likewise, contact lens batteries may have 100 .mu.A-Hr of capacity whereas a smartphone may have a capacity of 1400 mA-Hr. Thus, each contact lens may be limited in transmitter output power and receiver sensitivity.</w:t>
        <w:br/>
        <w:br/>
        <w:t>"Lower distance may be typically associated with reduced transmitter and receiver power requirements. Although the contact lenses may only be about 70 mm apart when on a user's eyes, there may not be a direct line of sight between the lenses, so direct light-based communication may not be possible without relying on reflections from nearby objects.</w:t>
        <w:br/>
        <w:br/>
        <w:t>"Further, in the event a radio frequency (RF) system may be used, the antenna area available in a contact lens, along with the dielectric properties of the eye and body, may make communication inefficient. Complex processing of signals, decision inputs, and data may also be difficult in contact lenses. The aforementioned limits on area, volume, and battery capacity may constrain the size, speed, computational complexity, and current consumption of a processor. For example, while it may be preferred for application enablement to include a powerful microcontroller or central processing unit (CPU) in contact lenses, state-of-the-art technology may not allow such integration.</w:t>
        <w:br/>
        <w:br/>
        <w:t>"Some exemplary systems may detect convergence of gaze to trigger a focus change, and without an external electronic device, the two contact lenses must obtain and transmit gaze direction, determine convergence, and signal the need to change focus. This may require communication between the lenses to carry gaze direction and focus change information. Further, this system may require tight timing synchronization between the lenses. In a system tracking gaze direction instead of just convergence, the transmission and computation requirements may be even higher.</w:t>
        <w:br/>
        <w:br/>
        <w:t>"The addition of a larger, external electronic device may permit portions of the communication and/or processing burden to be placed in the external electronic device, thereby easing the requirements on the contact lenses. Similar techniques are used in cellular communications, where a user's handset has limited battery power and limited size, and thus limited transmitter and receiver power and antenna gain. In such an example, the much larger available size and current in the cellular base station permits higher gain, power, and computational complexity.</w:t>
        <w:br/>
        <w:br/>
        <w:t>"It may be anticipated that some of the solutions for increasing wireless communication between energizable ophthalmic lenses may provide novel aspects for non-energized devices and other biomedical devices. Accordingly, there may be a need in the art for improved wireless communication between lenses, and utilizing a secondary external device may offer a solution to many of the current issues with inter-lens communication."</w:t>
        <w:br/>
        <w:br/>
        <w:t>In addition to obtaining background information on this patent application, VerticalNews editors also obtained the inventors' summary information for this patent application: "The addition of an external electronic device, such as a smartphone, watch, or tablet, may ease the communication requirements for an ophthalmic lens system. As described below, such a device may have much higher battery power and communication capability. Thus, it may be easier for each contact lens to communicate with a common, external device than with each other. Because of the greater area, volume, and battery capacity available in an external electronic device, the electrical requirements of the contact lens may be eased.</w:t>
        <w:br/>
        <w:br/>
        <w:t>"For example, a high-sensitivity receiver may be employed in an electronic device thereby reducing the output power requirements in a contact lens transmitter. Such a high-sensitivity receiver in the electronic device may include a low-noise amplifier (LNA), intermediate gain stages, high-dynamic-range and high-resolution analog-to-digital converter, and complex digital signal processing. In some exemplary embodiments, rather than integrating complex signal processing and microcontroller functionality into contact lenses, these functions may be performed in the external electronic device.</w:t>
        <w:br/>
        <w:br/>
        <w:t>"Such applications may even be performed in existing components of the electronic device, for example, the applications processor or CPU of the electronic device. The external device may comprise more complex and sensitive transceiver circuitry, for example, transmitter and receiver gain and signal processing.</w:t>
        <w:br/>
        <w:br/>
        <w:t>"In some applications, the functionality of the contact lenses may depend on communication with each other with or without an external device, for example, where the contact lenses comprise a variable optic portion, which may allow for adjustable powers. Other exemplary embodiments may specifically involve an electronic device, for example, one where the contact lenses may be used to control the external device. In such examples, the external device may be used to ease the requirements on the contact lenses. Accordingly, there may be a need in the art for improved wireless communication between lenses, and utilizing a secondary external device may offer a solution to many of the current issues with inter-lens communication.</w:t>
        <w:br/>
        <w:br/>
        <w:t>"Accordingly, the present invention comprises an ophthalmic lens system capable of wireless communication through the utilization of an external device, wherein the ophthalmic lens system comprises a first ophthalmic lens on a first eye and a second ophthalmic lens on a second eye, wherein the lenses may be configured to wirelessly communicate with each other by transmitting and receiving data through an external device. More particularly, in some exemplary embodiments, the external device may comprise electronic components with more computational power and energization capabilities than the ophthalmic lenses. BRIEF DESCRIPTION OF THE DRAWINGS</w:t>
        <w:br/>
        <w:br/>
        <w:t>"The foregoing and other features and advantages of the invention will be apparent from the following, more particular description of preferred embodiments of the invention, as illustrated in the accompanying drawings.</w:t>
        <w:br/>
        <w:br/>
        <w:t>"FIG. 1A illustrates a cross sectional view of an exemplary embodiment of an energizable ophthalmic lens on an eye, wherein the energizable ophthalmic lens may be capable of wirelessly interfacing with an external device.</w:t>
        <w:br/>
        <w:br/>
        <w:t>"FIG. 1B illustrates a front view of an exemplary embodiment of an energizable ophthalmic lens capable of wirelessly interfacing with an external device.</w:t>
        <w:br/>
        <w:br/>
        <w:t>"FIG. 2A illustrates a cross sectional view of an alternate exemplary embodiment of an energizable ophthalmic lens on an eye, wherein the energizable ophthalmic lens may be capable of wirelessly interfacing with an external device.</w:t>
        <w:br/>
        <w:br/>
        <w:t>"FIG. 2B illustrates a front view of an alternate exemplary embodiment of an energizable ophthalmic lens capable of wirelessly interfacing with an external device.</w:t>
        <w:br/>
        <w:br/>
        <w:t>"FIGS. 3A-3D illustrate a top down view of various gaze directions and convergence distances of a pair of eyes each wearing energizable ophthalmic lenses with position recognizing mechanisms.</w:t>
        <w:br/>
        <w:br/>
        <w:t>"FIG. 4 illustrates an exemplary embodiment of an energizable ophthalmic lens with a position recognizing mechanism.</w:t>
        <w:br/>
        <w:br/>
        <w:t>"FIG. 5 illustrates an alternate exemplary embodiment of an energizable ophthalmic lens with a position recognizing mechanism</w:t>
        <w:br/>
        <w:br/>
        <w:t>"FIGS. 6A-6B illustrate exemplary process steps for wireless communication between two ophthalmic lenses utilizing an external device.</w:t>
        <w:br/>
        <w:br/>
        <w:t>"FIGS. 7A-7C illustrate alternative process steps for wireless communication between two ophthalmic lenses utilizing an external device.</w:t>
        <w:br/>
        <w:br/>
        <w:t>"FIG. 8A illustrates a system in which an external device is not present.</w:t>
        <w:br/>
        <w:br/>
        <w:t>"FIG. 8B illustrates a system in which an external device offloads, assists, or augments some processing and/or communication functions of the ophthalmic devices.</w:t>
        <w:br/>
        <w:br/>
        <w:t>"FIG. 9 illustrates exemplary timing of transmitters and receivers in an ophthalmic system including an external device."</w:t>
        <w:br/>
        <w:br/>
        <w:t>For more information, see this patent application: Toner, Adam; Pugh, Randall Braxton. Ophthalmic Lens System Capable of Communication between Lenses Utilizing a Secondary External Devicece. Filed September 4, 2013 and posted March 12, 2015. Patent URL: http://appft.uspto.gov/netacgi/nph-Parser?Sect1=PTO2&amp;Sect2=HITOFF&amp;u=%2Fnetahtml%2FPTO%2Fsearch-adv.html&amp;r=5405&amp;p=109&amp;f=G&amp;l=50&amp;d=PG01&amp;S1=20150305.PD.&amp;OS=PD/20150305&amp;RS=PD/20150305</w:t>
        <w:br/>
        <w:br/>
        <w:t>Keywords for this news article include: Microcontroller, Signal Processing, Wireless Technology, Electronic Components, Wireless Communication, Johnson &amp; Johnson Vision Care Inc..</w:t>
        <w:br/>
        <w:br/>
        <w:t>Our reports deliver fact-based news of research and discoveries from around the world. Copyright 2015, NewsRx LLC</w:t>
      </w:r>
    </w:p>
    <w:p>
      <w:pPr>
        <w:pStyle w:val="Heading1"/>
      </w:pPr>
      <w:r>
        <w:t>End of Article 18</w:t>
      </w:r>
    </w:p>
    <w:p>
      <w:r>
        <w:br w:type="page"/>
      </w:r>
    </w:p>
    <w:p>
      <w:pPr>
        <w:pStyle w:val="Heading1"/>
      </w:pPr>
      <w:r>
        <w:t>Start of Article 19</w:t>
      </w:r>
    </w:p>
    <w:p>
      <w:pPr>
        <w:pStyle w:val="Heading1"/>
      </w:pPr>
      <w:r>
        <w:t>Document ID LFSW000020150313eb3h001e3</w:t>
      </w:r>
    </w:p>
    <w:p>
      <w:r>
        <w:t>Our news journalists obtained a quote from the research from Eli Lilly, "Postmenopausal women with a lumbar spine T-score -2.0 to -3.5, inclusive, were randomized to subcutaneous blosozumab 180mg every 4 weeks (Q4W), 180mg every 2 weeks (Q2W), 270mg Q2W, or matching placebo for 1 year, with calcium and vitamin D. Serial measurements of spine and hip BMD and biochemical markers of bone turnover were performed. Overall, 120 women were enrolled in the study (mean age 65.8 years, mean lumbar spine T-score -2.8). Blosozumab treatment resulted in statistically significant dose-related increases in spine, femoral neck, and total hip BMD as compared with placebo. In the highest dose group, BMD increases from baseline reached 17.7% at the spine, and 6.2% at the total hip. Biochemical markers of bone formation increased rapidly during blosozumab treatment, and trended toward pretreatment levels by study end. However, bone specific alkaline phosphatase remained higher than placebo at study end in the highest-dose group. CTx, a biochemical marker of bone resorption, decreased early in blosozumab treatment to a concentration less than that of the placebo group by 2 weeks, and remained reduced throughout blosozumab treatment. Mild injection site reactions were reported more frequently with blosozumab than placebo."</w:t>
        <w:br/>
        <w:br/>
        <w:t>According to the news editors, the research concluded: "Treatment of postmenopausal women with an antibody targeted against sclerostin resulted in substantial increases in spine and hip BMD. These results support further study of blosozumab as a potential anabolic therapy for osteoporosis."</w:t>
        <w:br/>
        <w:br/>
        <w:t>For more information on this research see: A Randomized, Double-Blind Phase 2 Clinical Trial of Blosozumab, a Sclerostin Antibody, in Postmenopausal Women with Low Bone Mineral Density. Journal of Bone and Mineral Research, 2015;30(2):216-224. Journal of Bone and Mineral Research can be contacted at: Wiley-Blackwell, 111 River St, Hoboken 07030-5774, NJ, USA. (Wiley-Blackwell - www.wiley.com/; Journal of Bone and Mineral Research - onlinelibrary.wiley.com/journal/10.1002/(ISSN)1523-4681)</w:t>
        <w:br/>
        <w:br/>
        <w:t>The news correspondents report that additional information may be obtained from R.R. Recker, Lilly Res Labs Japan, Kobe, Hyogo, Japan. Additional authors for this research include C.T. Benson, T. Matsumoto, M.A. Bolognese, D.A. Robins, J. Alam, A.Y. Chiang, L.J. Hu, J.H. Krege, H. Sowa, B.H. Mitlak and S.L. Myers.</w:t>
        <w:br/>
        <w:br/>
        <w:t>Keywords for this news article include: Asia, Antibodies, Hyogo, Japan, Therapy, Placebos, Immunology, Biochemical, Biochemistry, Bone Research, Blood Proteins, Immunoglobulins, Clinical Research, Clinical Trials and Studies</w:t>
        <w:br/>
        <w:br/>
        <w:t>Our reports deliver fact-based news of research and discoveries from around the world. Copyright 2015, NewsRx LLC</w:t>
      </w:r>
    </w:p>
    <w:p>
      <w:pPr>
        <w:pStyle w:val="Heading1"/>
      </w:pPr>
      <w:r>
        <w:t>End of Article 19</w:t>
      </w:r>
    </w:p>
    <w:p>
      <w:r>
        <w:br w:type="page"/>
      </w:r>
    </w:p>
    <w:p>
      <w:pPr>
        <w:pStyle w:val="Heading1"/>
      </w:pPr>
      <w:r>
        <w:t>Start of Article 20</w:t>
      </w:r>
    </w:p>
    <w:p>
      <w:pPr>
        <w:pStyle w:val="Heading1"/>
      </w:pPr>
      <w:r>
        <w:t>Document ID BIOELSE020151117ebb90001r</w:t>
      </w:r>
    </w:p>
    <w:p>
      <w:r>
        <w:t xml:space="preserve"> The STELLAR (Safety and Therapeutic Efficacy of Live-attenuated Listeria/GVAX with Anti-PD1 Regimen) poster highlighted the randomized, controlled trial that now has an increased enrolment target of 102 adult patients with metastatic pancreatic cancer who have failed one prior chemotherapy regimen for metastatic disease. With the increased enrolment target, Aduro now expects enrolment to be completed in 2H 2016 and continues to expect interim data in 2H 2016. Original Source: BioSpace.com, 2015. From website: http://www.biospace.com.</w:t>
        <w:br/>
        <w:br/>
        <w:t>BioSpace</w:t>
        <w:br/>
        <w:br/>
        <w:t>Website: http://www.biospace.com</w:t>
      </w:r>
    </w:p>
    <w:p>
      <w:pPr>
        <w:pStyle w:val="Heading1"/>
      </w:pPr>
      <w:r>
        <w:t>End of Article 20</w:t>
      </w:r>
    </w:p>
    <w:p>
      <w:r>
        <w:br w:type="page"/>
      </w:r>
    </w:p>
    <w:p>
      <w:pPr>
        <w:pStyle w:val="Heading1"/>
      </w:pPr>
      <w:r>
        <w:t>Start of Article 21</w:t>
      </w:r>
    </w:p>
    <w:p>
      <w:pPr>
        <w:pStyle w:val="Heading1"/>
      </w:pPr>
      <w:r>
        <w:t>Document ID IFDAW00020151023eban00009</w:t>
      </w:r>
    </w:p>
    <w:p>
      <w:r>
        <w:t>Miller said diagnostic makers need to be incentivized to tackle these challenges in much the same way drug manufacturers have been to discover, develop and validate new antibiotics and anti-infective strategies. Regulatory incentives should create "a regulatory and medical landscape which adapts to these new realities," he said.</w:t>
        <w:br/>
        <w:br/>
        <w:t>In addition to regulatory incentives, he said there needs to be federal funding set aside to specifically encourage research into infectious disease diagnostics and there needs to be creative and adaptive modernized clinical trial models.</w:t>
        <w:br/>
        <w:br/>
        <w:t>There also needs to be a change in reimbursement policies "based on medical value and the importance of the diagnostic test to manage patients, and not just on the technology," Miller said. As an example, Miller said a host-based signature assay for diagnosing strep throat should not be reimbursed the same as a protein signature assay for diagnosing tuberculosis reinfection or sepsis.</w:t>
        <w:br/>
        <w:br/>
        <w:t>Without this reimbursement differential, he said, in vitro diagnostic manufacturers will be reluctant to invest the money necessary to develop "the innovative and necessary biomarkers that we need today."</w:t>
        <w:br/>
        <w:br/>
        <w:t>The White House action plan calls for FDA and CMS to work with industry partners to streamline development and uptake of new diagnostic tests and facilitate their use to improve patient treatment and achieve public health goals. "A major aim of these efforts is to develop well-defined reimbursement policies and incentives that encourage routine use of diagnostics in clinical settings to distinguish between bacterial and viral infections and identify the antibiotic susceptibilities of bacteria," the plan states.</w:t>
        <w:br/>
        <w:br/>
        <w:t>FDA says in a discussion paper prepared for the public meeting that progress in the development and validation of non-microbial analytes for diagnosing infections has been hampered by uncertainty regarding clinically relevant performance standards as well as the diversity of approaches to clinical study design, comparator methods and statistical analysis.</w:t>
        <w:br/>
        <w:br/>
        <w:t>"Increased emphasis on antibiotic stewardship has heightened interest in non-microbial based biomarkers in settings where infection may be suspected but difficult or problematic to confirm," the discussion paper says. "Differentiating disease etiology by non-microbial analytes is not a new concept; analytes such as procalcitonin (PCT) and CRP have strong advocates and detractors for use in patients with suspected or documented infection."</w:t>
        <w:br/>
        <w:br/>
        <w:t>The public meeting, in part, focused on the use of non-microbial biomarkers to discriminate between viral, bacterial and non-infectious etiologies of suspected respiratory infection, because the agency said this has been a major focus of non-microbial biomarker research.</w:t>
        <w:br/>
        <w:br/>
        <w:t>"There has been greater impetus for this research in the setting of rising antimicrobial resistance and increasing recognition of potential adverse effects from antimicrobials," FDA says.</w:t>
        <w:br/>
        <w:br/>
        <w:t>The agency says that the scientific community generally conducts studies for these types of diagnostics using prospective trials. This is challenging because uncommon but clinically significant pathogens may be difficult to capture -- even in large clinical trials -- using a prospective approach, FDA adds.</w:t>
        <w:br/>
        <w:br/>
        <w:t xml:space="preserve">FDA also is exploring non-microbial biomarkers for the diagnosis of sepsis, which the agency notes is not a singular disease entity with a clearly defined pathophysiology relative to a non-septic state. -- Erin Durkin </w:t>
      </w:r>
    </w:p>
    <w:p>
      <w:pPr>
        <w:pStyle w:val="Heading1"/>
      </w:pPr>
      <w:r>
        <w:t>End of Article 21</w:t>
      </w:r>
    </w:p>
    <w:p>
      <w:r>
        <w:br w:type="page"/>
      </w:r>
    </w:p>
    <w:p>
      <w:pPr>
        <w:pStyle w:val="Heading1"/>
      </w:pPr>
      <w:r>
        <w:t>Start of Article 22</w:t>
      </w:r>
    </w:p>
    <w:p>
      <w:pPr>
        <w:pStyle w:val="Heading1"/>
      </w:pPr>
      <w:r>
        <w:t>Document ID CHIMOG0020151019eba90000b</w:t>
      </w:r>
    </w:p>
    <w:p>
      <w:r>
        <w:t>Website: http://www.teknoscienze.com</w:t>
      </w:r>
    </w:p>
    <w:p>
      <w:pPr>
        <w:pStyle w:val="Heading1"/>
      </w:pPr>
      <w:r>
        <w:t>End of Article 22</w:t>
      </w:r>
    </w:p>
    <w:p>
      <w:r>
        <w:br w:type="page"/>
      </w:r>
    </w:p>
    <w:p>
      <w:pPr>
        <w:pStyle w:val="Heading1"/>
      </w:pPr>
      <w:r>
        <w:t>Start of Article 23</w:t>
      </w:r>
    </w:p>
    <w:p>
      <w:pPr>
        <w:pStyle w:val="Heading1"/>
      </w:pPr>
      <w:r>
        <w:t>Document ID IHPDB00020151102ebb200006</w:t>
      </w:r>
    </w:p>
    <w:p>
      <w:r>
        <w:t>Pacira's suit alleged the agency violated the Administrative Procedure Act, its own guidance and the First and Fifth Amendments by not allowing the company to promote its post-surgical analgesia product Exparel for its approved indications. The New Jersey-based drug maker filed its lawsuit in the U.S. District Court for the Southern District of New York -- the same jurisdiction that is currently working through an off-label promotion case brought against FDA by Amarin Pharma Inc. In the Amarin case, Circuit Court Judge Paul Engelmayer granted Amarin a wide-ranging preliminary injunction to promote its drug Vascepa off-label based on a 2nd Circuit Court of Appeals 2012 decision in United States v. Caronia.</w:t>
        <w:br/>
        <w:br/>
        <w:t>A scheduling order for the case posted last week says FDA and Pacira "have engaged in and continue to engage in settlement discussions in hopes of resolving this case or, at a minimum, narrowing the dispute," and gives the agency until Nov. 12 to respond to the lawsuit.</w:t>
        <w:br/>
        <w:br/>
        <w:t>An FDA spokeswoman declined to comment on the agency removing the letter from its website, saying "it relates to matters involving pending/ongoing legislation."</w:t>
        <w:br/>
        <w:br/>
        <w:t>Foley &amp; Lardner attorney David Rosen says it is rare for FDA to pull a warning letter.</w:t>
        <w:br/>
        <w:br/>
        <w:t>"I've been working in the FDA world for about 36 years, and it doesn't happen often -- it's pretty rare," Rosen said. "Pulling the warning letter doesn't mean it's rescinded, there must have been discussions with the company."</w:t>
        <w:br/>
        <w:br/>
        <w:t>The warning letter was the basis for Pacira filing the lawsuit.</w:t>
        <w:br/>
        <w:br/>
        <w:t>In October 2011, FDA approved Exparel for "administration into the surgical site to produce postsurgical analgesia," which the drug maker contends is a broad indication. Pacira notes that in the approved labeling there are no limits on the use in any type of surgical procedure, and the only limitation is on pediatric use.</w:t>
        <w:br/>
        <w:br/>
        <w:t>FDA granted the indication based on two representative clinical studies -- one on hemorrhoidectomy patients to study the effect of the drug on soft tissue pain, and one on bunionectomy patients to study the effect on hard-tissue/orthopedic pain. Pacira points out that FDA normally has approved analgesics with broad indications and broad dosing paradigms "based on limited clinical studies that are understood to be representative and extrapolative." The company also says FDA approved Exparel as effective for up to 72 hours.</w:t>
        <w:br/>
        <w:br/>
        <w:t>In October 2014, after three years of the product's marketing and during which Pacira regularly sent FDA its promotional materials for review, the agency sent the drug maker the warning letter saying administration guides by the company and a journal advertisement are misleading and misbrand the product.</w:t>
        <w:br/>
        <w:br/>
        <w:t>In the warning letter, FDA says the administration guides promote a use for Exparel that is not approved because they describe administration techniques for laparoscopic cholecystectomy and open colectomy,noting that only dosing regimes for hemorrhoidectomy and bunionectomy are included on the label.</w:t>
        <w:br/>
        <w:br/>
        <w:t>Rosen says it's odd for Pacira to receive a general indication and then for FDA to say the company can only market Exparel for hemorrhoidectomy and bunionectomy.</w:t>
        <w:br/>
        <w:br/>
        <w:t>"It's not necessarily off-label per se, unless FDA is perceiving more specific indication to be specifically off-label -- but for a pain relief pain that's kind of interesting," Rosen said.</w:t>
        <w:br/>
        <w:br/>
        <w:t>Pacira complied with FDA's warning letter in order to "minimize further disruption to its business," but also made several attempts to meet with the agency to discuss why the warning letter was in error. This included sending FDA a 32-page white paper in June 2015 outlining why the agency's position is "inconsistent with scientific evidence, prior precedents, and the FDA's own regulations."</w:t>
        <w:br/>
        <w:br/>
        <w:t>The drug maker says it has been completely rebuffed by the FDA. In July 2015, FDA sent Pacira a close-out letter on the warning letter without any "formal or informal" response to the drug maker's repeated attempts at rebuttal and meeting requests, the company says. Because of this, the company says, it had no other recourse but to file suit against the agency.</w:t>
        <w:br/>
        <w:br/>
        <w:t>Pacira contends by limiting Exparel's indications in the warning letter to hemorrhoidectomy and bunionectomy the agency is changing the rules after the fact, thereby violating the Administrative Procedure Act and the company's Fifth Amendment right to due process.</w:t>
        <w:br/>
        <w:br/>
        <w:t>Additionally, Pacira says in the complaint that even if the claims it was making were off-label -- which the company vehemently says were not -- the 2nd Circuit's ruling in Caronia that "the government cannot prosecute pharmaceutical manufacturers and their representatives under the FDCA for speech promoting the lawful, off-label use of an FDA approved drug" would allow the drug maker to make the claims. -- Todd Allen Wilson (twilson@iwpnews.com)</w:t>
      </w:r>
    </w:p>
    <w:p>
      <w:pPr>
        <w:pStyle w:val="Heading1"/>
      </w:pPr>
      <w:r>
        <w:t>End of Article 23</w:t>
      </w:r>
    </w:p>
    <w:p>
      <w:r>
        <w:br w:type="page"/>
      </w:r>
    </w:p>
    <w:p>
      <w:pPr>
        <w:pStyle w:val="Heading1"/>
      </w:pPr>
      <w:r>
        <w:t>Start of Article 24</w:t>
      </w:r>
    </w:p>
    <w:p>
      <w:pPr>
        <w:pStyle w:val="Heading1"/>
      </w:pPr>
      <w:r>
        <w:t>Document ID BIOELSE020150916eb9900019</w:t>
      </w:r>
    </w:p>
    <w:p>
      <w:r>
        <w:t xml:space="preserve"> ALEX, an ongoing, global randomized Phase III study is comparing alectinib to crizotinib as an initial (first-line) treatment for people with advanced NSCLC whose tumours were characterized as ALK-positive by a companion immunohistochemistry (IHC) test developed by Roche Diagnostics. Original Source: BioSpace.com, 2015. From website: http://www.biospace.com.</w:t>
        <w:br/>
        <w:br/>
        <w:t>BioSpace</w:t>
        <w:br/>
        <w:br/>
        <w:t>Website: http://www.biospace.com</w:t>
      </w:r>
    </w:p>
    <w:p>
      <w:pPr>
        <w:pStyle w:val="Heading1"/>
      </w:pPr>
      <w:r>
        <w:t>End of Article 24</w:t>
      </w:r>
    </w:p>
    <w:p>
      <w:r>
        <w:br w:type="page"/>
      </w:r>
    </w:p>
    <w:p>
      <w:pPr>
        <w:pStyle w:val="Heading1"/>
      </w:pPr>
      <w:r>
        <w:t>Start of Article 25</w:t>
      </w:r>
    </w:p>
    <w:p>
      <w:pPr>
        <w:pStyle w:val="Heading1"/>
      </w:pPr>
      <w:r>
        <w:t>Document ID ATPHAB0020150317eb3h0002t</w:t>
      </w:r>
    </w:p>
    <w:p>
      <w:r>
        <w:t>The Watchman Device is indicated to reduce the risk of thromboembolism from the left atrial appendage in patients with non-valvular atrial fibrillation who are at increased risk for stroke and systemic embolism based on CHADS2 or CHA2DS2-VASc scores, are deemed by their physicians to be suitable for warfarin; and have an appropriate rationale to seek a non-pharmacologic alternative to warfarin, taking into account the safety and effectiveness of the device compared to warfarin.</w:t>
        <w:br/>
        <w:br/>
        <w:t>"The Watchman Device is an important step forward in stroke management for patients with AF," said Vivek Reddy, M.D., Director of the Cardiac Arrhythmia Service at the Mount Sinai Medical Center and co-principal investigator of the PROTECT AF and PREVAIL studies. "We know that up to 40 per cent of patients who are eligible for oral anticoagulation do not take it for numerous reasons1, highlighting the need for additional treatment options. The Watchman Device is a breakthrough treatment providing those patients who are suitable for warfarin with an implant-based alternative to long-term warfarin therapy while still reducing the risk of stroke."</w:t>
        <w:br/>
        <w:br/>
        <w:t>The FDA approval of the Watchman Device is based on the robust Watchman clinical programme which consists of numerous studies, with more than 2,400 patients and nearly 6,000 patient-years of follow-up. The Watchman clinical program provided strong evidence that the Watchman Device can be implanted safely and reduces the risk of stroke in eligible patients while enabling most patients to discontinue warfarin. Additionally, a meta-analysis of all of the randomized trial data demonstrated that while ischemic stroke reduction favored warfarin, the Watchman Device provided patients with a comparable protection against all-cause stroke and statistically superior reductions in hemorrhagic stroke, disabling stroke, and cardiovascular death compared to warfarin over long-term follow-up.</w:t>
        <w:br/>
        <w:br/>
        <w:t>"Today marks a defining moment in the company's journey towards establishing left atrial appendage closure therapy in the United States. Boston Scientific is proud to offer this potentially life-changing stroke risk treatment option to high-risk patients with AF who have a reason to seek a non-drug alternative to warfarin. This therapy could free them from the challenges of long-term warfarin therapy," said Joe Fitzgerald, executive vice president and president, Rhythm Management, Boston Scientific. "FDA approval of the Watchman Device is another example of Boston Scientific delivering on its commitment to bring meaningful innovations to patient care."</w:t>
        <w:br/>
        <w:br/>
        <w:t>The Watchman Device has been commercially available internationally since 2009 and is the leading device in percutaneous left atrial appendage closure globally. It is registered in 75 countries and more than 10,000 patients have been treated with the Watchman Device.</w:t>
        <w:br/>
        <w:br/>
        <w:t>The Watchman LAAC Device is a catheter-delivered heart implant designed to close the left atrial appendage (LAA) in order to prevent the migration of blood clots from the LAA, and thus, reduce the incidence of stroke and systemic embolism for higher risk patients with non-valvular AF. The LAA is a thin, sack-like appendix arising from the heart and is believed to be the source of &gt;90 percent of stroke-causing clots that come from the left atrium in patients with non-valvular AF.</w:t>
        <w:br/>
        <w:br/>
        <w:t>Boston Scientific transforms lives through innovative medical solutions that improve the health of patients around the world. As a global medical technology leader for more than 35 years, the company advance science for life by providing a broad range of high performance solutions that address unmet patient needs and reduce the cost of healthcare.</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F69D3FE-C43F-44B1-B563-3C7A2F0577A0}"/>
</file>

<file path=customXml/itemProps3.xml><?xml version="1.0" encoding="utf-8"?>
<ds:datastoreItem xmlns:ds="http://schemas.openxmlformats.org/officeDocument/2006/customXml" ds:itemID="{2FAF58AB-F2F0-42F2-96D6-FB85A9DB5529}"/>
</file>

<file path=customXml/itemProps4.xml><?xml version="1.0" encoding="utf-8"?>
<ds:datastoreItem xmlns:ds="http://schemas.openxmlformats.org/officeDocument/2006/customXml" ds:itemID="{4CB4A606-75C3-4F88-9EE2-D14CE3E221F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