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of Article 1</w:t>
      </w:r>
    </w:p>
    <w:p>
      <w:pPr>
        <w:pStyle w:val="Heading1"/>
      </w:pPr>
      <w:r>
        <w:t>Document ID OBWK000020150619eb6r001es</w:t>
      </w:r>
    </w:p>
    <w:p>
      <w:r>
        <w:t>Our news journalists obtained a quote from the research from the Faculty of Medicine, "In this novel formulation the SM-oil was the active substance and the lipid part. The in vivo study examined the preventive effects of SMEDDS containing SM native seeds oil against carbon tetrachloride (CCI4) induced hepatotoxicity in mice. Determination of alanine aminotransferase (ALT), aspartate aminotransferase (AST) levels and also liver histology investigations have been done. The liver antioxidant status was determined with the concentrations of superoxide dismutase (SOD), catalase (CAT), glutathione peroxidase (GPX), glutathione reductase (GA), and glutathione (GSH) hepatic lipid peroxidation was examined and expressed in terms of malondialdehyde (MDA) content. The plasma levels of AST and ALT significantly diminished by pretreatment with 500 mg/kg and 1000 mg/kg SMEDDS. The pre-treatment with 500 mg/kg and 1000 mg/kg SMEDDS increased GSH level by about 6% respectively 24% compared to the CCI4 group. Due to preventive administration of 500 mg/kg and 1000 mg/kg of SMEDDS in the intoxicated animals, MDA levels were reduced by 22% respectively 58%. Also, an insignificant rise by almost 17% and 19% in the animals treated with the both doses of SMEDDS could be noticed."</w:t>
        <w:br/>
        <w:br/>
        <w:t>According to the news editors, the research concluded: "It can be concluded that hepatotoxicity may be avoided by, the oral application of our formulation."</w:t>
        <w:br/>
        <w:br/>
        <w:t>For more information on this research see: Hepatoprotective effects of a self-micro emulsifying drug delivery system containing Silybum marianum native seed oil against experimentally induced liver injury. Pharmazie, 2015;70(4):231-238. Pharmazie can be contacted at: Govi-Verlag Pharmazeutischer Verlag Gmbh, Pharmazeutisccarl Mannich Str 26, D-65760 Eschborn, Germany. (Wiley-Blackwell - www.wiley.com/; Pharmazie - onlinelibrary.wiley.com/journal/10.1002/(ISSN)1615-1003)</w:t>
        <w:br/>
        <w:br/>
        <w:t>The news correspondents report that additional information may be obtained from P. Feher, Vasile Goldis Western Univ Arad, Fac Med Pharm &amp; Dental, Dept. of Histol, Arad, Romania. Additional authors for this research include Z. Ujhelyi, M. Vecsernyes, F. Fenyvesi, G. Damache, A. Ardelean, M. Costache, A. Dinischiotu, A. Hermenean and I. Bacskay.</w:t>
        <w:br/>
        <w:br/>
        <w:t>Keywords for this news article include: Arad, Europe, Romania, Glutathione, Oligopeptides, Aminotransferase, Drugs and Therapies, Drug Delivery Systems, Enzymes and Coenzymes</w:t>
        <w:br/>
        <w:br/>
        <w:t>Our reports deliver fact-based news of research and discoveries from around the world. Copyright 2015, NewsRx LLC</w:t>
      </w:r>
    </w:p>
    <w:p>
      <w:pPr>
        <w:pStyle w:val="Heading1"/>
      </w:pPr>
      <w:r>
        <w:t>End of Article 1</w:t>
      </w:r>
    </w:p>
    <w:p>
      <w:r>
        <w:br w:type="page"/>
      </w:r>
    </w:p>
    <w:p>
      <w:pPr>
        <w:pStyle w:val="Heading1"/>
      </w:pPr>
      <w:r>
        <w:t>Start of Article 2</w:t>
      </w:r>
    </w:p>
    <w:p>
      <w:pPr>
        <w:pStyle w:val="Heading1"/>
      </w:pPr>
      <w:r>
        <w:t>Document ID KRTBM00020150721eb7k00003</w:t>
      </w:r>
    </w:p>
    <w:p>
      <w:r>
        <w:t>"Cook was founded in Bloomington more than a half century ago, and we are thrilled to continue our company's deep connection with the state of Indiana and the city of Bloomington," said Tedd Green, president of Cook Pharmica, in the press release.</w:t>
        <w:br/>
        <w:br/>
        <w:t>In April, the Bloomington City Council approved a 10-year tax abatement and $250,000 from the Bloomington Industrial Development Fund for the expansion. Council members were told the 70 jobs would add $3.2 million in new salaries three years after the expansion is completed.</w:t>
        <w:br/>
        <w:br/>
        <w:t>"Cook Pharmica is an economic force in Bloomington, attracting continued national and international recognition of our life sciences sector," said Bloomington Mayor Mark Kruzan in the Monday release. "Cook Pharmica's commitment to expansion in equipment, site improvements and workforce and the city's support through this tax abatement will further solidify the appeal of Bloomington to a talented workforce, attract additional private sector investment and increase the awareness of Bloomington's economic strengths internationally."</w:t>
        <w:br/>
        <w:br/>
        <w:t>The Cook Pharmica division represents 575 of the more than 13,000 global Cook Group employees. The company is currently accepting applications through the careers tab on its website, at www.cookpharmica.com.</w:t>
        <w:br/>
        <w:br/>
        <w:t>"With a $59 billion economic impact in Indiana, the strength of our life sciences industry has a tremendous effect throughout the state," said Gov. Mike Pence in a statement. "Here in Indiana, we're passionate about developing products that make our world a healthier place. We offer the business environment companies like Cook Pharmica need to thrive and in turn, create excellent jobs for Hoosiers."</w:t>
        <w:br/>
        <w:br/>
        <w:t>Besides working with the city, Cook Pharmica has worked with the IEDC to continue expanding its manufacturing services. The IEDC offered Cook Pharmica up to $275,000 in conditional tax credits and up to $400,000 in training grants based on the company's job creation plans, pending the hire of Hoosiers that meet the incentive's performance-based needs.</w:t>
        <w:br/>
        <w:br/>
        <w:t>-----</w:t>
        <w:br/>
        <w:br/>
        <w:t>___</w:t>
        <w:br/>
        <w:br/>
        <w:t>(c)2015 the Herald-Times (Bloomington, Ind.)</w:t>
        <w:br/>
        <w:br/>
        <w:t>Visit the Herald-Times (Bloomington, Ind.) at www.heraldtimesonline.com</w:t>
        <w:br/>
        <w:br/>
        <w:t>Distributed by Tribune Content Agency, LLC.</w:t>
        <w:br/>
        <w:br/>
        <w:t>Copyright (c) 2015, Herald-Times, Bloomington, Ind.</w:t>
      </w:r>
    </w:p>
    <w:p>
      <w:pPr>
        <w:pStyle w:val="Heading1"/>
      </w:pPr>
      <w:r>
        <w:t>End of Article 2</w:t>
      </w:r>
    </w:p>
    <w:p>
      <w:r>
        <w:br w:type="page"/>
      </w:r>
    </w:p>
    <w:p>
      <w:pPr>
        <w:pStyle w:val="Heading1"/>
      </w:pPr>
      <w:r>
        <w:t>Start of Article 3</w:t>
      </w:r>
    </w:p>
    <w:p>
      <w:pPr>
        <w:pStyle w:val="Heading1"/>
      </w:pPr>
      <w:r>
        <w:t>Document ID IHPDB00020150820eb8k00005</w:t>
      </w:r>
    </w:p>
    <w:p>
      <w:r>
        <w:t>The approval of Addyi, also known as flibanserin and manufactured by Sprout Pharmaceuticals, is hinged on several post-market restrictions. These include a boxed warning outlining the risks of low blood pressure and fainting in patients who drink alcohol while taking the drug, and a requirement that doctors complete a training course in order to prescribe the drug. FDA also requires Sprout Pharmaceuticals to Òconduct three well-designed studies in women to better understand the known serious risks of the interaction between Addyi and alcohol,Ó according to a release from the agency.</w:t>
        <w:br/>
        <w:br/>
        <w:t>The company acknowledged the risk associated with the drug and pledged to conduct further studies into the safeness of the drug. ÒWith the FDA, Sprout Pharmaceuticals developed a comprehensive Risk Evaluation and Mitigation Strategy (REMS) program, including prescriber and pharmacist certification, to ensure safe use of Addyi. Sprout has also committed to enhanced pharmacovigilance and Phase 4 studies to mitigate and further characterize the safety profile of Addyi,Ó Sprout Pharmaceuticals wrote in a release.</w:t>
        <w:br/>
        <w:br/>
        <w:t>The post-market restrictions aren't enough to appease Sidney Wolfe, founder and senior adviser for Public Citizen's Health Research Group. Wolfe, in a statement Wednesday (Aug. 19), said the approval Òpresents serious dangers to women, with little benefit, and recklessly disregards the worrisome risk information in the agency's briefing package to the advisory committees.Ó</w:t>
        <w:br/>
        <w:br/>
        <w:t>Wolfe notes FDA said publicly it does not envision a risk-management system that will be robust enough to mitigate the side-effects of the so-called female Viagra. Ò[E]ven the most restrictive REMS may be limited in effectively mitigating the risks of hypotension and syncope alone and when used concomitantly with alcohol in the postmarketing setting, should flibanserin be approved,Ó the agency wrote in briefing materials for the advisory panel meeting for flibanserin on June 4.</w:t>
        <w:br/>
        <w:br/>
        <w:t>Wolfe expects FDA will call for removal of the drug from pharmacy shelves due to stories he expects to arise detailing the harm suffered by women taking the treatment.</w:t>
        <w:br/>
        <w:br/>
        <w:t>ÒIt would not be surprising that after enough women have been seriously harmed by the 'irreversible, or life threatening injuries' about which the FDA is concerned, flibanserin will have to be taken off the market. It is unconscionable that the FDA does not have the courage to prevent such damage from a drug with such a high ratio of risks to benefits,Ó he wrote. Side effects for the drug include fainting and abnormally low blood pressure, which can be more pronounced when combined with alcohol intake.</w:t>
        <w:br/>
        <w:br/>
        <w:t>FDA touted its decision as a sign of the agency's commitment to women's health but also raised safety concerns.</w:t>
        <w:br/>
        <w:br/>
        <w:t>ÒBecause of a potentially serious interaction with alcohol, treatment with Addyi will only be available through certified health care professionals and certified pharmacies,Ó FDA drug center chief Janet Woodcock said in a statement Tuesday. ÒPatients and prescribers should fully understand the risks associated with the use of Addyi before considering treatment.Ó</w:t>
        <w:br/>
        <w:br/>
        <w:t>But Woodcock also hailed the approval as good news for women. ÒTodayÕs approval provides women distressed by their low sexual desire with an approved treatment option,Ó she said. ÒThe FDA strives to protect and advance the health of women, and we are committed to supporting the development of safe and effective treatments for female sexual dysfunction.Ó</w:t>
        <w:br/>
        <w:br/>
        <w:t>Critics of the approval have also questioned the marketing strategy behind flibanserin. In a white paper released last month, the authors allege the original manufacturer, Boehringer Ingelheim, which sold the drug to Sprout Pharmaceuticals, used continuing medical education (CME) courses to essentially establish hypoactive sexual disorder as a disease prior to the drug winning approval from the FDA, a process they refer to as disease marketing.</w:t>
        <w:br/>
        <w:br/>
        <w:t>"The commercial practice of creating or expanding the market for a drug by convincing physicians and other prescribers that an 'unmet need' exists relies on industry funded CME. Messages in CME may be subtle--for example, fostering specific diagnoses rather than specific drugs--and may go undetected by CME accreditors and audiences alike," they wrote in the white paper.</w:t>
        <w:br/>
        <w:br/>
        <w:t>The Accreditation Council for Continuing Medical Education (ACCME) cautioned against linking intent to information given to clinicians in accredited CME. "You have to be very careful to step back from ascribing intent to looking at what could be, and what is likely to be independent, appropriate educational activities for clinicians for diseases that clinicians need to know about and be aware of, to help teach them how to diagnose and treat them and that's exactly what accredited CME is," Graham McMahon, president and CEO of the organization, previously told Inside Health Policy. -- Joe Williams (jwilliams@iwpnews.com)</w:t>
      </w:r>
    </w:p>
    <w:p>
      <w:pPr>
        <w:pStyle w:val="Heading1"/>
      </w:pPr>
      <w:r>
        <w:t>End of Article 3</w:t>
      </w:r>
    </w:p>
    <w:p>
      <w:r>
        <w:br w:type="page"/>
      </w:r>
    </w:p>
    <w:p>
      <w:pPr>
        <w:pStyle w:val="Heading1"/>
      </w:pPr>
      <w:r>
        <w:t>Start of Article 4</w:t>
      </w:r>
    </w:p>
    <w:p>
      <w:pPr>
        <w:pStyle w:val="Heading1"/>
      </w:pPr>
      <w:r>
        <w:t>Document ID LFSW000020150213eb2h0034x</w:t>
      </w:r>
    </w:p>
    <w:p>
      <w:r>
        <w:t>Reporters obtained the following quote from the background information supplied by the inventors: "Provided herein are crystal polymorphs of a factor Xa inhibitor and compositions and methods thereof.</w:t>
        <w:br/>
        <w:br/>
        <w:t>"Factor Xa is a serine protease, the activated form of its precursor factor X, and a member of the calcium ion binding, gamma carboxyglutamic acid (GLA)-containing, vitamin K dependent, blood coagulation factors. Factor Xa appears to have a single physiologic substrate, namely prothrombin. Since one molecule of factor Xa may be able to generate greater than 1000 molecules of thrombin (Mann, et al., J. Thrombosis. Haemostasis 1: 1504-1514, 2003), direct inhibition of factor Xa as a way of indirectly inhibiting the formation of thrombin has been considered an efficient anticoagulant strategy.</w:t>
        <w:br/>
        <w:br/>
        <w:t>"Several classes of small molecule factor Xa inhibitors have been reported, for example, in U.S. Pat. Nos. 7,521,470, 7,696,352, and 7,763,608, U.S. Patent Application Publication Nos. 2007/0066615, 2008/0293704, and 2008/0051578, all of which are incorporated by reference in their entirety.</w:t>
        <w:br/>
        <w:br/>
        <w:t>"U.S. Pat. No. 6,376,515 B2 discloses a specific factor Xa inhibitor compound identified in Example 206, which is also disclosed in U.S. Pat. No. 6,835,739 B2 as Example 206 and herein identified as betrixaban. The structure of betrixaban is represented by Formula I:</w:t>
        <w:br/>
        <w:br/>
        <w:t>"##STR00001##</w:t>
        <w:br/>
        <w:br/>
        <w:t>"In addition, U.S. Pat. No. 7,598,276 (the '276 patent) describes salts and a crystalline polymorph of a maleate salt of betrixaban (also referred to as Form I). U.S. Pat. Nos. 6,376,515, 6,835,739 and 7,598,276 are incorporated by reference in their entirety."</w:t>
        <w:br/>
        <w:br/>
        <w:t>In addition to obtaining background information on this patent, NewsRx editors also obtained the inventors' summary information for this patent: "In one aspect, there is provided crystalline polymorphs of the maleate salt of betrixaban, which salt is represented by Formula II:</w:t>
        <w:br/>
        <w:br/>
        <w:t>"##STR00002##</w:t>
        <w:br/>
        <w:br/>
        <w:t>"In one embodiment, there is provided Form II, a crystalline form which exhibits an X-ray powder diffraction pattern having at least the following approximate characteristic peak locations: 5.0, 9.7, 10.1, 15.3, 17.5, and 19.6 degrees 2.theta.. In another embodiment, the X-ray powder diffraction pattern has at least six, or eight, or ten, or all of the approximate characteristic peak locations selected from 5.0, 9.7, 10.1, 14.6, 15.3, 17.5, 18.0, 18.7, 19.6, 19.2, 22.0, 22.6, 23.0, 23.7, 24.5, 26.5, 26.9, 29.2, 29.5, 30.4, and 35.0 degrees 2.theta.. In one embodiment, the approximate characteristic peaks will have a deviation of up to about 0.05 degrees 2.theta.. In another embodiment, the X-ray powder diffraction pattern is approximate to the X-ray powder diffraction pattern shown in FIG. 2 or 3. In one embodiment, Form II is an anhydrate.</w:t>
        <w:br/>
        <w:br/>
        <w:t>"In another embodiment, there is provided Form III, another crystalline form of the maleate salt of Formula II which exhibits an X-ray powder diffraction pattern having at least the following approximate characteristic peak locations: 15.1, 2.2, 4.9, 17.4, 10.0, and 22.4 degrees 20. In another embodiment, the X-ray powder diffraction pattern has at least six, or eight, or ten, or all of the approximate characteristic peak locations selected from 15.1, 2.2, 4.9, 17.4, 10.0, 22.4, 26.5, 2.9, 24.6, 19.4, and 24.2 degrees 2.theta.. In one embodiment, Form III is a hemihydrate. 2.theta.. In one embodiment, the approximate characteristic peaks will have a deviation of up to about 0.05 degrees 2.theta.. In another embodiment, the X-ray powder diffraction pattern is approximate to the top X-ray powder diffraction pattern shown in FIG. 12.</w:t>
        <w:br/>
        <w:br/>
        <w:t>"In another aspect, there is provided a method for preparing Form II or Form III. In some embodiments, the method is for preparing Form II, which method comprises heating a composition comprising the salt of Formula II:</w:t>
        <w:br/>
        <w:br/>
        <w:t>"##STR00003## in a solvent comprising water and optionally ethanol to a temperature of at least about 50.degree. C. to obtain a solution, and cooling the solution to at or below about 20.degree. C. but above the freezing temperature of the solvent.</w:t>
        <w:br/>
        <w:br/>
        <w:t>"In some embodiments, the method is for preparing Form II, which method comprises heating a composition comprising betrixaban free base and at least one equivalent of maleic acid in a solvent comprising water and optionally ethanol to a temperature of about 45.degree. C. to about 60.degree. C., addition of a seed crystal of Form II, and cooling the solution to at or below about 30.degree. C. but above the freezing temperature of the solvent.</w:t>
        <w:br/>
        <w:br/>
        <w:t>"In another aspect, there is provided a method of preparing betrixaban, comprising reacting Compound C:</w:t>
        <w:br/>
        <w:br/>
        <w:t>"##STR00004## with dimethylamide lithium (LiN(CH.sub.3).sub.2) under reaction conditions wherein the dimethylamide lithium is added over a period of no less than 3 hours at a temperature of between about 8.degree. C. and about 12.degree. C.</w:t>
        <w:br/>
        <w:br/>
        <w:t>"In another aspect, there is provided a pharmaceutical composition for preventing or treating a condition characterized by undesired thrombosis in a subject comprising a pharmaceutically acceptable carrier and a therapeutically effective amount of one or more of the polymorphs of the maleate salt of betrixaban provided herein. In other embodiments, the pharmaceutical composition is suitable for oral delivery. In one embodiment, the pharmaceutical composition is in tablet form. In another embodiment, the pharmaceutical composition is in capsule form. In yet another embodiment, the pharmaceutical composition is in lozenge form. In other embodiments, the pharmaceutical composition is in a form suitable for infusion, injection, or transdermal delivery.</w:t>
        <w:br/>
        <w:br/>
        <w:t>"In yet another aspect, there is provided a method for preventing or treating a condition characterized by undesired thrombosis in a subject comprising administering to the subject a therapeutically effective amount of Form II or Form III.</w:t>
        <w:br/>
        <w:br/>
        <w:t>"In some embodiments, there is provided a method for preventing or treating thrombosis in a subject in need thereof, comprising administering to the subject a therapeutically effective amount of Form II or Form III.</w:t>
        <w:br/>
        <w:br/>
        <w:t>"In some embodiments, the condition is, or the thrombosis is associated with a condition selected from the group consisting of acute coronary syndrome, myocardial infarction, unstable angina, refractory angina, occlusive coronary thrombus occurring post-thrombolytic therapy or post-coronary angioplasty, a thrombotically mediated cerebrovascular syndrome, embolic stroke, thrombotic stroke, thromboembolic stroke, systemic embolism, ischemic stroke, venous thromboembolism, non-valvular atrial fibrillation, transient ischemic attacks, venous thrombosis, deep venous thrombosis, pulmonary embolus, coagulopathy, disseminated intravascular coagulation, thrombotic thrombocytopenic purpura, thromboanglitis obliterans, thrombotic disease associated with heparin-induced thrombocytopenia, thrombotic complications associated with extracorporeal circulation, thrombotic complications associated with instrumentation, and thrombotic complications associated with the fitting of prosthetic devices.</w:t>
        <w:br/>
        <w:br/>
        <w:t>"In some embodiments, the polymorphs are useful in: prevention of stroke in atrial fibrillation patients (Stroke Prevention in Atrial Fibrillation (SPAF)); prevention of thrombosis in medically ill patients, such as acute medically ill patients; prevention and treatment of deep vein thrombosis; prevention and treatment of thrombosis in patients with hip or knee surgery; prevention of arterial thrombosis in acute coronary syndrome patients; and/or secondary prevention of acute coronary syndrome, myocardial infarction, stroke or other thrombotic events in patients who have had a prior event (e.g., including but not limited to a myocardial infarction or a stroke event).</w:t>
        <w:br/>
        <w:br/>
        <w:t>"In still another aspect, there is provided a method for inhibiting the coagulation of a blood sample comprising the step of contacting the sample with the betrixaban maleate crystalline Form II or Form III."</w:t>
        <w:br/>
        <w:br/>
        <w:t>For more information, see this patent: Capodanno, Vincent R.; Corcoran, Liam; McNevin, Michael; Arroyo, Itzia Zoraida; Wenslow, Robert M.; Ball, Richard G.; Margelefsky, Eric L.; Maher, Timothy K.; Pandey, Anjali. Crystalline Forms of a Factor Xa Inhibitor. U.S. Patent Number 8946269, filed August 31, 2011, and published online on February 3, 2015. Patent URL: http://patft.uspto.gov/netacgi/nph-Parser?Sect1=PTO1&amp;Sect2=HITOFF&amp;d=PALL&amp;p=1&amp;u=%2Fnetahtml%2FPTO%2Fsrchnum.htm&amp;r=1&amp;f=G&amp;l=50&amp;s1=8946269.PN.&amp;OS=PN/8946269RS=PN/8946269</w:t>
        <w:br/>
        <w:br/>
        <w:t>Keywords for this news article include: Pharmaceutical Companies, Portola Pharmaceuticals Inc., Factor Xa, Blood Proteins, Peptide Hydrolases, Enzymes and Coenzymes, Serine Endopeptidases.</w:t>
        <w:br/>
        <w:br/>
        <w:t>Our reports deliver fact-based news of research and discoveries from around the world. Copyright 2015, NewsRx LLC</w:t>
      </w:r>
    </w:p>
    <w:p>
      <w:pPr>
        <w:pStyle w:val="Heading1"/>
      </w:pPr>
      <w:r>
        <w:t>End of Article 4</w:t>
      </w:r>
    </w:p>
    <w:p>
      <w:r>
        <w:br w:type="page"/>
      </w:r>
    </w:p>
    <w:p>
      <w:pPr>
        <w:pStyle w:val="Heading1"/>
      </w:pPr>
      <w:r>
        <w:t>Start of Article 5</w:t>
      </w:r>
    </w:p>
    <w:p>
      <w:pPr>
        <w:pStyle w:val="Heading1"/>
      </w:pPr>
      <w:r>
        <w:t>Document ID LABUS00020150917eb9h0005p</w:t>
      </w:r>
    </w:p>
    <w:p>
      <w:r>
        <w:t>The agreement is subject to customary closing conditions, including regulatory approvals, and is expected to close in the fourth quarter of this year. Dezima shareholders have approved the agreement.</w:t>
        <w:br/>
        <w:br/>
        <w:t>Amgen said its purchase of Dezima Pharma, which is developing treatments for dyslipidemia, will strengthen its cardiovascular drugs portfolio.</w:t>
        <w:br/>
        <w:br/>
        <w:t>Dezima's lead molecule is TA-8995, an oral, once-daily cholesteryl ester transfer protein inhibitor that in a mid-stage clinical trial reduced low-density lipoprotein cholesterol by 45 to 48 percent.</w:t>
        <w:br/>
        <w:br/>
        <w:t>Last month, the Food and Drug Administration approved Amgen's cholesterol-lowering drug, Repatha, and in April, the FDA approved Corlanor to treat patients with chronic heart failure.</w:t>
        <w:br/>
        <w:br/>
        <w:t>"With the recent launches of Repatha (evolocumab) and Corlanor (ivabradine), and today's acquisition of Dezima, Amgen is proud to be on the leading edge of an exciting new wave of treatments for cardiovascular disease, an illness impacting millions of people worldwide," Amgen Chairman and Chief Executive Robert A. Bradway said in a statement.</w:t>
        <w:br/>
        <w:br/>
        <w:t>After the deal is complete, Dezima Pharma, which originally licensed rights to TA-8995 from Mitsubishi Tanabe Pharma Corp., will become a wholly owned unit of Amgen. Mitsubishi Tanabe will receive a portion of the upfront payment, future development and sales milestone payments, and royalties on net product sales if a certain threshold is reached. It also will retain development and commercialization rights to TA-8995 in certain territories in Asia, including Japan.</w:t>
        <w:br/>
        <w:br/>
        <w:t>In a separate announcement, Amgen said it has entered into a research and license agreement with Monrovia-based Xencor(Nasdaq: XNCR) to develop new treatments for cancer immunotherapy and inflammation.</w:t>
        <w:br/>
        <w:br/>
        <w:t>The research collaboration brings together Amgen's capabilities in target discovery and protein therapeutics with Xencor's XmAb bispecific technology platform. The collaboration also includes molecular engineering by Xencor and the preclinical development of bispecific molecules for five programs proposed by Amgen.</w:t>
        <w:br/>
        <w:br/>
        <w:t>Amgen will be fully responsible for preclinical and clinical development and commercialization worldwide.</w:t>
        <w:br/>
        <w:br/>
        <w:t>Xencor will receive a $45 million upfront payment and up to $1.7 billion in clinical, regulatory and sales milestone payments in total for the six programs.</w:t>
        <w:br/>
        <w:br/>
        <w:t>"We are pleased to be joining forces with Xencor to expand our immuno-oncology and inflammation position by leveraging Amgen's antibodies and Xencor's bispecific antibody platform," said Dr. Sean E. Harper, Amgen's executive vice president of research and development.</w:t>
        <w:br/>
        <w:br/>
        <w:t>Xencor partners include Merck, Janssen R&amp;D LLC, Alexion, Novo Nordisk and Boehringer Ingelheim.</w:t>
        <w:br/>
        <w:br/>
        <w:t>Did you find this article useful? Why not subscribe to L.A. Biz for more articles and leads? Visit bizjournals.com/subscribe or call 1-866-853-3661.</w:t>
      </w:r>
    </w:p>
    <w:p>
      <w:pPr>
        <w:pStyle w:val="Heading1"/>
      </w:pPr>
      <w:r>
        <w:t>End of Article 5</w:t>
      </w:r>
    </w:p>
    <w:p>
      <w:r>
        <w:br w:type="page"/>
      </w:r>
    </w:p>
    <w:p>
      <w:pPr>
        <w:pStyle w:val="Heading1"/>
      </w:pPr>
      <w:r>
        <w:t>Start of Article 6</w:t>
      </w:r>
    </w:p>
    <w:p>
      <w:pPr>
        <w:pStyle w:val="Heading1"/>
      </w:pPr>
      <w:r>
        <w:t>Document ID ATPHAM0020150517eb5d00011</w:t>
      </w:r>
    </w:p>
    <w:p>
      <w:r>
        <w:t>Source: Vitae Pharmaceuticals</w:t>
      </w:r>
    </w:p>
    <w:p>
      <w:pPr>
        <w:pStyle w:val="Heading1"/>
      </w:pPr>
      <w:r>
        <w:t>End of Article 6</w:t>
      </w:r>
    </w:p>
    <w:p>
      <w:r>
        <w:br w:type="page"/>
      </w:r>
    </w:p>
    <w:p>
      <w:pPr>
        <w:pStyle w:val="Heading1"/>
      </w:pPr>
      <w:r>
        <w:t>Start of Article 7</w:t>
      </w:r>
    </w:p>
    <w:p>
      <w:pPr>
        <w:pStyle w:val="Heading1"/>
      </w:pPr>
      <w:r>
        <w:t>Document ID NBPPBS0020150601eb62002my</w:t>
      </w:r>
    </w:p>
    <w:p>
      <w:r>
        <w:t>Here is a record of Thomas C. Wilder's transactions that were reported:</w:t>
        <w:br/>
        <w:br/>
        <w:t>Date              Transaction Type  No. of Shares  Price, US$  Value, US$</w:t>
        <w:br/>
        <w:t>May 26, 2015     Sold              3790           16.08       60,943</w:t>
        <w:br/>
        <w:t>June 03, 2013    Sold              22,500         13.25       298,125</w:t>
        <w:br/>
        <w:t>October 31, 2012 Sold              10,000         13.56       135,600</w:t>
        <w:br/>
        <w:br/>
        <w:br/>
        <w:t>MANAGEMENT SCORECARD FOR ENDOLOGIX INC.:</w:t>
        <w:br/>
        <w:br/>
        <w:t>Creation of shareholder value:</w:t>
        <w:br/>
        <w:br/>
        <w:t>Since appointment as Director: The present value of USD1,000 invested on the appointment date of May 20, 2010 at close price of US$4.36 is US$3,828, for a capital gain of US$2,828.</w:t>
        <w:br/>
        <w:br/>
        <w:t>Thomas C. Wilder's performance for Endologix is placed 582/2,362 in BSS News Bites's ranking of NASDAQ performers in the past year, a percentile ranking of 73%.</w:t>
        <w:br/>
        <w:br/>
        <w:t>Key Financials:</w:t>
        <w:br/>
        <w:br/>
        <w:t>(all figures in pct)</w:t>
        <w:br/>
        <w:br/>
        <w:t xml:space="preserve"> Revenue Growth  Operating Margin ROE</w:t>
        <w:br/>
        <w:t>2014            -                 -18.1  -26.1</w:t>
        <w:br/>
        <w:t>2013            24.8              -11.9  -15.4</w:t>
        <w:br/>
        <w:t>2012            27                -33.3  -37.9</w:t>
        <w:br/>
        <w:t>2011            23.6              -34.5  -37.6</w:t>
        <w:br/>
        <w:br/>
        <w:br/>
        <w:t xml:space="preserve"> Share Price (USD)  Market Capitalisation ($)</w:t>
        <w:br/>
        <w:t>Last Traded May 29 16.7 1.1 billion</w:t>
        <w:br/>
        <w:t>1 Year ago         13.3 845.9 million</w:t>
        <w:br/>
        <w:t>2 Years ago        14.0 876.3 million</w:t>
        <w:br/>
        <w:t>3 Years ago        14.3 821.9 million</w:t>
        <w:br/>
        <w:t>4 Years ago        8.4  484.3 million</w:t>
        <w:br/>
        <w:t>5 Years ago        4.5  261.1 million</w:t>
        <w:br/>
        <w:br/>
        <w:br/>
        <w:t>Biography</w:t>
        <w:br/>
        <w:br/>
        <w:t>Thomas C. Wilder, Director</w:t>
        <w:br/>
        <w:br/>
        <w:t>Thomas C. Wilder, III, 51, has served on our board of directors since May 2010. He has served as the President and Chief Executive Officer of Sequent Medical, Inc., a privately-held medical device company focused on developing innovative devices for the treatment of neurovascular disease, since February 2010. Concurrently, he also serves on the board of Benvenue Medical, Inc., a privately-held medical device company focused on the design, manufacture and marketing of products for the minimally invasive spinal surgery market. From May 2009 to February 2010, Mr. Wilder consulted with several medical device companies. From April 2006 to April 2009, Mr. Wilder served as the President and Chief Executive Officer of Photothera, Inc. From 2002 through January 2006, Mr. Wilder served at Micro Therapeutics, Inc. as President and Chief Executive Officer. Following the merger of Micro Therapeutics, Inc. into ev3 Inc. in January 2006, Mr. Wilder served as President, ev3 Neurovascular until April 2006. From 1991 to 2002, Mr. Wilder served in various roles for Medtronic, Inc. From 1986 to 1989, Mr. Wilder served in the Financial Statement Audit Practice of Price Waterhouse. Mr. Wilder has a B.A. in Economics from Stanford University and an M.B.A. from Northwestern University's J.L. Kellogg Graduate School of Management.</w:t>
        <w:br/>
        <w:br/>
        <w:t>Original Newsbody (Release Date: Jun 01, 2015)</w:t>
        <w:br/>
        <w:br/>
        <w:t>http://www.sec.gov/Archives/edgar/data/1013606/000101360615000084/xslF345X03/wf-form4_143316826983212.xml</w:t>
        <w:br/>
        <w:br/>
        <w:t>Source: BuySellSignals.com</w:t>
      </w:r>
    </w:p>
    <w:p>
      <w:pPr>
        <w:pStyle w:val="Heading1"/>
      </w:pPr>
      <w:r>
        <w:t>End of Article 7</w:t>
      </w:r>
    </w:p>
    <w:p>
      <w:r>
        <w:br w:type="page"/>
      </w:r>
    </w:p>
    <w:p>
      <w:pPr>
        <w:pStyle w:val="Heading1"/>
      </w:pPr>
      <w:r>
        <w:t>Start of Article 8</w:t>
      </w:r>
    </w:p>
    <w:p>
      <w:pPr>
        <w:pStyle w:val="Heading1"/>
      </w:pPr>
      <w:r>
        <w:t>Document ID LBA0000020150114eb1e00rgy</w:t>
      </w:r>
    </w:p>
    <w:p>
      <w:r>
        <w:t>** Says FDA approved Fresenius Kabi's neostigmine methylsulfate, which will compete with Flamel's Bloxiverz</w:t>
        <w:br/>
        <w:br/>
        <w:t>** Bloxiverz, approved in 2013, used to reverse effects of neuromuscular blocking agents after surgery</w:t>
        <w:br/>
        <w:br/>
        <w:t>** U.S. Patent and Trademark Office ruling in favor of Jazz Pharmaceuticals Plc's patents on sleep disorder drug Xyrem also raises concerns about impact on Flamel's version (http://bit.ly/152AYqB)</w:t>
        <w:br/>
        <w:br/>
        <w:t>** Flamel's once-daily drug, currently in clinical trials, uses the same active ingredient as Xyrem</w:t>
        <w:br/>
        <w:br/>
        <w:t>** Jazz currently studying a once-daily version of drug</w:t>
        <w:br/>
        <w:br/>
        <w:t>** More than 7.8 million Flamel shares traded, 22 times the 10-day average volume</w:t>
        <w:br/>
        <w:br/>
        <w:t>** Up to Tuesday's close, Flamel's stock had risen 72 percent in the past 12 months</w:t>
      </w:r>
    </w:p>
    <w:p>
      <w:pPr>
        <w:pStyle w:val="Heading1"/>
      </w:pPr>
      <w:r>
        <w:t>End of Article 8</w:t>
      </w:r>
    </w:p>
    <w:p>
      <w:r>
        <w:br w:type="page"/>
      </w:r>
    </w:p>
    <w:p>
      <w:pPr>
        <w:pStyle w:val="Heading1"/>
      </w:pPr>
      <w:r>
        <w:t>Start of Article 9</w:t>
      </w:r>
    </w:p>
    <w:p>
      <w:pPr>
        <w:pStyle w:val="Heading1"/>
      </w:pPr>
      <w:r>
        <w:t>Document ID DRGW000020150529eb6500001</w:t>
      </w:r>
    </w:p>
    <w:p>
      <w:r>
        <w:t>''The data we've collected on our investigational 20 percent treatment support its potential role as a valuable alternative to other conventional IGSC products for patients with immunodeficiency disorders and have formed the basis of our regulatory submission in Europe,'' said John Orloff, MD, vice president and global head of research and development for Baxter BioScience. ''As we build on our legacy of innovation in the interest of patients worldwide, we aim to identify and address priorities for our patient communities around the world. We are confident that this product will support these efforts and enhance the value of our immunology portfolio to the PI community.''</w:t>
        <w:br/>
        <w:br/>
        <w:t>The filing is based on the positive results of a Phase 2/3 study that evaluated the efficacy, safety, tolerability and pharmacokinetics (PK) of IGSC 20 percent in European patients at least two years old with PI. The study met its primary endpoint that measured the rate of validated acute serious bacterial infections (VASBIs); these results were initially presented during the 2014 biennial congress of the European Society for Immunodeficiencies (ESID).</w:t>
        <w:br/>
        <w:br/>
        <w:t>In the study, only one event of VASBI was reported during treatment with IGSC 20 percent, which equated to a low rate of 0.022/patient-year compared with the specified threshold of one VASBI/patient-year (P&lt;0.0001). Importantly, nearly all infusions (99.8%) were completed without any interruption, slowing, or stopping the infusion. The rate of local adverse events (AEs) considered related to IGSC 20 percent treatment was 0.052/affected infusion (in 17 of 48 patients). The majority (99.8%) of local AEs were mild in severity and the most common events were erythema, swelling, pruritus, and pain/discomfort.</w:t>
        <w:br/>
        <w:br/>
        <w:t>Keywords for this news article include: Chemicals, Chemistry, Bioscience, Baxter International Inc..</w:t>
        <w:br/>
        <w:br/>
        <w:t>Our reports deliver fact-based news of research and discoveries from around the world. Copyright 2015, NewsRx LLC</w:t>
      </w:r>
    </w:p>
    <w:p>
      <w:pPr>
        <w:pStyle w:val="Heading1"/>
      </w:pPr>
      <w:r>
        <w:t>End of Article 9</w:t>
      </w:r>
    </w:p>
    <w:p>
      <w:r>
        <w:br w:type="page"/>
      </w:r>
    </w:p>
    <w:p>
      <w:pPr>
        <w:pStyle w:val="Heading1"/>
      </w:pPr>
      <w:r>
        <w:t>Start of Article 10</w:t>
      </w:r>
    </w:p>
    <w:p>
      <w:pPr>
        <w:pStyle w:val="Heading1"/>
      </w:pPr>
      <w:r>
        <w:t>Document ID GRAY000020150814eb8e0005l</w:t>
      </w:r>
    </w:p>
    <w:p>
      <w:r>
        <w:t>The recommendations in the guidance guidance, formally posted formally postedAug. 14, apply to class III HPV diagnostics that detect HPV nucleic acids, but not to HPV-associated biomarkers, the agency stresses. The draft also does not apply to HPV testing from non-cervical specimens, such as pharyngeal, vaginal, penile or anal specimens, according to FDA.</w:t>
        <w:br/>
        <w:br/>
        <w:t>The guidance pertains to HPV tests intended for use in conjunction with cervical cytology for cancer screening or as first-line primary cervical cancer screening. Roche 's cobas HPV assay is the first with FDA-approved labeling as a first-line screen. (See "FDA OKs Roches HPV Test As FirstLine Cervical Cancer Screen" "The Gray Sheet" Apr. 28, 2014.) Other currently marketed tests include Qiagen NV 's digene HC2 and Hologic Inc. 's Aptima HPV assays.</w:t>
        <w:br/>
        <w:br/>
        <w:t>Clinical Performance Studies</w:t>
        <w:br/>
        <w:br/>
        <w:t>The guidance states manufacturers should include in their PMAs clinical performance studies that:</w:t>
        <w:br/>
        <w:br/>
        <w:t>* Consider the cervical cancer screening guidelines known as “2006 Consensus Guidelines for the Management of Women with Abnormal Cervical Cancer Screening Tests." This is published by Wright, T. et al. in the American Journal of Obstetrics and Gynecology, 2007.</w:t>
        <w:br/>
        <w:br/>
        <w:t>* Are driven by intended use, including an example of an intended use statement that could be appropriate.</w:t>
        <w:br/>
        <w:br/>
        <w:t>* Follow design considerations common to ASC-US (atypical squamous cells of undetermined significance) Triage, Adjunct and Primary Screening Intended Uses: FDA points to its guidances on design considerations design considerations for pivotal clinical investigations for medical devices; and its “statistical guidance statistical guidance on reporting results from studies evaluation diagnostic tests".</w:t>
        <w:br/>
        <w:br/>
        <w:t>* If conducted outside the U.S. and not under an IDE, ensure that the data are scientifically valid and that the rights, safety and welfare of human subjects are protected.</w:t>
        <w:br/>
        <w:br/>
        <w:t>Further, the agency states that it considers results of colposcopy and biopsy (if necessary) to be the “gold standard" for the disease assessment of subjects in the clinical study. FDA recommends a centralized three-expert pathologist review panel “that will likely generate a more consistent and accurate disease assessment" for manufacturers’ studies.</w:t>
        <w:br/>
        <w:br/>
        <w:t>Other details spelled out in the guidance for clinical performance studies lay out the cytology reporting terminology, need for blinding as to a patient’s HPV status, and which HPV genotypes are characterized as “carcinogenic" by the World Health Organization (i.e. genotypes 16, 18, 31, 33, 35, 39, 45, 51, 52, 56, 58 and 59). FDA also describes specimen collection media and collection devices, biopsy methods, cytology sample aliquoting, how to report results for HPV genotyping assays and consideration of HPV-vaccinated individuals in study sample estimates.</w:t>
        <w:br/>
        <w:br/>
        <w:t>Analytical Studies</w:t>
        <w:br/>
        <w:br/>
        <w:t>In addition to clinical studies, the guidance describes appropriate analytical studies. FDA requires analytical studies to determine the limits of detection, precision and repeatability, cross-reactivity and interference, and it wants to see carry-over and cross-contamination studies (for devices with automated liquid handling systems) and appropriate specimen and reagent storage and shipping conditions.</w:t>
        <w:br/>
        <w:br/>
        <w:t>FDA recommends sponsors find the limit of detection of their devices using serial dilutions of HPV genomic DNA or RNA transcripts that can be cloned or synthesized, as HPV cannot be cultured. The limit of detection for HPV genotype and specimen collection media must be tested.</w:t>
        <w:br/>
        <w:br/>
        <w:t>To establish the precision of the diagnostics, sponsors should create 10-20 precision panel members with defined analyte levels and HPV genotypes. The analyte levels have to challenge medical decision points.</w:t>
        <w:br/>
        <w:br/>
        <w:t>Protocols for the reproducibility study may vary slightly, depending on the assay format, but FDA recommends evaluating the reproducibility of the test at three testing sites and using a five-day test protocol, each day having at least two operators at each facility perform the test. It also recommends taking at least 90 measurements of each sample.</w:t>
        <w:br/>
        <w:br/>
        <w:t>Sponsors need to test their devices for potential cross-reactivity with other organisms known to colonize the genital tract, including human pathogens transmitted by sexual contact. For devices that target a group of HPV genotypes but do not differentiate between them, sponsors should test the most closely related or clinically significant non-targeted HPV genotypes for cross-reactivity.</w:t>
        <w:br/>
        <w:br/>
        <w:t>Manufacturers also will need to provide an evaluation of their diagnostics’ ability to detect the targeted genotypes in their clinical dataset, and one way to do this is to perform an FDA-approved HPV test that detects the same genotype as on their test, FDA says.</w:t>
        <w:br/>
        <w:br/>
        <w:t>Comments on the draft guidance are due Nov. 12, to docket number FDA-2009-D-0386, at Regulations.gov.</w:t>
        <w:br/>
        <w:br/>
        <w:t>By Sue Darcey</w:t>
      </w:r>
    </w:p>
    <w:p>
      <w:pPr>
        <w:pStyle w:val="Heading1"/>
      </w:pPr>
      <w:r>
        <w:t>End of Article 10</w:t>
      </w:r>
    </w:p>
    <w:p>
      <w:r>
        <w:br w:type="page"/>
      </w:r>
    </w:p>
    <w:p>
      <w:pPr>
        <w:pStyle w:val="Heading1"/>
      </w:pPr>
      <w:r>
        <w:t>Start of Article 11</w:t>
      </w:r>
    </w:p>
    <w:p>
      <w:pPr>
        <w:pStyle w:val="Heading1"/>
      </w:pPr>
      <w:r>
        <w:t>Document ID ATPHAM0020151112ebba0005o</w:t>
      </w:r>
    </w:p>
    <w:p>
      <w:r>
        <w:t>The medicine was well-tolerated and did not affect any severe health concerns, said the company.</w:t>
        <w:br/>
        <w:br/>
        <w:t>PRX302 is being developed since 2009. Referring to interim review, the company said last December that the review had showed that the treatment would not be effective. The review was based on data available at that time.</w:t>
        <w:br/>
        <w:br/>
        <w:t>The pharma major said that the medication has huge potential to do annual sales of worth more than $1 billion.</w:t>
        <w:br/>
        <w:br/>
        <w:t>As per the Urology Care Foundation, benign prostatic hyperplasia affects nearly 50% of men in their 50s and around 90% of men aged above 80.</w:t>
      </w:r>
    </w:p>
    <w:p>
      <w:pPr>
        <w:pStyle w:val="Heading1"/>
      </w:pPr>
      <w:r>
        <w:t>End of Article 11</w:t>
      </w:r>
    </w:p>
    <w:p>
      <w:r>
        <w:br w:type="page"/>
      </w:r>
    </w:p>
    <w:p>
      <w:pPr>
        <w:pStyle w:val="Heading1"/>
      </w:pPr>
      <w:r>
        <w:t>Start of Article 12</w:t>
      </w:r>
    </w:p>
    <w:p>
      <w:pPr>
        <w:pStyle w:val="Heading1"/>
      </w:pPr>
      <w:r>
        <w:t>Document ID DJDN000020150319eb3j001yv</w:t>
      </w:r>
    </w:p>
    <w:p>
      <w:r>
        <w:t>March 19, 2015 09:36 ET (13:36 GMT)</w:t>
      </w:r>
    </w:p>
    <w:p>
      <w:pPr>
        <w:pStyle w:val="Heading1"/>
      </w:pPr>
      <w:r>
        <w:t>End of Article 12</w:t>
      </w:r>
    </w:p>
    <w:p>
      <w:r>
        <w:br w:type="page"/>
      </w:r>
    </w:p>
    <w:p>
      <w:pPr>
        <w:pStyle w:val="Heading1"/>
      </w:pPr>
      <w:r>
        <w:t>Start of Article 13</w:t>
      </w:r>
    </w:p>
    <w:p>
      <w:pPr>
        <w:pStyle w:val="Heading1"/>
      </w:pPr>
      <w:r>
        <w:t>Document ID MDST000020150529eb67000iw</w:t>
      </w:r>
    </w:p>
    <w:p>
      <w:r>
        <w:t>The company recently reported six-month follow-up results from the DISRUPT PAD trial, a 35-patient study of patients with calcified vascular stenosis of the superficial femoral artery (SFA) and popliteal artery treated with the Lithoplasty system. Data reported at the 37th Annual Charing Cross 2015 Symposium in London demonstrate safe and effective dilatation of calcified stenosis with no acute failures, favorable residual stenosis, no major device-related adverse events and no need for stent placement. Six-month durability was excellent with no need for re-treatment and patency by duplex ultrasound of 83%.</w:t>
        <w:br/>
        <w:br/>
        <w:t>"We are very pleased to work with such a high quality group of investors to continue advancing the development of Lithoplasty," said Shockwave Medical CEO and co-founder Daniel Hawkins. "We believe the Lithoplasty system is uniquely suited to address substantial unmet needs in the treatment of patients with peripheral, coronary and aortic valve disease using a balloon-based approach that is inherently familiar to physicians. Our returning and new investors provide us the depth of resources and breadth of support needed to achieve our goal of changing the paradigm in the treatment of advanced cardiovascular disease."</w:t>
        <w:br/>
        <w:br/>
        <w:t>"We were very impressed with the level of interest and the quality of the investor group that Shockwave was able to bring into this new funding round, with blue-chip financial investors as well as two major corporate investors," said Antoine Papiernik, managing partner of Sofinnova Partners. "This is a tribute to the strength of the Lithoplasty technology as well as to the work that management has done to develop it to this stage."</w:t>
        <w:br/>
        <w:br/>
        <w:t>"Shockwave has the potential to significantly improve the treatment of advanced cardiovascular disease with products based on an intuitive, simple platform technology. We are encouraged by the success to date and look forward to helping the management team build a world-class company," said Colin Cahill, vice president at Venrock.</w:t>
        <w:br/>
        <w:br/>
        <w:t>In advanced vascular disease, atherosclerosis becomes calcified deep inside the vessel walls, limiting blood flow. These deposits are difficult to treat because they limit the effectiveness of current endovascular devices, making today's interventions challenging and prone to both procedural and long-term failure. Lithoplasty is a novel balloon-based technology that utilizes integrated lithotripsy, a pulsatile mechanical energy commonly used to break up kidney stones, to disrupt both superficial and deep calcium and normalize vessel wall compliance prior to low-pressure balloon dilatation. Lithoplasty is designed to be naturally gentle to soft tissue (non-diseased portions of the vessel) while remaining hard on calcium, the tissue that limits vessel expansion and the effectiveness of current technologies. About Shockwave's Lithoplasty(R) System Delivered on a standard balloon catheter platform, Lithoplasty combines the calcium disrupting power of lithotripsy with the familiarity and simplicity of a balloon in a single enabling device. Lithoplasty applies a brief series of powerful mechanical pulses designed to safely travel through soft tissue and disrupt calcium. The integrated balloon is then dilated at low pressures to expand the lesion evenly, potentially minimizing acute soft tissue injury that could lead to the need for additional interventional treatments or long-term restenosis (re-blockage). Unlike current devices that treat only superficial calcium, Shockwave's Lithoplasty system is designed to be effective on all types of calcium, including deep - the type known to limit vessel expansion.</w:t>
        <w:br/>
        <w:br/>
        <w:t>Early clinical results demonstrate safety, tolerability, deliverability, and effectiveness for Lithoplasty as a treatment for patients with peripheral artery disease and as a pre-treatment of calcified coronary lesions prior to stenting. Clinical work will begin in aortic valves within the coming year. Shockwave has received CE Mark for use of Lithoplasty in the treatment of peripheral vascular disease. Lithoplasty is not available for sale in the United States.</w:t>
        <w:br/>
        <w:br/>
        <w:t>To view an animation of Lithoplasty visit http://shockwavemedical.com/technology . About Shockwave Medical Shockwave Medical, based in Fremont, Calif., is pioneering Lithoplasty(R) technology, a promising breakthrough for the treatment of peripheral and coronary vascular disease and aortic stenosis. Delivered on a standard balloon catheter platform, Lithoplasty combines the calcium disrupting power of lithotripsy with the familiarity and simplicity of a balloon in a single enabling device. For more information visit www.shockwavemedical.com. View source version on businesswire.com: http://www.businesswire.com/news/home/20150519006371/en/ . View source version on businesswire.com:</w:t>
        <w:br/>
        <w:br/>
        <w:t>Keywords for this news article include: Stenosis, Angiology, Cardiology, Hematology, Technology, Aortic Valve, Heart Valves, Cardio Device, Medical Devices, Shockwave Medical, Cardiovascular Diseases.</w:t>
        <w:br/>
        <w:br/>
        <w:t>Our reports deliver fact-based news of research and discoveries from around the world. Copyright 2015, NewsRx LLC</w:t>
      </w:r>
    </w:p>
    <w:p>
      <w:pPr>
        <w:pStyle w:val="Heading1"/>
      </w:pPr>
      <w:r>
        <w:t>End of Article 13</w:t>
      </w:r>
    </w:p>
    <w:p>
      <w:r>
        <w:br w:type="page"/>
      </w:r>
    </w:p>
    <w:p>
      <w:pPr>
        <w:pStyle w:val="Heading1"/>
      </w:pPr>
      <w:r>
        <w:t>Start of Article 14</w:t>
      </w:r>
    </w:p>
    <w:p>
      <w:pPr>
        <w:pStyle w:val="Heading1"/>
      </w:pPr>
      <w:r>
        <w:t>Document ID OBWK000020151113ebbd000xv</w:t>
      </w:r>
    </w:p>
    <w:p>
      <w:r>
        <w:t>Our news journalists obtained a quote from the research from the University of Twente, "Multilayer buildup and ARS incorporation were evaluated with UV-vis spectroscopy. Glucose responsiveness of the multilayers was investigated. Finally, cellular uptake of ARS by COS-7 cells grown on the films was assessed. Multilayers based on alcohol containing polymers (ABOL-BA-PAA#ChS + ARS) displayed higher ARS incorporation than multilayers based on amine-containing polymers (DAB-BA-PAA#ChS + ARS). At physiological pH, a swift initial release of up to similar to 40% of the ARS content was observed during the first 12 h of incubation, followed by a much slower, gradual release of ARS. The multilayers were further evaluated by culturing COS-7 cells on top of multilayer-coated well plates. Cellular uptake of the fluorescent ARS-boronate ester was quantified through flow cytometry, and a maximum uptake of up to 30% was observed. Confocal microscopy confirmed the presence of ARS-boronate ester-containing particles in the nuclei of cells. The investigated multilayered thin films are effective in surface-mediated delivery of the model compound ARS."</w:t>
        <w:br/>
        <w:br/>
        <w:t>According to the news editors, the research concluded: "These multilayered surfaces are promising as drug-releasing delivery surface for coating stents, prostheses, and other implants."</w:t>
        <w:br/>
        <w:br/>
        <w:t>For more information on this research see: Multilayered Thin Films from Boronic Acid-Functional Poly(amido amine)s As Drug-Releasing Surfaces. Pharmaceutical Research, 2015;32(11):3732-3745. Pharmaceutical Research can be contacted at: Springer, Plenum Publishers, 233 Spring St, New York, NY 10013, USA. (Springer - www.springer.com; Pharmaceutical Research - www.springerlink.com/content/0724-8741/)</w:t>
        <w:br/>
        <w:br/>
        <w:t>The news correspondents report that additional information may be obtained from S.D. Hujaya, University of Twente, Fac Sci &amp; Technol, MIRA Inst Biomed Technol &amp; Technical Med, Dept. of Controlled Drug Delivery, NL-7500 AE Enschede, Netherlands. Additional authors for this research include J.F.J. Engbersen and J.M.J. Paulusse.</w:t>
        <w:br/>
        <w:br/>
        <w:t>Keywords for this news article include: Europe, Enschede, Netherlands, Drugs and Therapies</w:t>
        <w:br/>
        <w:br/>
        <w:t>Our reports deliver fact-based news of research and discoveries from around the world. Copyright 2015, NewsRx LLC</w:t>
      </w:r>
    </w:p>
    <w:p>
      <w:pPr>
        <w:pStyle w:val="Heading1"/>
      </w:pPr>
      <w:r>
        <w:t>End of Article 14</w:t>
      </w:r>
    </w:p>
    <w:p>
      <w:r>
        <w:br w:type="page"/>
      </w:r>
    </w:p>
    <w:p>
      <w:pPr>
        <w:pStyle w:val="Heading1"/>
      </w:pPr>
      <w:r>
        <w:t>Start of Article 15</w:t>
      </w:r>
    </w:p>
    <w:p>
      <w:pPr>
        <w:pStyle w:val="Heading1"/>
      </w:pPr>
      <w:r>
        <w:t>Document ID PHBW000020150730eb7u0001d</w:t>
      </w:r>
    </w:p>
    <w:p>
      <w:r>
        <w:t>Affymetrix acquired all the assets of Eureka Genomics, including its high throughput crop and animal genotyping technology, for $15 million. Eureka's assays use next-generation sequencing (NGS), a rapidly growing technology utilized in various applications. As part of the acquisition, Affymetrix has also signed a multi-year contract to offer Eureka's technologies to Zoetis for use in animal genetics. Zoetis is a subsidiary of Pfizer and is the largest producer of medicine and vaccinations for pets and livestock.</w:t>
        <w:br/>
        <w:br/>
        <w:t>Molecular testing is a rapidly growing area in healthcare. The fields of application are now extending beyond life sciences and clinical diagnostics to other areas. Next-generation sequencing technologies are rapidly being employed in animal testing for testing pathogens. this is an emerging segment that requires a lot of trait management and traceability. Gene testing for animal health and cattle management has been relatively expensive, and technologies to facilitate broader genotyping of low-density traits, such as parentage, have been limited.</w:t>
        <w:br/>
        <w:br/>
        <w:t>Eureka Genomics is a developer of cost-effective high, medium, and low assays that use NGS technology for signal read out. these assays can enable the detection of several genetic markers that have high prevalence in crop and animal genomic testing. Eureka also provides NGS and genotyping services to government agencies, universities, research centers, and agriculture companies.</w:t>
        <w:br/>
        <w:br/>
        <w:t>Its assays can be applied to detection of copy number variation (CNV), methylation, and single nucleotide polymorphisms (SNPs). the information is compatible with any dNA or rNA from any organism, despite the incompleteness of genome information. this makes the technology very unique and powerful, answering several questions by combining discriminatory power of hybridization and ligation. Furthermore, Eureka's assays are NGS instrument agnostic and can be easily adapted to any modifications made in the instruments, such as upgrading, data generation, or even change of instrument.</w:t>
        <w:br/>
        <w:br/>
        <w:t>Affymetrix has a strong presence with its product offerings for microarrays, polymerase chain reaction (PCR), flow cytometry, and sample purification. Given its market leadership in the microarray market, a substantial amount of customers use Affymetrix's products. the area of animal testing and agrigenomics is not new to Affymetrix, as it sells its Axiom Genotyping solutions in this space. reports also reveal that Affymetrix's customers have demanded a low-cost, effective solution focused on genetic variant panels for high-volume testing.</w:t>
        <w:br/>
        <w:br/>
        <w:t>The effect of the symbiotic relationship can be sensed over time. through this acquisition, Affymetrix can extend its business to a new business unit catering to the agrigenomics space. As a result, its customers can now support more applications, and Affymetrix can also serve new customers with a greater bandwidth of solutions.</w:t>
        <w:br/>
        <w:br/>
        <w:t>The company has also employed Eureka's assays and technologies with Zoetis, which is one of the largest animal health companies. The acquisition has already bolstered Affymetrix's presence in the cattle and animal health sector. In looking at Affymetrix's acquisitions in the past, the company made its last acquisition in 2012, acquiring eBioscience to expand into flow cytometry antibodies and strengthen its offerings in the reagent segment. Strengthening its current product line and expanding its customer base has been Affymetrix's long-term strategy since 2008. Key Topics Covered: 1. Affymetrix Acquires Eureka Genomics for $15 Million</w:t>
        <w:br/>
        <w:br/>
        <w:t>2. OPKO Health, Inc. Acquires Bio-Reference Laboratories, Inc. for $1.47 Billion in Stock</w:t>
        <w:br/>
        <w:br/>
        <w:t>3. Target Signs the Dotted Line Facilitating CVS Health to Acquire its In-store Pharmacies and Clinics</w:t>
        <w:br/>
        <w:br/>
        <w:t>4. Thermo Fisher Scientific Acquires Alfa Aesar, Further Consolidating Life Science Chemicals Market Companies Mentioned - Affmetrix</w:t>
        <w:br/>
        <w:br/>
        <w:t>- Alfa Aesar</w:t>
        <w:br/>
        <w:br/>
        <w:t>- Axiom Genotype</w:t>
        <w:br/>
        <w:br/>
        <w:t>- Bio-Reference Laboratories</w:t>
        <w:br/>
        <w:br/>
        <w:t>- CVS Health</w:t>
        <w:br/>
        <w:br/>
        <w:t>- Eureka Genomics</w:t>
        <w:br/>
        <w:br/>
        <w:t>- OPKO Health, Inc.</w:t>
        <w:br/>
        <w:br/>
        <w:t>- Pfizer</w:t>
        <w:br/>
        <w:br/>
        <w:t>- Target</w:t>
        <w:br/>
        <w:br/>
        <w:t>- Thermo Fisher Scientific</w:t>
        <w:br/>
        <w:br/>
        <w:t>- Zoetis</w:t>
        <w:br/>
        <w:br/>
        <w:t>For more information visit http://www.researchandmarkets.com/research/qv6c38/vital_signs_the View source version on businesswire.com: http://www.businesswire.com/news/home/20150715005803/en/</w:t>
        <w:br/>
        <w:br/>
        <w:t>Keywords for this news article include: Pharmaceutical Companies, Investing, Animal Testing, Research and Markets, Biotechnology Companies, Merger and Acquisitions.</w:t>
        <w:br/>
        <w:br/>
        <w:t>Our reports deliver fact-based news of research and discoveries from around the world. Copyright 2015, NewsRx LLC</w:t>
      </w:r>
    </w:p>
    <w:p>
      <w:pPr>
        <w:pStyle w:val="Heading1"/>
      </w:pPr>
      <w:r>
        <w:t>End of Article 15</w:t>
      </w:r>
    </w:p>
    <w:p>
      <w:r>
        <w:br w:type="page"/>
      </w:r>
    </w:p>
    <w:p>
      <w:pPr>
        <w:pStyle w:val="Heading1"/>
      </w:pPr>
      <w:r>
        <w:t>Start of Article 16</w:t>
      </w:r>
    </w:p>
    <w:p>
      <w:pPr>
        <w:pStyle w:val="Heading1"/>
      </w:pPr>
      <w:r>
        <w:t>Document ID ATPHAM0020150620eb6h0006d</w:t>
      </w:r>
    </w:p>
    <w:p>
      <w:r>
        <w:t>Source: Innocoll</w:t>
      </w:r>
    </w:p>
    <w:p>
      <w:pPr>
        <w:pStyle w:val="Heading1"/>
      </w:pPr>
      <w:r>
        <w:t>End of Article 16</w:t>
      </w:r>
    </w:p>
    <w:p>
      <w:r>
        <w:br w:type="page"/>
      </w:r>
    </w:p>
    <w:p>
      <w:pPr>
        <w:pStyle w:val="Heading1"/>
      </w:pPr>
      <w:r>
        <w:t>Start of Article 17</w:t>
      </w:r>
    </w:p>
    <w:p>
      <w:pPr>
        <w:pStyle w:val="Heading1"/>
      </w:pPr>
      <w:r>
        <w:t>Document ID RAUNEW0020150825eb8o00001</w:t>
      </w:r>
    </w:p>
    <w:p>
      <w:r>
        <w:t>To the degree that phosphate binder therapy reduces cardiovascular risk and bone disease, which is not yet proven, suboptimal medication compliance might harm patient health. This study found higher serum phosphorus levels among non-adherent dialysis patients.</w:t>
        <w:br/>
        <w:br/>
        <w:t>Using data from the Dialysis Outcomes and Practice Patterns Study (DOPPS), Rachel B. Fissell, MD, of Vanderbilt University Medical Center in Nashville, and colleagues assessed associations between phosphate binders, medication non-adherence, and levels of serum phosphorus and parathyroid hormone (PTH) in 5,262 in-center hemodialysis patients from 12 countries.</w:t>
        <w:br/>
        <w:br/>
        <w:t>According to results published online in Hemodialysis International, prescriptions for phosphate binders ranged from an average 7.4 pills per day in the United States to 3.9 in France. Half of patients were prescribed 6 or more pills per day and 13% at least 12 pills.</w:t>
        <w:br/>
        <w:br/>
        <w:t>Patients were asked by questionnaire at DOPPS entry how many times they skipped phosphate binders in the prior month. Nearly half (45%) reported skipping the medication at least once, including 57% of patients in the United States. The investigators observed a trend toward greater non-adherence and higher amounts of daily pills.</w:t>
        <w:br/>
        <w:br/>
        <w:t>Medication non-adherence (defined as skipping medication 3 or more times in a month) was associated with high serum phosphorus levels above 5.5 mg/dl as well as elevated parathyroid hormone levels above 600 pg/ml. Poor adherence was highest in the U.S. at 24% and lowest in Belgium, Japan, Germany, and Spain at 12% each. Unmarried patients and those with mental health problems were more likely to be non-adherent.</w:t>
        <w:br/>
        <w:br/>
        <w:t>More than half of patients (55%) reported taking all of their medication. These patients were more likely to be married or living with family, indicating family support. Half also saw their physicians 2–3 times a week (compared with just 1 in 3 patients with poor medication adherence), ostensibly providing opportunities to reinforce medication regimens.</w:t>
        <w:br/>
        <w:br/>
        <w:t>“Simpler, more achievable [phosphate binder] PB regimens could lead to better adherence and perhaps lower phosphorus and PTH levels,” the investigators suggested. “For patients with high [serum phosphorus], it may be more effective to first assess what pills patients are actually taking and make efforts to reduce the pill number, before increasing the PB prescription.” Adjusting medications to actual patient behavior might also save money.</w:t>
        <w:br/>
        <w:br/>
        <w:t>Since this was an observational study, it has some expected limitations. It remains important to assess other causes of excess phosphorus, such as from diet, inadequate dialysis time, and increased bone resorption, the researchers noted.</w:t>
        <w:br/>
        <w:br/>
        <w:t>Source</w:t>
        <w:br/>
        <w:br/>
        <w:t xml:space="preserve">* Fissell, RB; Karaboyas, A; Bieber, BA; et al. Hemodialysis International; doi: 10.1111/hdi.12315. </w:t>
      </w:r>
    </w:p>
    <w:p>
      <w:pPr>
        <w:pStyle w:val="Heading1"/>
      </w:pPr>
      <w:r>
        <w:t>End of Article 17</w:t>
      </w:r>
    </w:p>
    <w:p>
      <w:r>
        <w:br w:type="page"/>
      </w:r>
    </w:p>
    <w:p>
      <w:pPr>
        <w:pStyle w:val="Heading1"/>
      </w:pPr>
      <w:r>
        <w:t>Start of Article 18</w:t>
      </w:r>
    </w:p>
    <w:p>
      <w:pPr>
        <w:pStyle w:val="Heading1"/>
      </w:pPr>
      <w:r>
        <w:t>Document ID PRESSA0020151008eba8003uy</w:t>
      </w:r>
    </w:p>
    <w:p>
      <w:r>
        <w:t>Brian brings more than 25 years of global commercial experience to Telesta Therapeutics, having held positions in both top-tier and start-up U.S. biopharmaceutical companies. Most recently Brian was the Vice President of Market Access at Horizon Pharma where he played a key leadership role in building Horizon's orphan commercial business capabilities after two major company acquisitions. Prior to Horizon Pharma, Brian helped build the commercial organization at Dendreon in preparation for the launch of Provenge™, successfully securing a positive national coverage decision for the first and only FDA approved immunotherapy for advanced prostate cancer. Brian is a seasoned biotechnology and pharmaceutical industry professional with broad experience in the commercial sector including multiple product launches at Novartis and Merck where he held positions in marketing, managed markets and sales leadership. Brian graduated with a B.S. in physiology and an M.S. in Business and Healthcare Administration from Central Michigan University.</w:t>
        <w:br/>
        <w:br/>
        <w:t>Commenting on this appointment, Dr. Michael Berendt, Chief Executive Officer and Chief Scientist declared "I am very pleased to announce this strategic appointment today.  Brian's engagement as Chief Commercial Officer and his addition to our senior management team is a significant advance in our preparation for the commercial launch of MCNA in the United States.  His unique experience in launch preparation, commercial operations and urology/uro-oncology will permit us to ensure a successful product launch for MCNA which could become the first new therapeutic for the treatment of high risk non-muscle invasive bladder cancer patients in decades."</w:t>
        <w:br/>
        <w:br/>
        <w:t xml:space="preserve">About MCNA </w:t>
        <w:br/>
        <w:br/>
        <w:t>MCNA is a biologic therapy developed to provide high risk non-muscle invasive bladder cancer patients who are refractory to or relapsing from first line therapy with bacillus Calmette-Guérin (BCG), with a therapeutic alternative to surgery. MCNA is derived from the cell wall fractionation of a non-pathogenic bacteria.  Its activity is believed to be through a dual mechanism of immune stimulation and direct anti-cancer effects. MCNA was developed to be delivered as a sterile suspension for intravesical administration by urologists and urology nurses, following the same dosing paradigm as first line BCG therapy, with the advantage that it can be prepared, handled and disposed of easily and safely. The efficacy, duration of response and safety data from MCNA's pivotal Phase 3 trial was recently published in The Journal of Urology.  The FDA has set February 27, 2016 as its review goal date for MCNA's potential approval.</w:t>
        <w:br/>
        <w:br/>
        <w:t>--------------------------------------------------</w:t>
        <w:br/>
        <w:br/>
        <w:t>1. Mycobacterium phlei cell wall-nucleic acid complex</w:t>
        <w:br/>
        <w:br/>
        <w:t>About Telesta Therapeutics Inc.</w:t>
        <w:br/>
        <w:br/>
        <w:t>Telesta Therapeutics Inc. is a late stage therapeutics company with near term commercial potential focused on the manufacturing, marketing and licensing/acquisition of proprietary and innovative therapies for the global health market. The Company's primary goal is to develop and commercialize products that advance human health and increase shareholder value. For more information, please visit http://www.telestatherapeutics.com.</w:t>
        <w:br/>
        <w:br/>
        <w:t xml:space="preserve">Except for historical information, this news release may contain "forward-looking statements" and "forward-looking information" within the meaning of applicable securities laws that reflect the Company's current expectation regarding future events. Forward-looking statements and information are necessarily based upon a number of estimates and assumptions that, while, considered reasonable by management, are inherently subject to significant business, economic and competitive uncertainties and contingencies. Readers are cautioned that any such forward-looking statements and information are not guarantees and there can be no assurance that such statements and information will prove to be accurate, and actual results and future events could differ materially from those anticipated in such statements and information. These forward-looking statements and information involve risk and uncertainties, which may cause, but are not limited to, changing market conditions, the successful and timely completion of clinical studies, the establishment of corporate alliances, the impact of competitive products and pricing, new product development, uncertainties related to the regulatory approval process, and other risks detailed from time to time in the Company's ongoing quarterly and annual reporting. The Company expressly disclaims any intention or obligation to update or revise any forward-looking statements and information whether as a result of new information, future events or otherwise. All written and oral forward-looking statements and information attributable to us or persons acting on our behalf are expressly qualified in their entirety by the foregoing cautionary statements.  </w:t>
        <w:br/>
        <w:br/>
        <w:t>For further information:</w:t>
        <w:br/>
        <w:br/>
        <w:t>Donald Olds, Chief Operating Officer</w:t>
        <w:br/>
        <w:br/>
        <w:t>Telesta Therapeutics Inc.</w:t>
        <w:br/>
        <w:br/>
        <w:t>Telephone: +1(514)394-7921</w:t>
        <w:br/>
        <w:br/>
        <w:t>Donald.Olds@telestatherapeutics.com</w:t>
      </w:r>
    </w:p>
    <w:p>
      <w:pPr>
        <w:pStyle w:val="Heading1"/>
      </w:pPr>
      <w:r>
        <w:t>End of Article 18</w:t>
      </w:r>
    </w:p>
    <w:p>
      <w:r>
        <w:br w:type="page"/>
      </w:r>
    </w:p>
    <w:p>
      <w:pPr>
        <w:pStyle w:val="Heading1"/>
      </w:pPr>
      <w:r>
        <w:t>Start of Article 19</w:t>
      </w:r>
    </w:p>
    <w:p>
      <w:pPr>
        <w:pStyle w:val="Heading1"/>
      </w:pPr>
      <w:r>
        <w:t>Document ID OBWK000020150626eb74001lq</w:t>
      </w:r>
    </w:p>
    <w:p>
      <w:r>
        <w:t>News editors obtained the following quote from the background information supplied by the inventors: "In modern medicine there are numerous treatment situations in which it is desirable to create shunts or flow-through connections between blood vessels and/or other anatomical structures of the body. Such treatments include, for example, hemodialysis, hemotiltration, hemodiafiltration, plasmapheresis, and extracorporeal membrane oxygenation (ECMO). In many cases, open surgical techniques have been used to form anatomic connections or fistulas between adjacent vessels of body structures. More recently, percutaneous catheter-based techniques and devices have been developed for creating channels or passageway's (i.e., shunts) between adjacent vessels or anatomical structures.</w:t>
        <w:br/>
        <w:br/>
        <w:t>"In addition to the above-listed treatments, arteriovenous (AV) shunt devices have been proposed for treating chronic obstructive pulmonary disease (COPD) and drug-resistant hypertension. COPD, also called chronic obstructive airway disease, is a syndrome that may be caused by a number of different diseases, all of which damage the alveoli and bronchioles, leading to impaired lung function. These diseases include asthmatic bronchitis, chronic bronchitis (with normal airflow), chronic obstructive bronchitis, and emphysema. As the alveoli and bronchial tubes are destroyed, the remaining healthy lung tissue must work harder to provide the required amount of blood oxygenation. The need for more air leads to lung over-inflation. As the lung over-expands, it gradually enlarges, completely filling the chest cavity and causing a sense of shortness of breath. The lung eventually loses its elasticity and the combination of a larger, less elastic lung and damaged, nonfunctioning tissue leads to slower airflow into and out of the lung, resulting in the feeling in the patient of an obstructed airway.</w:t>
        <w:br/>
        <w:br/>
        <w:t>"One manner of treating COPD is oxygen therapy, which requires a patient to remain near a stationary oxygen source or carry a bulky portable oxygen source when away from home or a treatment facility. Understandably such oxygen therapy has many disadvantages. One surgical treatment that has been proposed for treating patients with COPD is lung reduction surgery. Such surgery, however, can be used on only a small percentage of the total patient population, requires long recovery times, and does not always provide a clear patient benefit.</w:t>
        <w:br/>
        <w:br/>
        <w:t>"Arteriovenous (AV) shunt devices for treating COPD provide a fistula between an artery and a vein that are anatomically parallel to each other. The approach is to create an arteriovenous fistula by implanting a shunt-like device between two major blood vessels in, for example, the leg, thus utilizing cardiovascular reserve to overcome respiratory insufficiency and improve oxygenation to the lungs. The shunt allows oxygen-rich blood from the artery to flow to the vein and thereby increases the oxygen content of the blood returning to the heart and lungs, which in turn is considered to benefit a patient suffering from COPD. The implantation of the shunt can increase cardiac output by about one liter per minute, without impacting heart rate or oxygen consumptions.</w:t>
        <w:br/>
        <w:br/>
        <w:t>"Such shunt devices have been suggested to be implanted via an open surgical procedure or via a minimally invasive intravascular catheterization procedure, depending on the specific arterial and venous locations that are to be connected by the AV shunt. A need continues to exist in the art for an AV shunt that may be quickly and simply delivered, deployed, and secured in place via a minimally invasive intravascular procedure. In addition, a need continues to exist in the art for an AV shunt that directs blood flow into and out of the fluid passageway of the shunt."</w:t>
        <w:br/>
        <w:br/>
        <w:t>As a supplement to the background information on this patent, NewsRx correspondents also obtained the inventors' summary information for this patent: "Embodiments hereof relate to an arteriovenous shunt assembly that includes a self-expanding stent graft having a self-expanding anchor stent mounted eccentrically and externally about at least one end segment of the stent graft. A fluid passageway extends between open first and second ends of the shunt assembly. The anchor stent has an expanded diameter greater than an expanded diameter of the stent graft. The ends of the stent graft are smaller in diameter than the blood vessel lumens into which they are deployed such that, while some blood is diverted from the artery to the vein via the shunt, a portion of the blood in the artery and all of the blood in the vein flows past the shunt to continue downstream.</w:t>
        <w:br/>
        <w:br/>
        <w:t>"In one embodiment, each anchor stem includes a portion of an inner surface coupled to a portion of an exterior surface of the stent graft. In another embodiment, each anchor stent includes a self-expanding tubular body with a side opening that is sized to receive the tubular shunt therethrough, and a retainer ring sized to receive and secure the tubular shunt against one side of the bore within the stent anchor.</w:t>
        <w:br/>
        <w:br/>
        <w:t>"Embodiments hereof also relate to a method for forming a fluid connection between a first body vessel and a second body vessel. A shunt assembly is intravascularly delivered in its collapsed configuration to a tissue tract formed between the first vessel to the second vessel. The shunt assembly includes a tubular shunt and a self-expanding anchor stent coupled eccentrically and externally to each of a first and second end segment of the tubular shunt. Each of the anchor stents has an expanded diameter greater than an expanded diameter of the tubular shunt. The tubular shunt is positioned to extend through the tissue tract such that the first end segment of the tubular shunt is disposed in the first vessel and extends parallel to the vessel wall, and the second end segment of the tubular shunt is disposed in the second vessel and extends parallel to the vessel wall. Each anchor stent is radially expanded into wall apposition spanning a body vessel such that a longitudinal axis of a first shunt end segment is parallel to and radially offset from a longitudinal axis of the anchor stent. The shunt end segment does not span or fully occupy the body vessel, thus permitting a portion of the blood in each vessel to flow past the shunt."</w:t>
        <w:br/>
        <w:br/>
        <w:t>For additional information on this patent, see: Ward, Sean; McCaffrey, Gerry. Arteriovenous Shunt Having Eccentric Anchor Stent. U.S. Patent Number 9056171, filed February 24, 2012, and published online on June 16, 2015. Patent URL: http://patft.uspto.gov/netacgi/nph-Parser?Sect1=PTO1&amp;Sect2=HITOFF&amp;d=PALL&amp;p=1&amp;u=%2Fnetahtml%2FPTO%2Fsrchnum.htm&amp;r=1&amp;f=G&amp;l=50&amp;s1=9056171.PN.&amp;OS=PN/9056171RS=PN/9056171</w:t>
        <w:br/>
        <w:br/>
        <w:t>Keywords for this news article include: Surgery, Angiology, Bronchitis, Chalcogens, Pulmonology, Blood Vessels, Cardio Device, Medical Devices, Cardiovascular System, Medtronic Vascular Inc..</w:t>
        <w:br/>
        <w:br/>
        <w:t>Our reports deliver fact-based news of research and discoveries from around the world. Copyright 2015, NewsRx LLC</w:t>
      </w:r>
    </w:p>
    <w:p>
      <w:pPr>
        <w:pStyle w:val="Heading1"/>
      </w:pPr>
      <w:r>
        <w:t>End of Article 19</w:t>
      </w:r>
    </w:p>
    <w:p>
      <w:r>
        <w:br w:type="page"/>
      </w:r>
    </w:p>
    <w:p>
      <w:pPr>
        <w:pStyle w:val="Heading1"/>
      </w:pPr>
      <w:r>
        <w:t>Start of Article 20</w:t>
      </w:r>
    </w:p>
    <w:p>
      <w:pPr>
        <w:pStyle w:val="Heading1"/>
      </w:pPr>
      <w:r>
        <w:t>Document ID DRGW000020150619eb6q00057</w:t>
      </w:r>
    </w:p>
    <w:p>
      <w:r>
        <w:t>Our news editors obtained a quote from the research, "In this study, we evaluated the structure-activity relationships of 46 commercially available analogs of MMV665852 on newly transformed schistosomula (NTS) and adult Schistosoma mansoni worms in vitro. Active compounds were evaluated with a cytotoxicity assay, in silico calculations, metabolic stability studies, and an in vivo assay with mice harboring adult S. mansoni worms. Of the 46 compounds tested at 33.3 mu M, 13 and 14 compounds killed NTS and adult worms, respectively, within 72 h. Nine compounds had 90% inhibitory concentrations (IC(90)s) of &lt;= 10 mu M against adult worms, with selectivity indexes of &gt;= 2.8. Their physicochemical properties and permeation through an artificial membrane indicated good to moderate intestinal absorption. Their metabolic stabilities ranged from low to high. Despite satisfactory in vitro results and in silico predictions, only one compound resulted in a statistically significant worm burden reduction (66%) after administration of a single oral dose of 400 mg/kg of body weight to S. mansoni-infected mice. Worm burden reductions of 0 to 43% were observed for the remaining eight compounds tested."</w:t>
        <w:br/>
        <w:br/>
        <w:t>According to the news editors, the research concluded: "Several analogs of the N,N '-diarylurea MMV665852 had high efficacy against S. mansoni in vitro and favorable physicochemical properties for permeation through the intestinal wall. To counteract the low efficacy observed in the mouse model, further investigations should focus on identifying compounds with improved solubility and pharmacokinetic properties."</w:t>
        <w:br/>
        <w:br/>
        <w:t>For more information on this research see: Activities of N,N '-Diarylurea MMV665852 Analogs against Schistosoma mansoni. Antimicrobial Agents and Chemotherapy, 2015;59(4):1935-1941. Antimicrobial Agents and Chemotherapy can be contacted at: Amer Soc Microbiology, 1752 N St NW, Washington, DC 20036-2904, USA. (American Society for Microbiology - www.asm.org; Antimicrobial Agents and Chemotherapy - aac.asm.org)</w:t>
        <w:br/>
        <w:br/>
        <w:t>The news editors report that additional information may be obtained by contacting N. Cowan, MMV, Geneva, Switzerland. Additional authors for this research include P. Datwyler, B. Ernst, C.K. Wang, J.L. Vennerstrom, T. Spangenberg and J. Keiser.</w:t>
        <w:br/>
        <w:br/>
        <w:t>Keywords for this news article include: Geneva, Europe, Switzerland, Drugs and Therapies</w:t>
        <w:br/>
        <w:br/>
        <w:t>Our reports deliver fact-based news of research and discoveries from around the world. Copyright 2015, NewsRx LLC</w:t>
      </w:r>
    </w:p>
    <w:p>
      <w:pPr>
        <w:pStyle w:val="Heading1"/>
      </w:pPr>
      <w:r>
        <w:t>End of Article 20</w:t>
      </w:r>
    </w:p>
    <w:p>
      <w:r>
        <w:br w:type="page"/>
      </w:r>
    </w:p>
    <w:p>
      <w:pPr>
        <w:pStyle w:val="Heading1"/>
      </w:pPr>
      <w:r>
        <w:t>Start of Article 21</w:t>
      </w:r>
    </w:p>
    <w:p>
      <w:pPr>
        <w:pStyle w:val="Heading1"/>
      </w:pPr>
      <w:r>
        <w:t>Document ID CNSW000020151224ebcn000ji</w:t>
      </w:r>
    </w:p>
    <w:p>
      <w:r>
        <w:t>by Stockwatch Business Reporter</w:t>
        <w:br/>
        <w:br/>
        <w:t>The TSX Venture Exchange closed up 9.39 points to 511.43 Wednesday. Nizar Bharmal's halted shell, Wolfeye Resource Corp. (WEY), has signed a definitive deal for its reverse takeover of Bionomics Diagnostics Inc. The shell, which has 9,170,260 issued shares, will issue 17 million shares to the holders of Bionomics. To raise working capital for the resulting company, Wolfeye will sell a $1.2-million private placement of 4.8 million units at 25 cents, and Bionomics will sell three million of its shares at 10 cents for $300,000. Wolfeye has paid Bionomics a non-refundable deposit of $25,000 to cover expenses for this RTO.</w:t>
        <w:br/>
        <w:br/>
        <w:t>Bionomics, a British Columbia company, holds the intellectual property rights to a device that detects pathogens. Pathogens are bacteria, viruses or other micro-organisms that can cause disease. The device can be used to improve triage at hospitals, because results can be obtained in only one hour. In comparison, urine tests take one to three days. Blood tests usually take two to three days, though some bacteria can hide for 10 days before showing up in lab cultures, and fungi can hide for up to 30 days. As well as being quick at providing results, Bionomics's device is also compact and easy to operate, even for non-medical professionals. An employee at a food processing plant should be able to use the device to test food safety. Rather importantly, Bionomics does not say how far along in development the device is.</w:t>
        <w:br/>
        <w:br/>
        <w:t>On closing of the RTO, three of Wolfeye's directors will resign, leaving only Daryl Rebeck. Mr. Rebeck is a former investment adviser with Canaccord Wealth Management. He will be joined on the board of the resulting issuer by James Hutchens, who will also be the president, as well as Dr. Robin Atlas and William Galine. Mr. Hutchens is a co-founder and managing director of Origin Partners, a venture capital firm in the United States. He founded Microsurge Inc., a maker of surgical tools, which was acquired by Urohealth Systems Inc. in 1997 for $38-million (U.S.) in shares and assumed debt. He also founded Choice Therapeutics Inc., a maker of wound care products, which was acquired by Nasdaq-listed Alliqua BioMedical Inc. (ALQA: $2.20 (U.S.)) in May, 2014, for $4-million (U.S.) in cash and stock. The second incoming director, Dr. Atlas, was the chief medical officer of Harvard Vanguard Medical Associates, a non-profit practice in Massachusetts. She retired from Harvard Vanguard and from medical practice in 2001. Now, she is a director of two non-profit health care institutions in the state. The final director, Mr. Galine, is an investor relations man in Vancouver. He is also the president of Canadian Securities Exchange-listed shell Expedition Mining Inc. (EXU: halted), which is acquiring BSS Life Sciences Inc. for 26.5 million shares or 71.12 per cent of the resulting issuer. BSS Life Sciences is a B.C. company that holds the IP rights to a medical imaging device, which is designed to detect cancer. On closing of this acquisition, the resulting issuer's board will consist of Expedition directors Robert Lunde, Steven Chan and William Galine, as well as Mr. Galine's friends, Mr. Hutchens and Dr. Atlas.</w:t>
        <w:br/>
        <w:br/>
        <w:t>Wolfeye and Expedition are among the many resource issuers that became shells after finding it difficult to raise money for their exploration programs. Wolfeye defaulted on its California gold property in June, 2014. Mr. Bharmal, a Vancouver accountant, was appointed as Wolfeye's president in the same month. Expedition Mining wrote off its Nevada and Yukon gold properties in September, 2014, after which it attempted to acquire the developer of a medical marijuana production management software. This plan did not pan out, and Mr. Galine brought forth the BSS Life Sciences deal instead. He is a minority shareholder of BSS.</w:t>
      </w:r>
    </w:p>
    <w:p>
      <w:pPr>
        <w:pStyle w:val="Heading1"/>
      </w:pPr>
      <w:r>
        <w:t>End of Article 21</w:t>
      </w:r>
    </w:p>
    <w:p>
      <w:r>
        <w:br w:type="page"/>
      </w:r>
    </w:p>
    <w:p>
      <w:pPr>
        <w:pStyle w:val="Heading1"/>
      </w:pPr>
      <w:r>
        <w:t>Start of Article 22</w:t>
      </w:r>
    </w:p>
    <w:p>
      <w:pPr>
        <w:pStyle w:val="Heading1"/>
      </w:pPr>
      <w:r>
        <w:t>Document ID THEBUGLE20151210ebc80001g</w:t>
      </w:r>
    </w:p>
    <w:p>
      <w:r>
        <w:t>"Influenza can be a serious upper respiratory disease that can lead to hospitalization and death for some," Will County Health Department Executive Director John Cicero said in a news release. "The best way to protect yourself against the flu is an annual flu shot."</w:t>
        <w:br/>
        <w:br/>
        <w:t>The department said the influenza vaccine is recommended for virtually everyone six months of age and older. The vaccine is especially important for pregnant women, young children, seniors and anyone with underlying health conditions such as asthma, diabetes or a weakened immune system.</w:t>
        <w:br/>
        <w:br/>
        <w:t>Because flu viruses constantly change, the department added that an annual dose of vaccine is highly recommended.</w:t>
        <w:br/>
        <w:br/>
        <w:t>"Flu vaccine can significantly reduce the risk of disease complications like pneumonia," Cicero said. "Several vaccine options are available. Flu activity usually increases soon after the holiday season, so receiving vaccine protection now will boost your immunity during the weeks and months to come."</w:t>
        <w:br/>
        <w:br/>
        <w:t>People with the flu can spread it to others through coughing, sneezing and talking. Flu may also be spread when people touch surfaces contaminated by virus droplets.</w:t>
        <w:br/>
        <w:br/>
        <w:t>Flu symptoms include fever, cough, sore throat, runny or stuffy nose, body aches, headache, chills and fatigue. To minimize the risk of flu transmission, the department recommends washing hands frequently and avoiding close contact with sick people.</w:t>
        <w:br/>
        <w:br/>
        <w:t>Additionally, individuals should avoid touching their eyes, nose or mouth, which can spread viruses and bacteria. Covering mouths when coughing or sneezing also reduces the risk of transmitting flu.</w:t>
        <w:br/>
        <w:br/>
        <w:t>For information about immunization services provided by the Will County Health Department, call 815-740-8143 or visit www.willcountyhealth.org.</w:t>
      </w:r>
    </w:p>
    <w:p>
      <w:pPr>
        <w:pStyle w:val="Heading1"/>
      </w:pPr>
      <w:r>
        <w:t>End of Article 22</w:t>
      </w:r>
    </w:p>
    <w:p>
      <w:r>
        <w:br w:type="page"/>
      </w:r>
    </w:p>
    <w:p>
      <w:pPr>
        <w:pStyle w:val="Heading1"/>
      </w:pPr>
      <w:r>
        <w:t>Start of Article 23</w:t>
      </w:r>
    </w:p>
    <w:p>
      <w:pPr>
        <w:pStyle w:val="Heading1"/>
      </w:pPr>
      <w:r>
        <w:t>Document ID CHEMEC0020150925eb9p00002</w:t>
      </w:r>
    </w:p>
    <w:p>
      <w:r>
        <w:t>The following quote was obtained by the news editors from the background information supplied by the inventors: "Lactoferrin (LF) is an iron-binding protein contained in tear, saliva, peripheral blood, milk and so forth in the living body, and it is known to show an antimicrobial activity against harmful microorganisms, such as Escherichia coli, Candida yeasts and Clostridium bacteria (Non-patent document 1). Further, it is also known to show an antimicrobial activity against Staphylococcus and Enterococcus bacteria at a concentration of 0.5 to 30 mg/ml (Non-patent document 2).</w:t>
        <w:br/>
        <w:br/>
        <w:t>"Further, it is also known a composition containing a lactoferrin hydrolysate for inhibiting adhesion of enteropathogenic Escherichia coli to alimentary canal epithelial cells (Patent document 1).</w:t>
        <w:br/>
        <w:br/>
        <w:t>"In addition to the above, it is known that Lactoferricin (registered trademark), which is a lactoferrin-derived peptide obtainable from a pepsin digestion product of lactoferrin, has an antimicrobial activity (Non-patent documents 3 and 4).</w:t>
        <w:br/>
        <w:br/>
        <w:t>"Furthermore, it is investigated a method for enhancing antimicrobial activity of lactoferrin or lactoferrin hydrolysate mentioned above by combining an ingredient other than such lactoferrins.</w:t>
        <w:br/>
        <w:br/>
        <w:t>"For example, it is known an antimicrobial agent containing a compound selected from the group consisting of decomposition products of lactoferrins, lactoferrin-related antimicrobial peptides, and arbitrary mixtures of these, and a casein decomposition product as active ingredients (Patent document 2).</w:t>
        <w:br/>
        <w:br/>
        <w:t>"Further, it is also known an antimicrobial agent containing a compound selected from the group consisting of decomposition products of lactoferrins, lactoferrin-related antimicrobial peptides, and arbitrary mixtures of these, and a metal-binding protein as active ingredients (Patent document 3). As the metal-binding protein, lactoferrins, transferrin, conalbumin and casein phosphopeptides are mentioned.</w:t>
        <w:br/>
        <w:br/>
        <w:t>"Further, it is disclosed an antimicrobial agent containing a decomposition product of lactoferrins and/or an antimicrobial peptide derived from the decomposition product, and lysozyme as active ingredients (Patent document 4).</w:t>
        <w:br/>
        <w:br/>
        <w:t>"Further, it is known a composition consisting of an emulsion of an enzymatic decomposition product of lactoferrins, an antimicrobial peptide obtainable from an enzymatic decomposition product of lactoferrins or a chemically synthesized peptide containing a part of amino acid sequence of lactoferrins, and an aliphatic acid (Patent document 5).</w:t>
        <w:br/>
        <w:br/>
        <w:t>"In addition, it is known an antimicrobial agent comprising a newquinolone antimicrobial agent and a hydrolysate of lactoferrins or an antimicrobial peptide derived from a hydrolysate of lactoferrins as active ingredients (Patent document 6)."</w:t>
        <w:br/>
        <w:br/>
        <w:t>In addition to the background information obtained for this patent application, VerticalNews journalists also obtained the inventors' summary information for this patent application: "Problems to be Solved by the Invention</w:t>
        <w:br/>
        <w:br/>
        <w:t>"Lactoferrin and lactoferrin hydrolysate (henceforth also collectively referred to as 'lactoferrins') are known from the past to have an antimicrobial activity. And in order to further improve the antimicrobial activity of lactoferrins, methods of combining lactoferrins and various compounds have been investigated.</w:t>
        <w:br/>
        <w:br/>
        <w:t>"However, combinations that markedly enhance the antimicrobial effect of lactoferrins are scarcely known.</w:t>
        <w:br/>
        <w:br/>
        <w:t>"In particular, there has been desired a method that can enhance the antimicrobial activity of lactoferrins even with an extremely small amount of a substance to be added to lactoferrins.</w:t>
        <w:br/>
        <w:br/>
        <w:t>"Furthermore, there has been desired a highly safe antimicrobial agent that show no adverse reactions even if it is ingested on a daily basis.</w:t>
        <w:br/>
        <w:br/>
        <w:t>"Means for Solving the Problem</w:t>
        <w:br/>
        <w:br/>
        <w:t>"The inventors of the present invention paid attention to the fact that a protein fraction in the middle of purification obtainable in the production process of lactoferrin markedly enhanced the antimicrobial activity of lactoferrins, and conducted various researches on protein components of the fraction.</w:t>
        <w:br/>
        <w:br/>
        <w:t>"Then, they confirmed that, among the aforementioned components, ribonuclease-4 which is a milk protein not having antimicrobial activity by itself, markedly enhanced the antimicrobial activity of lactoferrin or lactoferrin hydrolysate, and accomplished the present invention.</w:t>
        <w:br/>
        <w:br/>
        <w:t>"As the first aspect, the present invention solving the aforementioned problem provides an antimicrobial activity enhancing agent for lactoferrin or a lactoferrin hydrolysate, which contains ribonuclease-4 as an active ingredient.</w:t>
        <w:br/>
        <w:br/>
        <w:t>"The second aspect of the present invention relates to an antimicrobial composition comprising the antimicrobial activity enhancing agent of the first aspect of the present invention, and one or plural kinds of substances selected from the group consisting of lactoferrin and a lactoferrin hydrolysate, wherein mass ratio of ribonuclease-4 to lactoferrin and a lactoferrin hydrolysate is 1/80 or more.</w:t>
        <w:br/>
        <w:br/>
        <w:t>"The third aspect of the present invention relates to a drug for antimicrobial use comprising the antimicrobial composition of the second aspect of the present invention.</w:t>
        <w:br/>
        <w:br/>
        <w:t>"The fourth aspect of the present invention relates to a food or drink comprising the antimicrobial composition of the second aspect of the present invention.</w:t>
        <w:br/>
        <w:br/>
        <w:t>"The fifth aspect of the present invention relates to a feed comprising the antimicrobial composition of the second aspect of the present invention.</w:t>
        <w:br/>
        <w:br/>
        <w:t>"The sixth aspect of the present invention relates to use of ribonuclease-4 for the production of an antimicrobial activity enhancing agent for lactoferrin or a lactoferrin hydrolysate.</w:t>
        <w:br/>
        <w:br/>
        <w:t>"The seventh aspect of the present invention relates to a method for producing an antimicrobial activity enhancing agent for lactoferrin or a lactoferrin hydrolysate, which comprises:</w:t>
        <w:br/>
        <w:br/>
        <w:t>"(a) the step of contacting raw milk with a cation exchange resin to adsorb proteins in the raw milk to the cation exchange resin, (b) the step of washing the cation exchange resin having undergone the aforementioned adsorption treatment, and flowing an elution solvent to elute a protein fraction having an isoelectric point of 8.0 to 10.0, and (c) the step of subjecting the eluted protein fraction to gel filtration using a gel filtration carrier to collect a fraction of a molecular weight of 30 kDa or less.</w:t>
        <w:br/>
        <w:br/>
        <w:t>"The eighth aspect of the present invention relates to a method for producing ribonuclease-4, which comprises:</w:t>
        <w:br/>
        <w:br/>
        <w:t>"(a) the step of contacting a raw milk with a cation exchange resin to adsorb proteins in the raw milk to the cation exchange resin, (b) the step of washing the cation exchange resin having undergone the aforementioned adsorption treatment, and flowing an elution solvent to elute a protein fraction having an isoelectric point of 8.0 to 10.0, (c) the step of subjecting the eluted protein fraction to membrane filtration using an ultrafiltration membrane having a molecular weight cutoff of 30 kDa to collect a fraction passed through the membrane, and (d) the step of subjecting the fraction passed through the membrane to gel filtration using a gel filtration carrier to collect a fraction of a molecular weight of 30 kDa or less. BRIEF DESCRIPTION OF THE DRAWINGS</w:t>
        <w:br/>
        <w:br/>
        <w:t>"FIG. 1 A drawing (partially consisting of photograph) showing an elution curve observed in gel filtration chromatography used for the method for producing the antimicrobial activity enhancing agent of the present invention.</w:t>
        <w:br/>
        <w:br/>
        <w:t>"FIG. 2 A drawing (partially consisting of photograph) showing an elution curve observed in gel filtration chromatography used for the method for producing the antimicrobial activity enhancing agent of the present invention.</w:t>
        <w:br/>
        <w:br/>
        <w:t>"FIG. 3 An SDS electrophoretogram (photograph) of the antimicrobial activity enhancing agent of the present invention.</w:t>
        <w:br/>
        <w:br/>
        <w:t>"FIG. 4 An SDS electrophoretogram (photograph) of the antimicrobial activity enhancing agent of the present invention.</w:t>
        <w:br/>
        <w:br/>
        <w:t>"FIG. 5 The results of amino acid sequence (SEQ ID No.: 4) analysis for the antimicrobial activity enhancing agent of the present invention (ribonuclease-4) obtained by mass spectrometry. The upper and lower rows indicate the results of the analysis performed twice. The underlined parts are portions that agreed with the sequence of the bovine ribonuclease-4 in database search performed by using the results of mass spectrometry.</w:t>
        <w:br/>
        <w:br/>
        <w:t>"FIG. 6 A densitogram (partially consisting of photograph) of the antimicrobial activity enhancing agent of the present invention.</w:t>
        <w:br/>
        <w:br/>
        <w:t>"FIG. 7 A densitogram (partially consisting of photograph) of the antimicrobial activity enhancing agent of the present invention.</w:t>
        <w:br/>
        <w:br/>
        <w:t>"FIG. 8 The primary structure of human Lactoferricin (amino acid sequence: SEQ ID NOS: 1 and 2).</w:t>
        <w:br/>
        <w:br/>
        <w:t>"FIG. 9 The primary structure of bovine Lactoferricin (amino acid sequence: SEQ ID NO: 3)."</w:t>
        <w:br/>
        <w:br/>
        <w:t>URL and more information on this patent application, see: Murata, Mai; Wakabayashi, Hiroyuki; Yamauchi, Koji. Antimicrobial Activity Enhancing Agent. Filed May 21, 2015 and posted September 17, 2015. Patent URL: http://appft.uspto.gov/netacgi/nph-Parser?Sect1=PTO2&amp;Sect2=HITOFF&amp;u=%2Fnetahtml%2FPTO%2Fsearch-adv.html&amp;r=7143&amp;p=143&amp;f=G&amp;l=50&amp;d=PG01&amp;S1=20150910.PD.&amp;OS=PD/20150910&amp;RS=PD/20150910</w:t>
        <w:br/>
        <w:br/>
        <w:t>Keywords for this news article include: Antibiotics, Therapy, Peptides, Amino Acids, Lactoferrin, Glycoproteins, Lactoglobulins, Dietary Proteins, Iron-Binding Proteins, Cation Exchange Resins, Morinaga Milk Industry Co. Ltd..</w:t>
        <w:br/>
        <w:br/>
        <w:t>Our reports deliver fact-based news of research and discoveries from around the world. Copyright 2015, NewsRx LLC</w:t>
      </w:r>
    </w:p>
    <w:p>
      <w:pPr>
        <w:pStyle w:val="Heading1"/>
      </w:pPr>
      <w:r>
        <w:t>End of Article 23</w:t>
      </w:r>
    </w:p>
    <w:p>
      <w:r>
        <w:br w:type="page"/>
      </w:r>
    </w:p>
    <w:p>
      <w:pPr>
        <w:pStyle w:val="Heading1"/>
      </w:pPr>
      <w:r>
        <w:t>Start of Article 24</w:t>
      </w:r>
    </w:p>
    <w:p>
      <w:pPr>
        <w:pStyle w:val="Heading1"/>
      </w:pPr>
      <w:r>
        <w:t>Document ID GLOMCP0020151218ebci00i2y</w:t>
      </w:r>
    </w:p>
    <w:p>
      <w:r>
        <w:t>U.S. Army Medical Materiel Development Activity (UAMMDA) is pharmaceutical and healthcare service provider. The company develops advanced medical products and drugs. It provides clinical services such as clinical study monitoring, nonclinical study design, biostatistical support, and adverse event reporting. UAMMDA's pharmaceutical system manages the development and acquisition of pharmaceutical and biological products. The company's administrative services include logistical support, human resources support, and information technology support. UAMMDA is headquartered in Fort Detrick, Maryland, the US.</w:t>
        <w:br/>
        <w:br/>
        <w:t>Note</w:t>
        <w:br/>
        <w:br/>
        <w:t>Note : GlobalData uses a range of research techniques to gather and verify its information and analysis. These include primary research, in-house knowledge and expertise, proprietary databases, and secondary sources such as company websites, annual reports, SEC filings and press releases. Disclaimer: No part of this publication may be reproduced, stored in a retrieval system or transmitted in any form by any means, electronic, mechanical, photocopying, recording or otherwise, without the prior permission of the publisher, GlobalData. The facts of this report are believed to be correct at the time of publication but cannot be guaranteed. Please note that the findings, conclusions and recommendations that GlobalData delivers will be based on information gathered in good faith from both primary and secondary sources, whose accuracy we are not always in a position to guarantee. As such GlobalData can accept no liability whatever for actions taken based on any information that may subsequently prove to be incorrect.</w:t>
      </w:r>
    </w:p>
    <w:p>
      <w:pPr>
        <w:pStyle w:val="Heading1"/>
      </w:pPr>
      <w:r>
        <w:t>End of Article 24</w:t>
      </w:r>
    </w:p>
    <w:p>
      <w:r>
        <w:br w:type="page"/>
      </w:r>
    </w:p>
    <w:p>
      <w:pPr>
        <w:pStyle w:val="Heading1"/>
      </w:pPr>
      <w:r>
        <w:t>Start of Article 25</w:t>
      </w:r>
    </w:p>
    <w:p>
      <w:pPr>
        <w:pStyle w:val="Heading1"/>
      </w:pPr>
      <w:r>
        <w:t>Document ID BTBW000020150921eb9l0000h</w:t>
      </w:r>
    </w:p>
    <w:p>
      <w:r>
        <w:t>REPATHA(TM) is indicated as an adjunct to diet and maximally tolerated statin therapy for adult patients with heterozygous familial hypercholesterolemia or clinical atherosclerotic cardiovascular disease. REPATHA(TM) is also indicated as an adjunct to diet and other low-density lipoprotein-lowering therapies for the treatment of patients with homozygous familial hypercholesterolemia.</w:t>
        <w:br/>
        <w:br/>
        <w:t>REPATHA(TM) is an antibody that targets PCSK9 (proprotein convertase subtilisin kexin type 9), a protein that reduces the liver's ability to remove low-density lipoprotein cholesterol (LDL-C) from the blood. Mutations in the PCSK9 gene are often linked to high cholesterol, and REPATHA(TM) works to dramatically reduce these levels.</w:t>
        <w:br/>
        <w:br/>
        <w:t>"Statins are the most widely prescribed class of medications for those with high cholesterol, and for those who are statin-intolerant, finding treatment can be difficult," said Gary Kadlec, Diplomat's president. "With REPATHA(TM), we are motivated by the thought of offering those patients a new innovative means of treatment."</w:t>
        <w:br/>
        <w:br/>
        <w:t>High cholesterol, particularly elevated LDL-C, is the most common form of dyslipidemia, which is an abnormality of cholesterol and/or fats in the blood. Nearly one in three Americans have elevated LDL-C, which is recognized as a major risk factor for cardiovascular disease.</w:t>
        <w:br/>
        <w:br/>
        <w:t>REPATHA(TM) is distributed by Amgen Inc. Please see full prescribing information for REPATHA(TM) at http://pi.amgen.com/united_states/repatha/repatha_pi_hcp_english.pdf.</w:t>
        <w:br/>
        <w:br/>
        <w:t>To learn more about Diplomat, visit www.diplomat.is.</w:t>
        <w:br/>
        <w:br/>
        <w:t>Keywords for this news article include: Pharmaceutical Companies, Amgen, Lipids, Genetics, Cardiology, Lipoproteins, Diplomat Pharmacy Inc., Cardiovascular Diseases.</w:t>
        <w:br/>
        <w:br/>
        <w:t>Our reports deliver fact-based news of research and discoveries from around the world. Copyright 2015, NewsRx LLC</w:t>
      </w:r>
    </w:p>
    <w:p>
      <w:pPr>
        <w:pStyle w:val="Heading1"/>
      </w:pPr>
      <w:r>
        <w:t>End of Article 25</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280B4AF-8306-4550-826D-5F74A2114F61}"/>
</file>

<file path=customXml/itemProps3.xml><?xml version="1.0" encoding="utf-8"?>
<ds:datastoreItem xmlns:ds="http://schemas.openxmlformats.org/officeDocument/2006/customXml" ds:itemID="{92E171F6-A077-4C5B-AF01-2723BD76DEB9}"/>
</file>

<file path=customXml/itemProps4.xml><?xml version="1.0" encoding="utf-8"?>
<ds:datastoreItem xmlns:ds="http://schemas.openxmlformats.org/officeDocument/2006/customXml" ds:itemID="{A456ADE6-5F80-4E8B-92D3-8C1DDFD6E7D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