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of Article 1</w:t>
      </w:r>
    </w:p>
    <w:p>
      <w:pPr>
        <w:pStyle w:val="Heading1"/>
      </w:pPr>
      <w:r>
        <w:t>Document ID RTTNEW0020151030ebat00106</w:t>
      </w:r>
    </w:p>
    <w:p>
      <w:r>
        <w:t>The facility will provide analytical and stability services, including analytical method development, transfer and validation for IND/NDA submissions; commercial API and drug product testing; stability studies of APIs, drug products for registration, and commercial products; and reference standard qualification.</w:t>
        <w:br/>
        <w:br/>
        <w:t>"This strategic partnership further strengthens our close, broad-based collaboration with Gilead over many years," said Ge Li, PhD, Chairman and CEO of WuXi PharmaTech.</w:t>
        <w:br/>
        <w:br/>
        <w:t>For comments and feedback: contact editorial@rttnews.com</w:t>
        <w:br/>
        <w:br/>
        <w:t>Copyright(c) 2015 RTTNews.com. All Rights Reserved</w:t>
      </w:r>
    </w:p>
    <w:p>
      <w:pPr>
        <w:pStyle w:val="Heading1"/>
      </w:pPr>
      <w:r>
        <w:t>End of Article 1</w:t>
      </w:r>
    </w:p>
    <w:p>
      <w:r>
        <w:br w:type="page"/>
      </w:r>
    </w:p>
    <w:p>
      <w:pPr>
        <w:pStyle w:val="Heading1"/>
      </w:pPr>
      <w:r>
        <w:t>Start of Article 2</w:t>
      </w:r>
    </w:p>
    <w:p>
      <w:pPr>
        <w:pStyle w:val="Heading1"/>
      </w:pPr>
      <w:r>
        <w:t>Document ID NCIW000020150515eb5j00055</w:t>
      </w:r>
    </w:p>
    <w:p>
      <w:r>
        <w:t>The news reporters obtained a quote from the research from GlaxoSmithKline, "REDUCE compared dutasteride vs placebo on prostate cancer risk among men with an elevated PSA level and negative pre-study biopsy and included two on-study biopsies regardless of PSA level at 2 and 4 years. Available data for MetS-like components included data on diabetes, hypertension, hypercholesterolaemia, and body mass index. The association between number of these MetS-like components and prostate cancer risk and low-grade (Gleason sum &lt; 7) or high-grade (Gleason sum &gt; 7) vs no prostate cancer was evaluated using logistic regression. In all, 2171 men (34%) had one MetS-like component, 724 (11%) had two, and 163 (3%) had three or four. Men with more MetS-like components had lower PSA levels (P = 0.029). One vs no MetS-like components was protective for overall prostate cancer (P = 0.041) and low-grade prostate cancer (P = 0.010). Two (P = 0.69) or three to four (P = 0.15) MetS-like components were not significantly related to prostate cancer. While one MetS-like component was unrelated to high-grade prostate cancer (P = 0.97), two (P = 0.059) or three to four MetS-like components (P = 0.02) were associated with increased high-grade prostate cancer risk, although only the latter was significant."</w:t>
        <w:br/>
        <w:br/>
        <w:t>According to the news reporters, the research concluded: "When biopsies are largely PSA level independent, men with an initial elevated PSA level and a previous negative biopsy, and multiple MetS-like components were at an increased risk of high-grade prostate cancer, suggesting the link between MetS-like components and high-grade prostate cancer is unrelated to a lowered PSA level."</w:t>
        <w:br/>
        <w:br/>
        <w:t>For more information on this research see: Metabolic syndrome-like components and prostate cancer risk: results from the Reduction by Dutasteride of Prostate Cancer Events (REDUCE) study. BJU International, 2015;115(5):736-743. BJU International can be contacted at: Wiley-Blackwell, 111 River St, Hoboken 07030-5774, NJ, USA. (Wiley-Blackwell - www.wiley.com/; BJU International - onlinelibrary.wiley.com/journal/10.1111/(ISSN)1464-410X)</w:t>
        <w:br/>
        <w:br/>
        <w:t>Our news correspondents report that additional information may be obtained by contacting K.N. Sourbeer, GlaxoSmithKline, Oncol Res &amp; Dev, Philadelphia, PA, United States. Additional authors for this research include L.E. Howard, G.L. Andriole, D.M. Moreira, R. Castro-Santamaria, S.J. Freedland and A.C. Vidal.</w:t>
        <w:br/>
        <w:br/>
        <w:t>Keywords for this news article include: Oncology, Healthcare, Philadelphia, Pennsylvania, United States, Prostate Cancer, Metabolic Syndrome, Prostatic Neoplasms, Diseases and Conditions, North and Central America, Prostate Specific Antigen</w:t>
        <w:br/>
        <w:br/>
        <w:t>Our reports deliver fact-based news of research and discoveries from around the world. Copyright 2015, NewsRx LLC</w:t>
      </w:r>
    </w:p>
    <w:p>
      <w:pPr>
        <w:pStyle w:val="Heading1"/>
      </w:pPr>
      <w:r>
        <w:t>End of Article 2</w:t>
      </w:r>
    </w:p>
    <w:p>
      <w:r>
        <w:br w:type="page"/>
      </w:r>
    </w:p>
    <w:p>
      <w:pPr>
        <w:pStyle w:val="Heading1"/>
      </w:pPr>
      <w:r>
        <w:t>Start of Article 3</w:t>
      </w:r>
    </w:p>
    <w:p>
      <w:pPr>
        <w:pStyle w:val="Heading1"/>
      </w:pPr>
      <w:r>
        <w:t>Document ID CTRW000020150109eb1c0000i</w:t>
      </w:r>
    </w:p>
    <w:p>
      <w:r>
        <w:t>Our news editors obtained a quote from the research, "The study was performed by four surgeons operating in two community hospitals. Thirty patients with bilateral chronic rhinosinusitis underwent bilateral total ethmoidectomy. Intraoperatively, each patient received 5 mL of HA hydrogel in one ethmoid cavity and 5 mL of CMC contralaterally. The material applied within each ethmoid cavity was randomly assigned before surgery. An independent surgeon, blinded to the material used to treat each ethmoid cavity, evaluated postoperative endoscopic video at 1 and 2 weeks for edema, crusting, and mucopurulence and at 6 and 12 weeks for remucosalization and scarring/synechiae. Twenty-item Sino-Nasal Outcome Test SNOT-20 data were collected at each visit. A small sample underwent endoscopic mucosal biopsy. Twenty-nine of 30 patients completed the protocol. The difference in edema, crusting, and mucopurulence at 1 and 2 weeks was not statistically significant; however, at 6 and 12 weeks, the HA hydrogel showed statistically significant reduction in both overall endoscopic grade (p &lt; 0.05), as well as synechiae formation (p &lt; 0.05), with a trend toward superiority in remucosalization (p = 0.08). Histological analysis of six subjects at 12 weeks showed a nonsignificant trend toward a greater amount of regenerated cilia present with the HA hydrogel (p = 0.23). SNOT-20 scores declined 78.8% from preoperative scores."</w:t>
        <w:br/>
        <w:br/>
        <w:t>According to the news editors, the research concluded: "Self-cross-linked HA hydrogel provides superior wound healing to CMC after ethmoidectomy."</w:t>
        <w:br/>
        <w:br/>
        <w:t>For more information on this research see: Self-cross-linked hyaluronic acid hydrogel in ethmoidectomy: A randomized, controlled trial. American Journal of Rhinology &amp; Allergy, 2014;28(6):508-513. American Journal of Rhinology &amp; Allergy can be contacted at: Ocean Side Publications Inc, 95 Pitman St, Providence, RI 02906, USA.</w:t>
        <w:br/>
        <w:br/>
        <w:t>The news editors report that additional information may be obtained by contacting K.E. Matheny, California Sinus Center, San Francisco, CA, United States. Additional authors for this research include E.Y. Tseng, K.B. Carter, W.B. Cobb and K.J. Fong.</w:t>
        <w:br/>
        <w:br/>
        <w:t>Keywords for this news article include: Alcohols, Hydrogel, California, San Francisco, United States, Clinical Research, Organic Chemicals, Polyethylene Glycols, North and Central America, Clinical Trials and Studies</w:t>
        <w:br/>
        <w:br/>
        <w:t>Our reports deliver fact-based news of research and discoveries from around the world. Copyright 2015, NewsRx LLC</w:t>
      </w:r>
    </w:p>
    <w:p>
      <w:pPr>
        <w:pStyle w:val="Heading1"/>
      </w:pPr>
      <w:r>
        <w:t>End of Article 3</w:t>
      </w:r>
    </w:p>
    <w:p>
      <w:r>
        <w:br w:type="page"/>
      </w:r>
    </w:p>
    <w:p>
      <w:pPr>
        <w:pStyle w:val="Heading1"/>
      </w:pPr>
      <w:r>
        <w:t>Start of Article 4</w:t>
      </w:r>
    </w:p>
    <w:p>
      <w:pPr>
        <w:pStyle w:val="Heading1"/>
      </w:pPr>
      <w:r>
        <w:t>Document ID LBA0000020150422eb4m007a9</w:t>
      </w:r>
    </w:p>
    <w:p>
      <w:r>
        <w:t>* Google Inc is set to unveil its new U.S. wireless service as early as Wednesday, pushing the Internet giant further into telecom and injecting fresh uncertainty into a wireless industry already locked in a price war. (http://on.wsj.com/1Eq9Ulu)</w:t>
        <w:br/>
        <w:br/>
        <w:t>* An Ohio man accused last week of returning from Syria with plans to launch a terror attack visited a Columbus gun range last year, drawing the suspicions of the facility's owner. (http://on.wsj.com/1cYoaFP)</w:t>
        <w:br/>
        <w:br/>
        <w:t>* Teva Pharmaceutical Industries Ltd has proposed to acquire rival Mylan NV for about $40 billion, a tie-up that would create the world's biggest generic drug company by sales. (http://on.wsj.com/1bpaEuC)</w:t>
        <w:br/>
        <w:br/>
        <w:t>* Meredith Corp whose publications include Family Circle and Better Homes and Gardens, has laid off about 100 employees across its magazine, digital and broadcast properties. (http://on.wsj.com/1zKc1JE)</w:t>
        <w:br/>
        <w:br/>
        <w:t xml:space="preserve">* It is unlikely that antitrust enforcers' concerns about the Comcast Corp and Time Warner Cable Inc merger could be resolved by promises about how the cable giant would conduct business postmerger. (http://on.wsj.com/1Df5tUH) (Compiled by Rama Venkat Raman in Bengaluru) </w:t>
      </w:r>
    </w:p>
    <w:p>
      <w:pPr>
        <w:pStyle w:val="Heading1"/>
      </w:pPr>
      <w:r>
        <w:t>End of Article 4</w:t>
      </w:r>
    </w:p>
    <w:p>
      <w:r>
        <w:br w:type="page"/>
      </w:r>
    </w:p>
    <w:p>
      <w:pPr>
        <w:pStyle w:val="Heading1"/>
      </w:pPr>
      <w:r>
        <w:t>Start of Article 5</w:t>
      </w:r>
    </w:p>
    <w:p>
      <w:pPr>
        <w:pStyle w:val="Heading1"/>
      </w:pPr>
      <w:r>
        <w:t>Document ID DJDN000020150318eb3i0044e</w:t>
      </w:r>
    </w:p>
    <w:p>
      <w:r>
        <w:t>COLORADO SPRINGS, Colo., March 18, 2015 (GLOBE NEWSWIRE) -- The Spectranetics Corporation (Nasdaq:SPNC) reported today that Guy Childs, Chief Financial Officer, has announced his plan to transition from his current role. Mr. Childs will continue to serve as the Company's Chief Financial Officer until his replacement has been hired. Following the transition, Mr. Childs will continue to serve as an officer of the Company in a Vice President role that will include treasury, investor relations and financial planning.</w:t>
        <w:br/>
        <w:br/>
        <w:t>"On behalf of Spectranetics and our shareholders, I want to thank Guy for his outstanding leadership and guidance in his role as Chief Financial Officer, in which he has served since January 2003," said Scott Drake, President and CEO, Spectranetics. "I look forward to continuing our partnership as we expand our internal corporate capabilities. Our team, customers and investors will benefit from Guy's commitment to excellence and driving Spectranetics value in his important strategic role following the transition."</w:t>
        <w:br/>
        <w:br/>
        <w:t>"I am invigorated to remain with the leadership team in a key role that will leverage my strengths, provide continuity, and enable new, world-class talent to join our team during this exciting time. I have great confidence in Spectranetics' growth trajectory and look forward to capitalizing on our transformational opportunities," stated Guy Childs, Chief Financial Officer.</w:t>
        <w:br/>
        <w:br/>
        <w:t>About Spectranetics</w:t>
        <w:br/>
        <w:br/>
        <w:t>SPNC develops, manufactures, markets and distributes single-use medical devices used in minimally invasive procedures within the cardiovascular system. The Company's products are sold in over 65 countries and are used to treat arterial blockages in the heart and legs and in the removal of pacemaker and defibrillator leads.</w:t>
        <w:br/>
        <w:br/>
        <w:t>Spectranetics recently acquired AngioScore Inc., a leading developer, manufacturer and marketer of cardiovascular, specialty scoring balloons and the Stellarex drug-coated balloon platform from Covidien.</w:t>
        <w:br/>
        <w:br/>
        <w:t>The Company's Vascular Intervention (VI) products include a range of laser catheters for ablation of blockages in arteries above and below the knee as well as the AngioSculpt(R) scoring balloon used in both peripheral and coronary procedures and the Stellarex drug-coated balloon platform. The Company also markets support catheters to facilitate crossing of peripheral and coronary arterial blockages, and retrograde access and guidewire retrieval devices used in the treatment of peripheral arterial blockages, including chronic total occlusions. The Company markets aspiration and cardiac laser catheters to treat blockages in the heart.</w:t>
        <w:br/>
        <w:br/>
        <w:t>The Lead Management (LM) product line includes excimer laser sheaths, dilator sheaths, mechanical sheaths and accessories for the removal of pacemaker and defibrillator cardiac leads.</w:t>
        <w:br/>
        <w:br/>
        <w:t>For more information, visit www.spectranetics.com.</w:t>
        <w:br/>
        <w:br/>
        <w:t>Safe Harbor Statement</w:t>
        <w:br/>
        <w:br/>
        <w:t xml:space="preserve">This news release contains forward-looking statements within the meaning of Section 27A of the Securities Act of 1933 and Section 21E of the Securities Exchange Act of 1934 and the Private Securities Litigation Reform Act of 1995. You can identify these statements because they do not relate strictly to historical or current facts. Such statements may include words such as "anticipate," "will," "estimate," "expect," "look forward," "strive," "project," "intend," "should," "plan," "believe," "hope," "enable," "potential," and other words and terms of similar meaning in connection with any discussion of, among other things, future operating or financial performance, strategic initiatives and business strategies, clinical trials, regulatory or competitive environments, our intellectual property and product development. These forward-looking statements include, but are not limited to, statements regarding our competitive position, product development and commercialization schedule, expectation of continued growth and the reasons for that growth, growth rates, strength, integration and product launches, and 2015 outlook including projected revenue and expenses, net loss and gross margin. Such statements are based on current assumptions that involve risks and uncertainties that could cause actual outcomes and results to differ materially. You are cautioned not to place undue reliance on these forward-looking statements and to note they speak only as of the date of this release. These risks and uncertainties may include financial results differing from guidance, inability to successfully integrate AngioScore and Stellarex into our business, market acceptance of excimer laser atherectomy technology and our vascular intervention and lead removal products, lack of cash necessary to satisfy our cash obligations under our outstanding 2.625% Convertible Senior Notes due 2034, our debt adversely affecting our financial health and preventing us from fulfilling our debt service and other obligations, increasing price and product competition, increased pressure on expense levels resulting from expanded sales, marketing, product development and clinical activities, uncertain success of our strategic direction, dependence on new product development, loss of key personnel, uncertain success of or delays in our clinical trials, adverse results in any ongoing legal proceeding, or any legal proceeding in which we may become involved, adverse impact to our business of the health care reform and related legislation or regulations, including changes in reimbursements, continued or worsening adverse conditions in the general domestic and global economic markets and continued volatility and disruption of the credit markets, which affects the ability of hospitals and other health care systems to obtain credit and may impede our access to capital, intellectual property claims of third parties, availability of inventory from suppliers, adverse outcome of FDA inspections, the receipt of FDA approval to market new products or applications and the timeliness of any approvals, market acceptance of new products or applications, product defects, ability to manufacture sufficient volumes to fulfill customer demand, availability of vendor-sourced components at reasonable prices, unexpected delays or costs associated with any planned improvements to our manufacturing processes, and share price volatility due to the initiation or cessation of coverage, or changes in ratings, by securities analysts. For a further list and description of such risks and uncertainties that could cause our actual results, performance or achievements to materially differ from any anticipated results, performance or achievements, please see our previously filed SEC reports, including those risks set forth in our 2014 Annual Report on Form 10-K. We disclaim any intention or obligation to update or revise any financial or other projections or other forward-looking statements, whether because of new information, future events or otherwise. </w:t>
        <w:br/>
        <w:br/>
        <w:br/>
        <w:t xml:space="preserve">CONTACT: The Spectranetics Corporation </w:t>
        <w:br/>
        <w:t xml:space="preserve">         Guy Childs, Chief Financial Officer </w:t>
        <w:br/>
        <w:t xml:space="preserve">         (719) 633-8333 </w:t>
        <w:br/>
        <w:t xml:space="preserve">         guy.childs@spnc.com </w:t>
        <w:br/>
        <w:t xml:space="preserve"> </w:t>
        <w:br/>
        <w:t xml:space="preserve">         Westwicke Partners </w:t>
        <w:br/>
        <w:t xml:space="preserve">         Lynn Pieper </w:t>
        <w:br/>
        <w:t xml:space="preserve">         (415) 202-5678 </w:t>
        <w:br/>
        <w:t xml:space="preserve">         lynn.pieper@westwicke.com </w:t>
        <w:br/>
        <w:br/>
        <w:t>18 Mar 2015 17:45 ET *Spectranetics Announces Chief Fincl Officer Transition &gt;SPNC</w:t>
        <w:br/>
        <w:br/>
        <w:t>(MORE TO FOLLOW) Dow Jones Newswires (212-416-2800)</w:t>
        <w:br/>
        <w:br/>
        <w:t>March 18, 2015 17:45 ET (21:45 GMT)</w:t>
      </w:r>
    </w:p>
    <w:p>
      <w:pPr>
        <w:pStyle w:val="Heading1"/>
      </w:pPr>
      <w:r>
        <w:t>End of Article 5</w:t>
      </w:r>
    </w:p>
    <w:p>
      <w:r>
        <w:br w:type="page"/>
      </w:r>
    </w:p>
    <w:p>
      <w:pPr>
        <w:pStyle w:val="Heading1"/>
      </w:pPr>
      <w:r>
        <w:t>Start of Article 6</w:t>
      </w:r>
    </w:p>
    <w:p>
      <w:pPr>
        <w:pStyle w:val="Heading1"/>
      </w:pPr>
      <w:r>
        <w:t>Document ID DJDN000020150319eb3j001yv</w:t>
      </w:r>
    </w:p>
    <w:p>
      <w:r>
        <w:t>March 19, 2015 09:36 ET (13:36 GMT)</w:t>
      </w:r>
    </w:p>
    <w:p>
      <w:pPr>
        <w:pStyle w:val="Heading1"/>
      </w:pPr>
      <w:r>
        <w:t>End of Article 6</w:t>
      </w:r>
    </w:p>
    <w:p>
      <w:r>
        <w:br w:type="page"/>
      </w:r>
    </w:p>
    <w:p>
      <w:pPr>
        <w:pStyle w:val="Heading1"/>
      </w:pPr>
      <w:r>
        <w:t>Start of Article 7</w:t>
      </w:r>
    </w:p>
    <w:p>
      <w:pPr>
        <w:pStyle w:val="Heading1"/>
      </w:pPr>
      <w:r>
        <w:t>Document ID DJDN000020151005eba5001ap</w:t>
      </w:r>
    </w:p>
    <w:p>
      <w:r>
        <w:t>PR Newswire</w:t>
        <w:br/>
        <w:br/>
        <w:t>WOONSOCKET, R.I., Oct. 5, 2015</w:t>
        <w:br/>
        <w:br/>
        <w:t>WOONSOCKET, R.I., Oct. 5, 2015 /PRNewswire/ -- CVS Health (NYSE: CVS) today announced that it is opening Hearing Centers in seven CVS/pharmacy stores in the Dallas and Cleveland markets and will be providing optical services at CVS/pharmacy in five store locations around the Baltimore/Washington, D.C. market.</w:t>
        <w:br/>
        <w:br/>
        <w:t>"Hearing and optical services are a great fit with the existing health offerings in our stores, including industry-leading pharmacy products and services, our MinuteClinic walk-in medical clinics and a comprehensive smoking cessation program," said Andrew Sussman, M.D., president of CVS/minuteclinic and executive vice president &amp; associate chief medical officer of CVS Health. "By expanding our retail health offerings into vision and hearing services, we are providing customers a convenient, single destination on their path to better health."</w:t>
        <w:br/>
        <w:br/>
        <w:t>"Over the past year, we have eliminated tobacco products from all of our stores, added healthy food options, and created a stronger connection between health and beauty," said Judy Sansone, senior vice president of front store business and chief merchant of CVS Health. "Now, by taking these first steps into providing hearing and optical services, we continue to evolve our retail locations into a leading destination for convenient and accessible health services."</w:t>
        <w:br/>
        <w:br/>
        <w:t>The Hearing Centers at CVS/pharmacy, which will be open Tuesdays to Saturdays, are staffed by licensed audiologists and hearing instrument specialists who are able to assess hearing needs using computerized equipment in the centers' soundproof booths. The centers will offer a variety of hearing aid products and custom ear plugs, as well as provide services such as free hearing screenings and free in-store hearing checks and cleanings. The Hearing Centers will also offer innovative noise simulation testing to demonstrate to patients the improvements that hearing aids can provide during different life experiences. Many insurance plans will be accepted for the hearing services available.</w:t>
        <w:br/>
        <w:br/>
        <w:t>Experts say it takes an average of seven years for consumers to seek help from a professional for their hearing loss[1]. The hearing services offered at CVS/pharmacy will help increase awareness and access for those with hearing needs and provide the opportunity to improve their quality of life by addressing their hearing needs sooner.</w:t>
        <w:br/>
        <w:br/>
        <w:t>Optical service at CVS/pharmacy will be available seven days a week later this fall at select locations around the Baltimore/Washington, D.C. market. Services will include comprehensive eye exams by an optometrist three days a week for both walk-ins and appointments; prescriptions for glasses and contact lenses; access to more than 600 styles of frames and sunglasses from fashionable, popular brands for women, men and children; and free cleanings and adjustments. Many insurance plans will be accepted.</w:t>
        <w:br/>
        <w:br/>
        <w:t>All eyeglasses will have a 90-day total-satisfaction guarantee, and can be returned for any reason during this period for a full refund. Glasses purchased for children up to age 14 will be covered by a one-year guarantee[2].</w:t>
        <w:br/>
        <w:br/>
        <w:t>About CVS Health</w:t>
        <w:br/>
        <w:br/>
        <w:t>CVS Health (NYSE: CVS) is a pharmacy innovation company helping people on their path to better health. Through its more than 7,800 retail drugstores, nearly 1,000 walk-in medical clinics, a leading pharmacy benefits manager with more than 70 million plan members, and expanding specialty pharmacy services, the Company enables people, businesses and communities to manage health in more affordable, effective ways. This unique integrated model increases access to quality care, delivers better health outcomes and lowers overall health care costs. Find more information about how CVS Health is shaping the future of health at www.cvshealth.com.</w:t>
        <w:br/>
        <w:br/>
        <w:t>MEDIA CONTACT:</w:t>
        <w:br/>
        <w:br/>
        <w:t>Stephanie Cunha</w:t>
        <w:br/>
        <w:br/>
        <w:t>CVS/pharmacy</w:t>
        <w:br/>
        <w:br/>
        <w:t>scunha@cvs.com</w:t>
        <w:br/>
        <w:br/>
        <w:t>401-770-9354</w:t>
        <w:br/>
        <w:br/>
        <w:t>[1] http://chchearing.org/facts-about-hearing-loss/; http://www.hearingloss.org/content/symptoms-hearing-loss</w:t>
        <w:br/>
        <w:br/>
        <w:t>[2] Glasses that are damaged, broken or lost will be replaced at no charge, one time for one year from the original date of delivery.</w:t>
        <w:br/>
        <w:br/>
        <w:t>Logo - http://photos.prnewswire.com/prnh/20140905/143585</w:t>
        <w:br/>
        <w:br/>
        <w:t>To view the original version on PR Newswire, visit:http://www.prnewswire.com/news-releases/cvspharmacy-opening-optical-and-hearing-centers-in-select-locations-300153912.html</w:t>
        <w:br/>
        <w:br/>
        <w:t>SOURCE CVS Health</w:t>
        <w:br/>
        <w:br/>
        <w:t>/Web site: http://www.cvshealth.com</w:t>
        <w:br/>
        <w:br/>
        <w:t>(END) Dow Jones Newswires</w:t>
        <w:br/>
        <w:br/>
        <w:t>October 05, 2015 08:30 ET (12:30 GMT)</w:t>
      </w:r>
    </w:p>
    <w:p>
      <w:pPr>
        <w:pStyle w:val="Heading1"/>
      </w:pPr>
      <w:r>
        <w:t>End of Article 7</w:t>
      </w:r>
    </w:p>
    <w:p>
      <w:r>
        <w:br w:type="page"/>
      </w:r>
    </w:p>
    <w:p>
      <w:pPr>
        <w:pStyle w:val="Heading1"/>
      </w:pPr>
      <w:r>
        <w:t>Start of Article 8</w:t>
      </w:r>
    </w:p>
    <w:p>
      <w:pPr>
        <w:pStyle w:val="Heading1"/>
      </w:pPr>
      <w:r>
        <w:t>Document ID ELECWK0020150320eb3p000rf</w:t>
      </w:r>
    </w:p>
    <w:p>
      <w:r>
        <w:t>Reporters obtained the following quote from the background information supplied by the inventors: "The present invention relates to methods, apparatus, and devices associated with an ophthalmic lens system wherein the lenses may communicate with each other utilizing a secondary electronic external device. More particularly, the present invention relates to an ophthalmic lens system that may depend on the secondary electronic external device to reduce power, communication, and processing requirements within the ophthalmic lenses.</w:t>
        <w:br/>
        <w:br/>
        <w:t>"Traditionally, an ophthalmic device, such as a contact lens, an intraocular lens, or a punctal plug included a biocompatible device with a corrective, cosmetic, or therapeutic quality. A contact lens, for example, may provide one or more of vision correcting functionality, cosmetic enhancement, and/or therapeutic effects. Each function may be provided by a physical characteristic of the lens. A design incorporating a refractive quality into a lens may provide a vision corrective function. Pigmentation incorporated into the lens may provide a cosmetic enhancement. An active agent incorporated into a lens may provide a therapeutic functionality. Such physical characteristics may be accomplished without the lens entering into an energized state.</w:t>
        <w:br/>
        <w:br/>
        <w:t>"More recently, active components have been included in a contact lens, and the inclusion may involve the incorporation of energizing elements within the ophthalmic device. The relatively complicated components to accomplish this effect may derive improved characteristics by including them in insert devices which are then included with standard or similar materials useful in the fabrication of state of the art ophthalmic lenses.</w:t>
        <w:br/>
        <w:br/>
        <w:t>"The ability for a user's ophthalmic lenses to communicate with each other may expand the possible functionalities of an energizable ophthalmic lens system. Wireless communication may allow one lens to recognize the relative position of the opposite lens, which may provide a more accurate determination of where the user may be looking. Wireless communication may also allow the two lenses to interact with each other, for example, to trigger specific, different actions when a user blinks or winks.</w:t>
        <w:br/>
        <w:br/>
        <w:t>"Communication between two contact lenses on a user may be difficult for several reasons. Each contact lens has limited area and volume for batteries and electronic components. For example, the volume available for batteries and electronic circuits in a contact lens may be less than 20 mm.sup.3, whereas the volume available for all components in a smartphone may be 50,000 mm.sup.3. Likewise, contact lens batteries may have 100 .mu.A-Hr of capacity whereas a smartphone may have a capacity of 1400 mA-Hr. Thus, each contact lens may be limited in transmitter output power and receiver sensitivity.</w:t>
        <w:br/>
        <w:br/>
        <w:t>"Lower distance may be typically associated with reduced transmitter and receiver power requirements. Although the contact lenses may only be about 70 mm apart when on a user's eyes, there may not be a direct line of sight between the lenses, so direct light-based communication may not be possible without relying on reflections from nearby objects.</w:t>
        <w:br/>
        <w:br/>
        <w:t>"Further, in the event a radio frequency (RF) system may be used, the antenna area available in a contact lens, along with the dielectric properties of the eye and body, may make communication inefficient. Complex processing of signals, decision inputs, and data may also be difficult in contact lenses. The aforementioned limits on area, volume, and battery capacity may constrain the size, speed, computational complexity, and current consumption of a processor. For example, while it may be preferred for application enablement to include a powerful microcontroller or central processing unit (CPU) in contact lenses, state-of-the-art technology may not allow such integration.</w:t>
        <w:br/>
        <w:br/>
        <w:t>"Some exemplary systems may detect convergence of gaze to trigger a focus change, and without an external electronic device, the two contact lenses must obtain and transmit gaze direction, determine convergence, and signal the need to change focus. This may require communication between the lenses to carry gaze direction and focus change information. Further, this system may require tight timing synchronization between the lenses. In a system tracking gaze direction instead of just convergence, the transmission and computation requirements may be even higher.</w:t>
        <w:br/>
        <w:br/>
        <w:t>"The addition of a larger, external electronic device may permit portions of the communication and/or processing burden to be placed in the external electronic device, thereby easing the requirements on the contact lenses. Similar techniques are used in cellular communications, where a user's handset has limited battery power and limited size, and thus limited transmitter and receiver power and antenna gain. In such an example, the much larger available size and current in the cellular base station permits higher gain, power, and computational complexity.</w:t>
        <w:br/>
        <w:br/>
        <w:t>"It may be anticipated that some of the solutions for increasing wireless communication between energizable ophthalmic lenses may provide novel aspects for non-energized devices and other biomedical devices. Accordingly, there may be a need in the art for improved wireless communication between lenses, and utilizing a secondary external device may offer a solution to many of the current issues with inter-lens communication."</w:t>
        <w:br/>
        <w:br/>
        <w:t>In addition to obtaining background information on this patent application, VerticalNews editors also obtained the inventors' summary information for this patent application: "The addition of an external electronic device, such as a smartphone, watch, or tablet, may ease the communication requirements for an ophthalmic lens system. As described below, such a device may have much higher battery power and communication capability. Thus, it may be easier for each contact lens to communicate with a common, external device than with each other. Because of the greater area, volume, and battery capacity available in an external electronic device, the electrical requirements of the contact lens may be eased.</w:t>
        <w:br/>
        <w:br/>
        <w:t>"For example, a high-sensitivity receiver may be employed in an electronic device thereby reducing the output power requirements in a contact lens transmitter. Such a high-sensitivity receiver in the electronic device may include a low-noise amplifier (LNA), intermediate gain stages, high-dynamic-range and high-resolution analog-to-digital converter, and complex digital signal processing. In some exemplary embodiments, rather than integrating complex signal processing and microcontroller functionality into contact lenses, these functions may be performed in the external electronic device.</w:t>
        <w:br/>
        <w:br/>
        <w:t>"Such applications may even be performed in existing components of the electronic device, for example, the applications processor or CPU of the electronic device. The external device may comprise more complex and sensitive transceiver circuitry, for example, transmitter and receiver gain and signal processing.</w:t>
        <w:br/>
        <w:br/>
        <w:t>"In some applications, the functionality of the contact lenses may depend on communication with each other with or without an external device, for example, where the contact lenses comprise a variable optic portion, which may allow for adjustable powers. Other exemplary embodiments may specifically involve an electronic device, for example, one where the contact lenses may be used to control the external device. In such examples, the external device may be used to ease the requirements on the contact lenses. Accordingly, there may be a need in the art for improved wireless communication between lenses, and utilizing a secondary external device may offer a solution to many of the current issues with inter-lens communication.</w:t>
        <w:br/>
        <w:br/>
        <w:t>"Accordingly, the present invention comprises an ophthalmic lens system capable of wireless communication through the utilization of an external device, wherein the ophthalmic lens system comprises a first ophthalmic lens on a first eye and a second ophthalmic lens on a second eye, wherein the lenses may be configured to wirelessly communicate with each other by transmitting and receiving data through an external device. More particularly, in some exemplary embodiments, the external device may comprise electronic components with more computational power and energization capabilities than the ophthalmic lenses. BRIEF DESCRIPTION OF THE DRAWINGS</w:t>
        <w:br/>
        <w:br/>
        <w:t>"The foregoing and other features and advantages of the invention will be apparent from the following, more particular description of preferred embodiments of the invention, as illustrated in the accompanying drawings.</w:t>
        <w:br/>
        <w:br/>
        <w:t>"FIG. 1A illustrates a cross sectional view of an exemplary embodiment of an energizable ophthalmic lens on an eye, wherein the energizable ophthalmic lens may be capable of wirelessly interfacing with an external device.</w:t>
        <w:br/>
        <w:br/>
        <w:t>"FIG. 1B illustrates a front view of an exemplary embodiment of an energizable ophthalmic lens capable of wirelessly interfacing with an external device.</w:t>
        <w:br/>
        <w:br/>
        <w:t>"FIG. 2A illustrates a cross sectional view of an alternate exemplary embodiment of an energizable ophthalmic lens on an eye, wherein the energizable ophthalmic lens may be capable of wirelessly interfacing with an external device.</w:t>
        <w:br/>
        <w:br/>
        <w:t>"FIG. 2B illustrates a front view of an alternate exemplary embodiment of an energizable ophthalmic lens capable of wirelessly interfacing with an external device.</w:t>
        <w:br/>
        <w:br/>
        <w:t>"FIGS. 3A-3D illustrate a top down view of various gaze directions and convergence distances of a pair of eyes each wearing energizable ophthalmic lenses with position recognizing mechanisms.</w:t>
        <w:br/>
        <w:br/>
        <w:t>"FIG. 4 illustrates an exemplary embodiment of an energizable ophthalmic lens with a position recognizing mechanism.</w:t>
        <w:br/>
        <w:br/>
        <w:t>"FIG. 5 illustrates an alternate exemplary embodiment of an energizable ophthalmic lens with a position recognizing mechanism</w:t>
        <w:br/>
        <w:br/>
        <w:t>"FIGS. 6A-6B illustrate exemplary process steps for wireless communication between two ophthalmic lenses utilizing an external device.</w:t>
        <w:br/>
        <w:br/>
        <w:t>"FIGS. 7A-7C illustrate alternative process steps for wireless communication between two ophthalmic lenses utilizing an external device.</w:t>
        <w:br/>
        <w:br/>
        <w:t>"FIG. 8A illustrates a system in which an external device is not present.</w:t>
        <w:br/>
        <w:br/>
        <w:t>"FIG. 8B illustrates a system in which an external device offloads, assists, or augments some processing and/or communication functions of the ophthalmic devices.</w:t>
        <w:br/>
        <w:br/>
        <w:t>"FIG. 9 illustrates exemplary timing of transmitters and receivers in an ophthalmic system including an external device."</w:t>
        <w:br/>
        <w:br/>
        <w:t>For more information, see this patent application: Toner, Adam; Pugh, Randall Braxton. Ophthalmic Lens System Capable of Communication between Lenses Utilizing a Secondary External Devicece. Filed September 4, 2013 and posted March 12, 2015. Patent URL: http://appft.uspto.gov/netacgi/nph-Parser?Sect1=PTO2&amp;Sect2=HITOFF&amp;u=%2Fnetahtml%2FPTO%2Fsearch-adv.html&amp;r=5405&amp;p=109&amp;f=G&amp;l=50&amp;d=PG01&amp;S1=20150305.PD.&amp;OS=PD/20150305&amp;RS=PD/20150305</w:t>
        <w:br/>
        <w:br/>
        <w:t>Keywords for this news article include: Microcontroller, Signal Processing, Wireless Technology, Electronic Components, Wireless Communication, Johnson &amp; Johnson Vision Care Inc..</w:t>
        <w:br/>
        <w:br/>
        <w:t>Our reports deliver fact-based news of research and discoveries from around the world. Copyright 2015, NewsRx LLC</w:t>
      </w:r>
    </w:p>
    <w:p>
      <w:pPr>
        <w:pStyle w:val="Heading1"/>
      </w:pPr>
      <w:r>
        <w:t>End of Article 8</w:t>
      </w:r>
    </w:p>
    <w:p>
      <w:r>
        <w:br w:type="page"/>
      </w:r>
    </w:p>
    <w:p>
      <w:pPr>
        <w:pStyle w:val="Heading1"/>
      </w:pPr>
      <w:r>
        <w:t>Start of Article 9</w:t>
      </w:r>
    </w:p>
    <w:p>
      <w:pPr>
        <w:pStyle w:val="Heading1"/>
      </w:pPr>
      <w:r>
        <w:t>Document ID UNNIND0020151222ebcm001bi</w:t>
      </w:r>
    </w:p>
    <w:p>
      <w:r>
        <w:t>It added the product is the therapeutic equivalent of Zyvox tablets, 600 mg of Pharmacia and Upjohn Company, a subsidiary of Pfizer.</w:t>
        <w:br/>
        <w:br/>
        <w:t>Zyvox tablets, 600 mg, achieved generated sales revenue of 447.6 million dollar in the year to October, the company said.</w:t>
        <w:br/>
        <w:br/>
        <w:t>Zyvox is an anti-bacterial drug used for treatment of infections such as pneumonia, complicated skin and skin structure infections, including diabetic foot infections.</w:t>
        <w:br/>
        <w:br/>
        <w:t>Now the company's portfolio consists of 104 products authorised for distribution in the US marketplace and 62 abbreviated new drug applications (ANDA) pending approval with USFDA.</w:t>
        <w:br/>
        <w:br/>
        <w:t>Published by HT Syndication with permission from United News of India.</w:t>
      </w:r>
    </w:p>
    <w:p>
      <w:pPr>
        <w:pStyle w:val="Heading1"/>
      </w:pPr>
      <w:r>
        <w:t>End of Article 9</w:t>
      </w:r>
    </w:p>
    <w:p>
      <w:r>
        <w:br w:type="page"/>
      </w:r>
    </w:p>
    <w:p>
      <w:pPr>
        <w:pStyle w:val="Heading1"/>
      </w:pPr>
      <w:r>
        <w:t>Start of Article 10</w:t>
      </w:r>
    </w:p>
    <w:p>
      <w:pPr>
        <w:pStyle w:val="Heading1"/>
      </w:pPr>
      <w:r>
        <w:t>Document ID NBPPBS0020150417eb4h000rz</w:t>
      </w:r>
    </w:p>
    <w:p>
      <w:r>
        <w:t>MANAGEMENT SCORECARD FOR IRONWOOD PHARMACEUTICALS, INC.:</w:t>
        <w:br/>
        <w:br/>
        <w:t>Key Financials:</w:t>
        <w:br/>
        <w:br/>
        <w:t>(all figures in pct)</w:t>
        <w:br/>
        <w:br/>
        <w:t xml:space="preserve"> Revenue Growth  Operating Margin ROE</w:t>
        <w:br/>
        <w:t>2014            234.1             -     -</w:t>
        <w:br/>
        <w:t>2013            -84.8             -     -</w:t>
        <w:br/>
        <w:t>2012            121.2             -48.2  -50.4</w:t>
        <w:br/>
        <w:t>2011            49.7              -95.2 -59</w:t>
        <w:br/>
        <w:br/>
        <w:br/>
        <w:t xml:space="preserve"> Share Price (USD)  Market Capitalisation ($)</w:t>
        <w:br/>
        <w:t>Last               15.6 2.2 billion</w:t>
        <w:br/>
        <w:t>1 Year ago         10.3 1.4 billion</w:t>
        <w:br/>
        <w:t>2 Years ago        16.9 1.3 billion</w:t>
        <w:br/>
        <w:t>3 Years ago        12.9 966.9 million</w:t>
        <w:br/>
        <w:t>4 Years ago        16.0 1.1 billion</w:t>
        <w:br/>
        <w:t>5 Years ago        14.7 881.4 million</w:t>
        <w:br/>
        <w:br/>
        <w:br/>
        <w:t>Biography</w:t>
        <w:br/>
        <w:br/>
        <w:t>Lawrence Olanoff, Director</w:t>
        <w:br/>
        <w:br/>
        <w:t>Dr. Olanoff most recently served as a director and as chief operating officer, and previously as executive vice president and chief scientific officer, of Forest Laboratories, Inc. (acquired by Actavis plc). He also previously served as president and chief executive officer of Celsion Corporation, senior vice president of clinical research and development at Sandoz Pharmaceutical Corporation (now a division of the Novartis Group), and in a number of positions at the Upjohn Company. Dr. Olanoff is currently an adjunct assistant professor and special advisor to the president for corporate relations at the Medical University of South Carolina (MUSC), a member of the MUSC foundation for research development board, and chairman of the board of the Clinical Biotechnology Research Institute at Roper St. Francis Hospital. He received his doctorate in biomedical engineering and medical doctor degree from Case Western Reserve University.</w:t>
        <w:br/>
        <w:br/>
        <w:t>Original Newsbody</w:t>
        <w:br/>
        <w:br/>
        <w:t>CAMBRIDGE, Mass.-- Ironwood Pharmaceuticals, Inc. (NASDAQ:IRWD) announced today the appointment of Lawrence Olanoff, M.D., Ph.D., to its board of directors as well as to its pharmaceutical advisory committee. Dr. Olanoff has more than 30 years of pharmaceutical industry experience and has been a leader in clinical development, discovery research, strategy and operations for several companies ranging from small biotechnology firms to large pharmaceutical corporations.</w:t>
        <w:br/>
        <w:br/>
        <w:t>Source: BuySellSignals.com</w:t>
      </w:r>
    </w:p>
    <w:p>
      <w:pPr>
        <w:pStyle w:val="Heading1"/>
      </w:pPr>
      <w:r>
        <w:t>End of Article 10</w:t>
      </w:r>
    </w:p>
    <w:p>
      <w:r>
        <w:br w:type="page"/>
      </w:r>
    </w:p>
    <w:p>
      <w:pPr>
        <w:pStyle w:val="Heading1"/>
      </w:pPr>
      <w:r>
        <w:t>Start of Article 11</w:t>
      </w:r>
    </w:p>
    <w:p>
      <w:pPr>
        <w:pStyle w:val="Heading1"/>
      </w:pPr>
      <w:r>
        <w:t>Document ID INDFED0020150421eb4k0023l</w:t>
      </w:r>
    </w:p>
    <w:p>
      <w:r>
        <w:t>Approximately 25 percent of patients' tumors had high levels of the protein PD-L1, and the study found that they were the people most likely to have the best outcomes. The research was the first validation of PD-L1 expression as a marker of how patients will respond to the drug.</w:t>
        <w:br/>
        <w:br/>
        <w:t>"These results have the potential to substantively change the way that lung cancer is treated," said Dr. Edward Garon, a member of UCLA's Jonsson Comprehensive Cancer Center and lead author of the study. "The effectiveness of pembrolizumab in treating patients with non-small cell lung cancer and the prolonged duration of their responses is quite exciting."</w:t>
        <w:br/>
        <w:br/>
        <w:t>The study was published online in the New England Journal of Medicine April 19, coinciding with a presentation of the findings by Garon at the American Association for Cancer Research annual meeting.</w:t>
        <w:br/>
        <w:br/>
        <w:t>Pembrolizumab is an antibody that targets a protein expressed by immune cells called PD-1. In the body, PD-1 acts as an immune checkpoint inhibitor, turning down the immune system's T cells that otherwise could attack cancer cells as invaders. Pembrolizumab takes the brakes off the immune system and allows T cells to identify and attack cancer cells.</w:t>
        <w:br/>
        <w:br/>
        <w:t>The FDA granted "breakthrough therapy" designation to pembrolizumab for non-small cell lung cancer in October 2014 under its Accelerated Approval program. Last September, the drug was approved by the FDA to treat people with late-stage melanoma.</w:t>
        <w:br/>
        <w:br/>
        <w:t>The nearly three-year clinical trial involved 495 participants, including nearly 100 at UCLA. The overall response rate - the percentage of people in whom tumors were substantially reduced in size - was 19 percent, and the average duration of response in those who responded exceeded one year, regardless of the level of PD-L1 expression.</w:t>
        <w:br/>
        <w:br/>
        <w:t>In addition, less than 10 percent of patients experienced severe (grade 3 or greater) drug-related adverse events, a rate much lower than what is typically seen with traditional chemotherapies.</w:t>
        <w:br/>
        <w:br/>
        <w:t>Approximately one-quarter of those screened in the trial had PD-L1 expression in at least half of their tumor cells. Among them, the overall response rate was nearly 50 percent. Although previous data suggested that clinical outcomes with this class of drugs could be associated with the level of PD-L1 expression, this study was the first to validate this finding in a scientifically rigorous way.</w:t>
        <w:br/>
        <w:br/>
        <w:t>The median duration of survival in the high PD-L1 expression group of patients could not be reported because most of the patients are still alive.</w:t>
        <w:br/>
        <w:br/>
        <w:t>"Although we continue working to refine our selection of patients for this type of therapy, the identification of a population of patients who are likely to have such a good outcome is potentially game-changing for this group," said Garon, who also co-authored a study on tumor mutations and immunotherapy that was published this month in the journal Science. That research aimed to further refine patient selection factors.</w:t>
        <w:br/>
        <w:br/>
        <w:t>Lung cancer is now the leading cause of death worldwide, and the American Lung Association estimates that more than 158,000 in the U.S. will die from the disease this year alone. Garon said he hopes that the findings will encourage the FDA to approve Keytruda for the treatment of non-small cell lung cancer in those people who are most likely to benefit.</w:t>
        <w:br/>
        <w:br/>
        <w:t>"Neither the drug nor the PD-L1 biomarker test is approved for use at this time, but if I had a patient whose tumor had PD-L1 expression in at least half of their cancer cells and pembrolizumab was available, I would find the drug to be a compelling treatment option for the patient," Garon said.</w:t>
        <w:br/>
        <w:br/>
        <w:t>ONE SURVIVOR'S STORY</w:t>
        <w:br/>
        <w:br/>
        <w:t>Stephen Burrin, now 71, was always health conscious and an avid runner. After he was first diagnosed with throat cancer, in 2002, he underwent surgery to remove the tumor and had extensive chemotherapy and radiation treatments. Fortunately, the treatment was a success, and Burrin was cured.</w:t>
        <w:br/>
        <w:br/>
        <w:t>But eight years later, Burrin suffered a series of devastating diagnoses. Doctors initially discovered a new cancerous tumor that was so large it nearly filled the two upper lobes of his lungs. The following year, two additional tumors were found in the right lower lobe of his lung and in his thigh. Finally, in 2012, a CT scan revealed more than 20 additional tumors in both lower lobes of the lungs.</w:t>
        <w:br/>
        <w:br/>
        <w:t>Instead of opting for more chemotherapy and surgery, Burrin decided to get a second opinion at UCLA, where he met with Dr. Jonathan Goldman, a member of the Jonsson Cancer Center and co-author of the New England Journal research. Goldman told Burrin about the recent success of pembrolizumab to treat melanoma, and explained that Garon's clinical trial was open to lung cancer patients.</w:t>
        <w:br/>
        <w:br/>
        <w:t>Burrin enrolled in the trial and, after he took pembrolizumab for several months, his tumor volume was substantially reduced.</w:t>
        <w:br/>
        <w:br/>
        <w:t>"It's a miracle I'm alive," Burrin said. "This immunotherapy has been unbelievably successful for me, and the side effects have been very minor."</w:t>
        <w:br/>
        <w:br/>
        <w:t>The drug has continued to prevent Burrin's cancer from worsening. He has been able to renew his passion for running, and in October he completed the Manhattan Beach 10K Run. He also has been able to realize two other meaningful milestones: holding his newborn grandson and celebrating his 40th wedding anniversary in Hawaii.</w:t>
      </w:r>
    </w:p>
    <w:p>
      <w:pPr>
        <w:pStyle w:val="Heading1"/>
      </w:pPr>
      <w:r>
        <w:t>End of Article 11</w:t>
      </w:r>
    </w:p>
    <w:p>
      <w:r>
        <w:br w:type="page"/>
      </w:r>
    </w:p>
    <w:p>
      <w:pPr>
        <w:pStyle w:val="Heading1"/>
      </w:pPr>
      <w:r>
        <w:t>Start of Article 12</w:t>
      </w:r>
    </w:p>
    <w:p>
      <w:pPr>
        <w:pStyle w:val="Heading1"/>
      </w:pPr>
      <w:r>
        <w:t>Document ID LKCTYJ0020150922eb9l00002</w:t>
      </w:r>
    </w:p>
    <w:p>
      <w:r>
        <w:t>"Today is really all about the patients. They are the winners today as the medical cannabis program is on the verge of its next chapter. We are excited to serve the patients of Lake County, Cook County and beyond," Kovler said.</w:t>
        <w:br/>
        <w:br/>
        <w:t>The $1 million dispensary, located in an industrial area at 1325 Armour Boulevard, off Townline Road, will begin selling medical marijuana as soon as product becomes available from growers in late October or early November.</w:t>
        <w:br/>
        <w:br/>
        <w:t>The Clinic Mundelein will predominately be supplied with product by GTO-owned cultivation centers in Rock Island and Oglesby. The dispensary will offer different strains of medical marijuana dependant on what growers have available and as a result of talking with patients about their preferences.</w:t>
        <w:br/>
        <w:br/>
        <w:t>"We can make our best guess as to what products to stock right now, but right away we're going to be adapting that," GTI Co-Founder Dina Rollman said.</w:t>
        <w:br/>
        <w:br/>
        <w:t>From the application and permitting process to building the clinic, support from the village of Mundelein has been tremendous, she said.</w:t>
        <w:br/>
        <w:br/>
        <w:t>"It's part of the reason we picked this location," Rollman added. "You don't want to go into a community where you're not wanted. They've done everything they can to make this a good process for us."</w:t>
        <w:br/>
        <w:br/>
        <w:t>"GTI is a valued member of the Mundelein community, and over the past several months we have worked hand-in-hand with the team to ensure the operation's success," Mundelein Mayor Steve Lentz said in a press release.</w:t>
        <w:br/>
        <w:br/>
        <w:t>Kovler vowed The Clinic Mundelein will be a positive business partner with the village and provide a valuable service to patients approved by the state to purchase medical marijuana.</w:t>
        <w:br/>
        <w:br/>
        <w:t>The state's Compassionate Use of Medical Cannabis Act went into effect on Jan. 1, 2014. Under the Illinois law, a doctor can give a potential medical marijuana patient a recommendation, not a prescription. The state's qualifying list of conditions includes AIDS/HIV, cancer, Crohn's Disease, severe fibromyalgia, MS, glaucoma, Parkinson's Disease, rheumatoid arthritis, spinal chord disease and more.</w:t>
        <w:br/>
        <w:br/>
        <w:t>With a doctor's recommendation, a patient can begin the state's application process to obtain a medical marijuana card. With that card, the patient or caregiver can purchase up to 2.5 ounces of medical marijuana every two weeks through a state-licensed dispensary like The Clinic Mundelein.</w:t>
        <w:br/>
        <w:br/>
        <w:t>"This is a safe, professional place to buy medicine and seek advice," Kovler said. "We're also here to show all the people in Illinois who are unaware of this program that this is real. Medical marijuana is legal and is about to be available in Illinois. The patients have waited a long time and the wait is almost over."</w:t>
        <w:br/>
        <w:br/>
        <w:t>"If you're a registered patient, come by, see the store, talk to our patient care specialists and learn more about the program," said Kovler, noting The Clinic Mundelein can serve any patient in Illinois.</w:t>
        <w:br/>
        <w:br/>
        <w:t>Upon entering the dispensary, patients will check-in at the front lobby with their ID and state-licensed medical marijuana card, which will be verified electronically. A security guard will be on-site at all times. The building features numerous security measures from cameras and alarms to motion detectors and keycards for employee access only.</w:t>
        <w:br/>
        <w:br/>
        <w:t>Patients will be seated in a waiting area before being escorted to speak with a patient care specialist about what strain of cannabis to try and how to use it.</w:t>
        <w:br/>
        <w:br/>
        <w:t>"This is happening," Kovler said. "This program is alive and well. We can't wait to tell positive patient stories."</w:t>
        <w:br/>
        <w:br/>
        <w:t>Given the state has only approved about 3,000 patients for medical marijuana, Rollman acknowledged it's going to be slow-going at The Clinic Mundelein in terms of customer traffic, at least for the first year or so.</w:t>
        <w:br/>
        <w:br/>
        <w:t>"This is a brand-new industry for Illinois. Everything takes time. It would be great to open our doors to 10,000 patients, but we're confident that once people see this is a reality, in a year from now we'll be in a much better position," Rollman said.</w:t>
        <w:br/>
        <w:br/>
        <w:t>"It's going to be a slow ramp-up. The entire industry is concerned about the low patient count," said Joseph Friedman, founder and CEO of PDI Medical, another Lake County dispensary that is preparing to open in Buffalo Grove pending the approval of remaining building permits.</w:t>
        <w:br/>
        <w:br/>
        <w:t>"All the wheels are in motion," Friedman said, noting PDI could open in late October or early November.</w:t>
        <w:br/>
        <w:br/>
        <w:t>A third dispensary, Elevele (formerly called North Shore Alternative Therapy) is looking to open in Highland Park. There is no word on an opening date, as the approval process is ongoing.</w:t>
        <w:br/>
        <w:br/>
        <w:t>Visit www.theclinicmundelein.com for more information.</w:t>
      </w:r>
    </w:p>
    <w:p>
      <w:pPr>
        <w:pStyle w:val="Heading1"/>
      </w:pPr>
      <w:r>
        <w:t>End of Article 12</w:t>
      </w:r>
    </w:p>
    <w:p>
      <w:r>
        <w:br w:type="page"/>
      </w:r>
    </w:p>
    <w:p>
      <w:pPr>
        <w:pStyle w:val="Heading1"/>
      </w:pPr>
      <w:r>
        <w:t>Start of Article 13</w:t>
      </w:r>
    </w:p>
    <w:p>
      <w:pPr>
        <w:pStyle w:val="Heading1"/>
      </w:pPr>
      <w:r>
        <w:t>Document ID MSP0000020150924eb9k00015</w:t>
      </w:r>
    </w:p>
    <w:p>
      <w:r>
        <w:t xml:space="preserve"> “They have probably done a better job than any other food company in reading trends,” said Brian Yarbrough, a stock analyst at Edward Jones. “What is hot right now in food is organic and protein.” Protein’s power This year has been marked by a disaster of sorts in Hormel’s Jennie-O turkey business. The avian flu that swept across Minnesota in the spring killed 9 million turkeys and chickens, wiping out a big chunk of Jennie-O’s bird supply. But the company is restocking its barns and doesn’t expect the bird flu to cause its fiscal-year profits to fall below forecasts. Despite the turkey woes, Hormel’s shares have held up well, outperforming food industry peers this year and over the last five years for that matter. And Hormel, which generates more than $9 billion in annual revenue, hasn’t experienced the sales malaise of many other U.S. packaged foods companies, including Golden Valley-based General Mills. The industry’s problem lies in the supermarket’s “center store,” home to more processed foods that are losing favor with some consumers. “Hormel is not as dependent on the center of the store as the likes of General Mills, Kellogg and Kraft,” said Erin Lash, a stock analyst at Morningstar. Notwithstanding its canned product lineup, Hormel has a stronger presence on the faster growing perimeter of the store, where meat, produce and dairy products reign. Applegate’s appeal New Jersey-based Applegate will not only add to that placement, but will allow Hormel to better tap the fast-growing organic and natural market. Applegate, whose products include hot dogs, deli meat and fresh pork, is the largest U.S. organic and natural meat purveyor with about $340 million in annual revenue. Hormel’s biggest challenge is preserving Applegate’s brand — in other words, not mucking up a good thing with corporate dictates. The minute Hormel announced the Applegate deal, it was suspect in the minds of some Applegate consumers, who see the Austin company as part of Big Meat, antithetical to Applegate’s mission. Even now, two months after the deal closed, Applegate’s Facebook page sports a few posts from customers slamming Hormel. Last month, Hormel appointed two of its longtime executives, Steve Lykken and Eldon Quam, respectively as Applegate’s chief operating officer and chief financial officer. Lykken is expected to become Applegate’s CEO next spring. But Applegate will largely operate as it has, said Hormel CEO Jeffrey Ettinger. “We expect the team in New Jersey to run the business,” he said. “They are the ones who have developed this great bond with their customers.” The Applegate deal also gives Hormel more exposure to younger consumers, as does its $450 million acquisition last year of northern California-based CytoSport, producer of Muscle Milk and other nutritional supplements made from whey protein. Applegate and Muscle Milk — along with the Wholly Guacamole brand of Mexican foods Hormel obtained in 2011 — mark a significant demographic shift for Hormel, Ettinger said. “It’s a much younger profile than our core portfolio,” he said. Boosting brands Muscle Milk may seem out of Hormel’s meaty comfort zone. But Hormel’s Century Foods subsidiary in the southwestern Wisconsin town of Sparta was CytoSport’s largest supplier for over 15 years. Muscle Milk is now produced in Sparta. CytoSport had suffered from a lack of innovation, which Hormel has countered with new products, including an organic version of Muscle Milk. Hormel has also relaunched CytoSport’s “Monster” brand of protein supplements. Hormel also faced a dearth of innovation with Skippy — which it bought from Unilever in 2013 for $700 million. Plus, it was a neglected brand. Hormel last year began national advertising for Skippy for the first time since 2009. The company also beefed up Skippy’s distribution to retailers. “There were some markets where the distribution was very spotty,” Ettinger said. While Skippy is still a distant second to Jif peanut butter, data from Chicago-based food market researcher IRI show it has gained about one percentage point of market share since the end of 2013. Ettinger said the Skippy acquisition has exceeded Hormel’s expectations. Hormel is capitalizing on the hot market for snacks by launching this month Skippy P.B. Bites, essentially peanut butter balls. The idea was to create a portable peanut butter product. “People love the flavor of peanut butter,” said James Splinter, Hormel’s group vice president for grocery products. But on-the-go consumption is tough. “It’s putting a spoon in a jar of peanut butter and carrying it around and eating it.” Hormel expects Skippy P.B. Bites to be available in half of the country by the end of October, and a full rollout is expected in 2016. A national ad campaign is slated to begin in February. Spam Snacks are in a similar vein to Skippy snacks, though packaged in single servings. Made with what Hormel calls a “proprietary dried meat technology,” Spam snacks come in “classic,” bacon and teriyaki varieties. They’re rolling out now in Spam’s strongest U.S. markets: the West Coast, Hawaii and the Southeast. If bite-size dried Spam seems a stretch, consider this: The U.S. meat snack market is booming — think of beef jerky’s rise to fame. And Hormel has a long track record of transforming basic stuff — turkey, pepperoni, and even crackers and cheese — into successful new items. “Hormel is the best at developing value-added, convenience-based protein products,” said Rob Moskow, a stock analyst at Credit Suisse. Spam Snacks and Skippy P.B. Bites “are very much on trend with what consumers are looking for. There’s a high probability that they will work.” Mike Hughlett • 612-673-7003 HORMEL’S BIG THREE ACQUISITIONS APPLEGATE FARMS When: May 2015 Cost: $775 million Products: Natural and organic meat CYTOSPORT HOLDINGS When: July 2014 Cost: $450 million Products: Muscle Milk and other supplements SKIPPY BRAND (OWNED BY UNILEVER) When: January 2013 Cost: $700 million Products: Peanut butter </w:t>
      </w:r>
    </w:p>
    <w:p>
      <w:pPr>
        <w:pStyle w:val="Heading1"/>
      </w:pPr>
      <w:r>
        <w:t>End of Article 13</w:t>
      </w:r>
    </w:p>
    <w:p>
      <w:r>
        <w:br w:type="page"/>
      </w:r>
    </w:p>
    <w:p>
      <w:pPr>
        <w:pStyle w:val="Heading1"/>
      </w:pPr>
      <w:r>
        <w:t>Start of Article 14</w:t>
      </w:r>
    </w:p>
    <w:p>
      <w:pPr>
        <w:pStyle w:val="Heading1"/>
      </w:pPr>
      <w:r>
        <w:t>Document ID OBWK000020151113ebbd000bo</w:t>
      </w:r>
    </w:p>
    <w:p>
      <w:r>
        <w:t>Our news editors obtained a quote from the research from Monash University, "The addition of the hydration-modulating agent, sucrose stearate, to phytantriol cubic phase under excess water conditions incrementally increased the size of these water channels. Inclusion of oleic acid enabled further control of swelling and de-swelling of the matrix via a pH triggerable system where at low pH the hexagonal phase is present and at higher pH the cubic phase is present."</w:t>
        <w:br/>
        <w:br/>
        <w:t>According to the news editors, the research concluded: "Fine control over the release of various sized model macromolecules is demonstrated, indicating future application to controlled loading and release of large macromolecules such as antibodies."</w:t>
        <w:br/>
        <w:br/>
        <w:t>For more information on this research see: Tailoring liquid crystalline lipid nanomaterials for controlled release of macromolecules. International Journal of Pharmaceutics, 2015;495(1):241-248. International Journal of Pharmaceutics can be contacted at: Elsevier Science Bv, PO Box 211, 1000 Ae Amsterdam, Netherlands. (Elsevier - www.elsevier.com; International Journal of Pharmaceutics - www.journals.elsevier.com/international-journal-of-pharmaceutics/)</w:t>
        <w:br/>
        <w:br/>
        <w:t>The news editors report that additional information may be obtained by contacting N.B. Bisset, Monash University, ARC Center Excellence Convergent Bionano Sci &amp; Techn, Parkville, Vic, Australia. Additional authors for this research include B.J. Boyd and Y.D. Dong.</w:t>
        <w:br/>
        <w:br/>
        <w:t>Keywords for this news article include: Parkville, Controlled Release, Australia and New Zealand</w:t>
        <w:br/>
        <w:br/>
        <w:t>Our reports deliver fact-based news of research and discoveries from around the world. Copyright 2015, NewsRx LLC</w:t>
      </w:r>
    </w:p>
    <w:p>
      <w:pPr>
        <w:pStyle w:val="Heading1"/>
      </w:pPr>
      <w:r>
        <w:t>End of Article 14</w:t>
      </w:r>
    </w:p>
    <w:p>
      <w:r>
        <w:br w:type="page"/>
      </w:r>
    </w:p>
    <w:p>
      <w:pPr>
        <w:pStyle w:val="Heading1"/>
      </w:pPr>
      <w:r>
        <w:t>Start of Article 15</w:t>
      </w:r>
    </w:p>
    <w:p>
      <w:pPr>
        <w:pStyle w:val="Heading1"/>
      </w:pPr>
      <w:r>
        <w:t>Document ID BIOELSE020150518eb5b00015</w:t>
      </w:r>
    </w:p>
    <w:p>
      <w:r>
        <w:t>Website: http://www.biospace.com</w:t>
      </w:r>
    </w:p>
    <w:p>
      <w:pPr>
        <w:pStyle w:val="Heading1"/>
      </w:pPr>
      <w:r>
        <w:t>End of Article 15</w:t>
      </w:r>
    </w:p>
    <w:p>
      <w:r>
        <w:br w:type="page"/>
      </w:r>
    </w:p>
    <w:p>
      <w:pPr>
        <w:pStyle w:val="Heading1"/>
      </w:pPr>
      <w:r>
        <w:t>Start of Article 16</w:t>
      </w:r>
    </w:p>
    <w:p>
      <w:pPr>
        <w:pStyle w:val="Heading1"/>
      </w:pPr>
      <w:r>
        <w:t>Document ID HAMW000020150723eb7n000ai</w:t>
      </w:r>
    </w:p>
    <w:p>
      <w:r>
        <w:t>Upon completion of the acquisition of I.V.S., which is subject to the satisfaction of certain closing conditions, OphthaliX's portfolio of products in development will include two medical devices, Glance(TM), a desktop application, and vView(TM), wearable virtual reality goggles. These devices are based on breakthrough technologies that aim to diagnose, improve sight and offer therapy for a variety of ocular diseases and eye conditions including age related macular degeneration (AMD), glaucoma, diabetic retinopathy and oculo-motor pathologies.</w:t>
        <w:br/>
        <w:br/>
        <w:t>OphthaliX continues to develop its drug candidate, CF101, a novel first in class small molecule orally bioavailable drug for ophthalmic indications, glaucoma and uveitis.</w:t>
        <w:br/>
        <w:br/>
        <w:t>Keywords for this news article include: OpthaliX.</w:t>
        <w:br/>
        <w:br/>
        <w:t>Our reports deliver fact-based news of research and discoveries from around the world. Copyright 2015, NewsRx LLC</w:t>
      </w:r>
    </w:p>
    <w:p>
      <w:pPr>
        <w:pStyle w:val="Heading1"/>
      </w:pPr>
      <w:r>
        <w:t>End of Article 16</w:t>
      </w:r>
    </w:p>
    <w:p>
      <w:r>
        <w:br w:type="page"/>
      </w:r>
    </w:p>
    <w:p>
      <w:pPr>
        <w:pStyle w:val="Heading1"/>
      </w:pPr>
      <w:r>
        <w:t>Start of Article 17</w:t>
      </w:r>
    </w:p>
    <w:p>
      <w:pPr>
        <w:pStyle w:val="Heading1"/>
      </w:pPr>
      <w:r>
        <w:t>Document ID ATPHAM0020150518eb5d0003g</w:t>
      </w:r>
    </w:p>
    <w:p>
      <w:r>
        <w:t>(Abstract #8514) Phase 1/2 study of NEOD001 in patients with AL amyloidosis and persistent organ dysfunction</w:t>
        <w:br/>
        <w:br/>
        <w:t>* Presenter: Morie A. Gertz, MD, Mayo Clinic</w:t>
        <w:br/>
        <w:br/>
        <w:t>* Session: Myeloma</w:t>
        <w:br/>
        <w:br/>
        <w:t>* Date and Time: Tuesday, June 2, 10:45 a.m. - 1:45 p.m. EDT (NEOD001 presentation: 12:45 - 12:57 p.m. EDT)</w:t>
        <w:br/>
        <w:br/>
        <w:t>* Location: E354b</w:t>
        <w:br/>
        <w:br/>
        <w:t>Data contained in the published abstract was current as of September 30, 2014. Updated clinical data from the ongoing Phase 1/2 trial of NEOD001 will be presented at ASCO.</w:t>
        <w:br/>
        <w:br/>
        <w:t>(Abstract #TPS8614) The VITAL study: A randomized, double-blind, placebo-controlled, global phase III study of NEOD001 in patients with AL amyloidosis and cardiac dysfunction</w:t>
        <w:br/>
        <w:br/>
        <w:t>* Presenter: Michaela Liedtke, MD, Stanford Comprehensive Cancer Center</w:t>
        <w:br/>
        <w:br/>
        <w:t>* Session: Lymphoma and Plasma Cell Disorders</w:t>
        <w:br/>
        <w:br/>
        <w:t>* Date and Time: Sunday, May 31, 9:00 a.m. - 12:30 p.m. EDT</w:t>
        <w:br/>
        <w:br/>
        <w:t>* Location: S Hall A</w:t>
        <w:br/>
        <w:br/>
        <w:t>Conference Call and Webcast Details</w:t>
        <w:br/>
        <w:br/>
        <w:t>Dr. Gertz will join Prothena management to discuss the updated clinical data from its ongoing Phase 1/2 trial of NEOD001 in patients with AL amyloidosis and persistent organ dysfunction during a live audio webcast and conference call on Tuesday, June 2, 2015 at 3:00 p.m. EDT. The webcast and slide presentation will be made available on the company's website at www.prothena.com under the Investors tab in the Events and Presentations section. Following the live audio webcast, a replay of the webcast will be available on the Company's website for 90 days.</w:t>
        <w:br/>
        <w:br/>
        <w:t>To access the conference call via dial-in, please dial (877) 887-5215 (U.S. toll free) or (315) 625-3069 (international) five minutes prior to the start time and refer to conference ID number 44777703. A replay of the call will be available until June 9, 2015 via dial-in at (855) 859-2056 (U.S. toll free) or (404) 537-3406 (international), Conference ID Number 44777703.</w:t>
        <w:br/>
        <w:br/>
        <w:t>Source: Prothena</w:t>
      </w:r>
    </w:p>
    <w:p>
      <w:pPr>
        <w:pStyle w:val="Heading1"/>
      </w:pPr>
      <w:r>
        <w:t>End of Article 17</w:t>
      </w:r>
    </w:p>
    <w:p>
      <w:r>
        <w:br w:type="page"/>
      </w:r>
    </w:p>
    <w:p>
      <w:pPr>
        <w:pStyle w:val="Heading1"/>
      </w:pPr>
      <w:r>
        <w:t>Start of Article 18</w:t>
      </w:r>
    </w:p>
    <w:p>
      <w:pPr>
        <w:pStyle w:val="Heading1"/>
      </w:pPr>
      <w:r>
        <w:t>Document ID MPRMPR0020150929eb9s0000b</w:t>
      </w:r>
    </w:p>
    <w:p>
      <w:r>
        <w:t>The autoinjector will be available for patients taking Betaseron (interferon beta-1b). After preparing Betaserson lyophilized powder, patients may administer the drug using Betaconnect with the specific syringes provided in the packaging. The autoinjector allows customizable injection speed and depth settings for quiet and precise injections. It also offers an optional back-up reminder function to alert patients when it is time for their next injection. The automatic needle insertion and retraction with a visual and audio end-of-dose indication informs patients when the injection is complete.</w:t>
        <w:br/>
        <w:br/>
        <w:t>RELATED: Ocrelizumab: Promising Results for Primary Progressive MS</w:t>
        <w:br/>
        <w:br/>
        <w:t>The immunomodulatory effects of interferon beta-1b include the enhancement of suppressor T cell activity, reduction of proinflammatory cytokine production, down-regulation of antigen presentation, and inhibition of lymphocyte trafficking into the central nervous system.</w:t>
        <w:br/>
        <w:br/>
        <w:t>Betaseron is currently supplied as single-use vials in 5- or 14-count cartons. Betaconnect autoinjector is anticipated to be available starting in early 2016.</w:t>
        <w:br/>
        <w:br/>
        <w:t>For more information call (888) 842-2937 or visit Bayer.com.</w:t>
      </w:r>
    </w:p>
    <w:p>
      <w:pPr>
        <w:pStyle w:val="Heading1"/>
      </w:pPr>
      <w:r>
        <w:t>End of Article 18</w:t>
      </w:r>
    </w:p>
    <w:p>
      <w:r>
        <w:br w:type="page"/>
      </w:r>
    </w:p>
    <w:p>
      <w:pPr>
        <w:pStyle w:val="Heading1"/>
      </w:pPr>
      <w:r>
        <w:t>Start of Article 19</w:t>
      </w:r>
    </w:p>
    <w:p>
      <w:pPr>
        <w:pStyle w:val="Heading1"/>
      </w:pPr>
      <w:r>
        <w:t>Document ID JOENG00020150320eb3p000bh</w:t>
      </w:r>
    </w:p>
    <w:p>
      <w:r>
        <w:t>By integrating near-infrared spectroscopy (NIRS) with intravascular ultrasound (IVUS), the Advanced TVC Imaging System enables quick, informed clinical decision making and greater physician confidence in determining procedural and treatment strategies requiring information on vessel structure and plaque composition. This new, high-powered platform is designed to evolve with coronary care and incorporates advanced computing technology, the latest high-definition monitors, an intuitive, user-friendly interface and near-infrared laser optics for in vivo chemical analysis. This new system also includes Infraredx's proprietary Extended Bandwidth IVUS technology, which represents the next generation in IVUS imaging. Extended Bandwidth ultrasound technology harmonizes multiple signal frequencies to produce a sharp image of the complete vessel that allows for easy identification of the lumen, plaque and vessel structure.</w:t>
        <w:br/>
        <w:br/>
        <w:t>Keywords for this news article include: Technology, Infraredx Inc..</w:t>
        <w:br/>
        <w:br/>
        <w:t>Our reports deliver fact-based news of research and discoveries from around the world. Copyright 2015, NewsRx LLC</w:t>
      </w:r>
    </w:p>
    <w:p>
      <w:pPr>
        <w:pStyle w:val="Heading1"/>
      </w:pPr>
      <w:r>
        <w:t>End of Article 19</w:t>
      </w:r>
    </w:p>
    <w:p>
      <w:r>
        <w:br w:type="page"/>
      </w:r>
    </w:p>
    <w:p>
      <w:pPr>
        <w:pStyle w:val="Heading1"/>
      </w:pPr>
      <w:r>
        <w:t>Start of Article 20</w:t>
      </w:r>
    </w:p>
    <w:p>
      <w:pPr>
        <w:pStyle w:val="Heading1"/>
      </w:pPr>
      <w:r>
        <w:t>Document ID BWR0000020150112eb1c0005a</w:t>
      </w:r>
    </w:p>
    <w:p>
      <w:r>
        <w:t>"We are pleased to be one step closer to bringing cell therapy into the mainstream of medicine," said Marc H. Hedrick, M.D. President and CEO of Cytori Therapeutics. "The pilot trial data showed evidence that our lead therapeutic could substantially improve hand function and overall quality of life in this group of patients that today have limited effective therapeutic options."</w:t>
        <w:br/>
        <w:br/>
        <w:t>The STAR trial will begin enrolling in 2015 and will include 80 patients, in up to 12 centers in the United States. The trial is a randomized, double-blind, placebo-controlled study of the safety and efficacy of a single administration of Cytori's lead cellular therapeutic, ECCS-50, in scleroderma patients with hand dysfunction. The impairment in hand function is typically progressive and can result in chronic pain, blood flow changes and often profound disability. The available treatments often have minimal impact and those for advanced disease are often accompanied by significant adverse effects.</w:t>
        <w:br/>
        <w:br/>
        <w:t>"We are extremely excited about the approval of the STAR trial. Dr. Dinesh Khanna, one of the principal investigators, is a widely respected international scleroderma expert, and his participation is a strong endorsement of this trial. The International Scleroderma Network welcomes this novel therapeutic approach, which aims to improve scleroderma hand function. If this advanced cell therapy by Cytori Therapeutics proves effective, this will represent a unique and deeply needed option for patients," said Shelley Ensz, Founder and President, International Scleroderma Network.</w:t>
        <w:br/>
        <w:br/>
        <w:t>Dr. Hedrick will provide an update on current corporate activities and developments, including this recently announced STAR trial, at Biotech Showcase on Monday, January 12 at 3:30 PM Pacific Time, in room C-Mission 11 at the Parc 55 Wyndham Hotel, San Francisco.</w:t>
        <w:br/>
        <w:br/>
        <w:t>A live audio webcast of the presentation will be available under the investor relations section of Cytori's website at www.cytori.com. A replay of the presentation will be available for 90 days following the event. Please connect to Cytori's website several minutes prior to the start of the webcast to ensure adequate time for any software download that may be necessary.</w:t>
        <w:br/>
        <w:br/>
        <w:t>Additionally, Cytori will be hosting an information session dedicated to its planned STAR trial and scleroderma and featuring Dr. Khanna. The session will be held on Wednesday, January 14, 2015 from 1:30 PM to 4:30 PM, at the Prescott Hotel, 545 Post Street, San Francisco. Please contact Shawn Richardson at ir@Cytori.com for more information.</w:t>
        <w:br/>
        <w:br/>
        <w:t>A live audio webcast of Dr. Khanna's scleroderma and STAR trial related remarks will also be available under the investor relations section of Cytori's website at www.cytori.com. A replay of the presentation will be available for 90 days following the event.</w:t>
        <w:br/>
        <w:br/>
        <w:t>About Dr. Dinesh Khanna</w:t>
        <w:br/>
        <w:br/>
        <w:t>Dinesh Khanna, M.D., M.S., Marvin &amp; Betty Danto Research Professor of Connective Tissue Research and Associate Professor of Internal Medicine in the Division of Rheumatology, is the director of the University of Michigan Scleroderma Program. He has also served as Clinical Director of UCLA's Scleroderma Clinic.</w:t>
        <w:br/>
        <w:br/>
        <w:t>Dr. Khanna is the author of over 160 peer-reviewed publications and book chapters. He has won numerous awards, including the 2007 Spirit of Leadership Award and the 2011 "Best Doctor of the Year" award from the Scleroderma Foundation. He is board certified in rheumatology. Dr. Khanna is currently funded by the National Institutes of Health and is particularly interested in the design of clinical trials and assessing patient reported outcomes in patients with scleroderma and leading novel international clinical trials in scleroderma.</w:t>
        <w:br/>
        <w:br/>
        <w:t>Dr. Khanna is a fellow of the American College of Rheumatology. He was elected by his peers to the 2011-2012 Best Doctors in America, which recognizes the area's top clinicians.</w:t>
        <w:br/>
        <w:br/>
        <w:t>About Biotech Showcase</w:t>
        <w:br/>
        <w:br/>
        <w:t>The Biotech Showcase 2015 Conference (www.ebdgroup.com/bts) is one of the most significant healthcare investor conferences of the year. It is designed to provide private and public biotechnology and life sciences companies the opportunity to present to, and meet with, public and private investors, and pharmaceutical executives. This is the 7th year for the Biotech Showcase. More than 1700 investors and biopharmaceutical executives from around the world are expected to attend.</w:t>
        <w:br/>
        <w:br/>
        <w:t>About Cytori Therapeutics, Inc.</w:t>
        <w:br/>
        <w:br/>
        <w:t>Cytori Therapeutics is a late stage cell therapy company developing autologous cell therapies from adipose tissue to treat a variety of medical conditions. Data from preclinical studies and clinical trials suggest that Cytori Cell Therapy(TM) acts principally by improving blood flow, modulating the immune system, and facilitating wound repair. As a result, Cytori Cell Therapy(TM) may provide benefits across multiple disease states and can be made available to the physician and patient at the point-of-care through Cytori's proprietary solutions. For more information: visit www.cytori.com.</w:t>
      </w:r>
    </w:p>
    <w:p>
      <w:pPr>
        <w:pStyle w:val="Heading1"/>
      </w:pPr>
      <w:r>
        <w:t>End of Article 20</w:t>
      </w:r>
    </w:p>
    <w:p>
      <w:r>
        <w:br w:type="page"/>
      </w:r>
    </w:p>
    <w:p>
      <w:pPr>
        <w:pStyle w:val="Heading1"/>
      </w:pPr>
      <w:r>
        <w:t>Start of Article 21</w:t>
      </w:r>
    </w:p>
    <w:p>
      <w:pPr>
        <w:pStyle w:val="Heading1"/>
      </w:pPr>
      <w:r>
        <w:t>Document ID DJDN000020151119ebbj003f3</w:t>
      </w:r>
    </w:p>
    <w:p>
      <w:r>
        <w:t>Approval would undoubtedly be a significant event for BioMarin--analysts expect the company's revenue to nearly triple over the next four years. Drisapersen is forecast to play an important role in that growth. Yet the clinical data for drisapersen can fairly be described as murky: a Phase 3 clinical trial conducted in 2013 didn't meet its primary clinical endpoint. For investors, the question is how the FDA balances the obvious unmet medical need against the data's strength. Meanwhile, the advisory committee and subsequent vote is likely to hold implications for PTC (PTCT) and Sarepta (SRPT), which have rival drugs in development. Considering the huge role sentiment plays in biotech valuations, it's also possible that the meeting's outcome will ripple out to stocks of seemingly unrelated companies. (Charles.Grant@wsj.com; @CGrantWSJ)</w:t>
        <w:br/>
        <w:br/>
        <w:t>(END) Dow Jones Newswires</w:t>
        <w:br/>
        <w:br/>
        <w:t>November 19, 2015 13:00 ET (18:00 GMT)</w:t>
      </w:r>
    </w:p>
    <w:p>
      <w:pPr>
        <w:pStyle w:val="Heading1"/>
      </w:pPr>
      <w:r>
        <w:t>End of Article 21</w:t>
      </w:r>
    </w:p>
    <w:p>
      <w:r>
        <w:br w:type="page"/>
      </w:r>
    </w:p>
    <w:p>
      <w:pPr>
        <w:pStyle w:val="Heading1"/>
      </w:pPr>
      <w:r>
        <w:t>Start of Article 22</w:t>
      </w:r>
    </w:p>
    <w:p>
      <w:pPr>
        <w:pStyle w:val="Heading1"/>
      </w:pPr>
      <w:r>
        <w:t>Document ID JOENG00020150313eb3i000k8</w:t>
      </w:r>
    </w:p>
    <w:p>
      <w:r>
        <w:t>"We are scheduled to deliver our first patient treatment this week," said Dr. Lee Kuo Ann, MBBS, FRCR, FAMS, consultant radiation oncologist at Mount Elizabeth Novena. "The TrueBeam system will enable us to deliver large doses to tumors with great precision. We'll be able to treat many inoperable brain tumors, tumors that are close to the spinal cord, and tumors of the lung, liver, or pancreas, which are subject to respiratory motion during treatment. The system includes gating technology that can enhance precision by compensating for that kind of tumor motion."</w:t>
        <w:br/>
        <w:br/>
        <w:t>About the TrueBeam STx System The TrueBeam STx system was designed to treat tumors with tremendous accuracy and speed. The system incorporates numerous technical innovations that dynamically synchronize advanced imaging, patient positioning, motion management, and treatment delivery during a radiotherapy or radiosurgery procedure in order to target tumors precisely. TrueBeam STx has been designed to advance the treatment of lung, breast, intracranial, prostate, head and neck, and other types of cancer.</w:t>
        <w:br/>
        <w:br/>
        <w:t>With its High Intensity Mode, TrueBeam STx can accurately deliver high doses more than twice as fast as earlier generations of technology. It incorporates a unique high-resolution beam shaping device that shapes the treatment beam so that it matches the three-dimensional shape of the targeted tumor, minimizing the impact on surrounding healthy tissues.</w:t>
        <w:br/>
        <w:br/>
        <w:t>"With gating, the High Intensity Mode, and imaging technologies, we will be able to minimize the impact of treatment on healthy tissues," said Dr. Lee. "For example, during breast cancer treatments we can reduce the radiation going to the heart and lungs."</w:t>
        <w:br/>
        <w:br/>
        <w:t>"Varian's mission is to help save millions of lives around the world every year. We are pleased and honored that the outstanding clinical team at Mount Elizabeth Novena Hospital will be working to save lives using Varian's advanced technology for treating cancer," saidJean-Luc Devleeschauwer, president for the Asia-Pacific (APAC) region for Varian's Oncology Systems business.</w:t>
        <w:br/>
        <w:br/>
        <w:t>Note to editors: High resolution images of Varian's TrueBeam system for image-guided radiotherapy are available online at this URL:http://varian.mediaroom.com/index.php?s=31899&amp;cat=2470&amp;mode=gallery &lt;http://varian.mediaroom.com/index.php?s=31899&amp;cat=2470&amp;mode=gallery&gt;.</w:t>
        <w:br/>
        <w:br/>
        <w:t>ABOUT VARIAN MEDICAL SYSTEMS Varian Medical Systems, Inc., of Palo Alto, California, is the world's leading manufacturer of medical devices and software for treating cancer and other medical conditions with radiotherapy, radiosurgery, and brachytherapy. The company supplies informatics software for managing comprehensive cancer clinics, radiotherapy centers and medical oncology practices. Varian is a premier supplier of tubes and digital detectors for X-ray imaging in medical, scientific, and industrial applications and also supplies high-energy X-ray devices for cargo screening and non-destructive testing applications. Varian Medical Systems employs approximately 5,900 people who are located at manufacturing sites inNorth America, Europe, and China and approximately 70 sales and support offices around the world. For more information, visithttp://www.varian.com &lt;http://www.varian.com/&gt; or follow us on Twitter &lt;http://twitter.com/#!/VarianMedSys&gt;.</w:t>
        <w:br/>
        <w:br/>
        <w:t>ABOUT MOUNT ELIZABETH NOVENA HOSPITAL Mount Elizabeth Novena Hospital, Parkway Pantai Group's new hospital in the heart ofSingapore's premier medical hub in Novena, opened in July 2012. The modern all single-bedded room hospital sets new benchmarks for quality healthcare to reinforceSingapore's reputation for delivering world-class medical services to both local and foreign patients. Adopting global best-practice standards for quality patient care as well as clinical outcomes, Mount Elizabeth Novena Hospital caters to the continuing demand for high quality and competitively priced healthcare services inSingapore and around the world. For more information, please visit the website athttp://mountelizabethnovena.com &lt;http://mountelizabethnovena.com/&gt;.</w:t>
        <w:br/>
        <w:br/>
        <w:t>Keywords for this news article include: Asia, Hospital, Software, Singapore, Technology, Varian Medical Systems.</w:t>
        <w:br/>
        <w:br/>
        <w:t>Our reports deliver fact-based news of research and discoveries from around the world. Copyright 2015, NewsRx LLC</w:t>
      </w:r>
    </w:p>
    <w:p>
      <w:pPr>
        <w:pStyle w:val="Heading1"/>
      </w:pPr>
      <w:r>
        <w:t>End of Article 22</w:t>
      </w:r>
    </w:p>
    <w:p>
      <w:r>
        <w:br w:type="page"/>
      </w:r>
    </w:p>
    <w:p>
      <w:pPr>
        <w:pStyle w:val="Heading1"/>
      </w:pPr>
      <w:r>
        <w:t>Start of Article 23</w:t>
      </w:r>
    </w:p>
    <w:p>
      <w:pPr>
        <w:pStyle w:val="Heading1"/>
      </w:pPr>
      <w:r>
        <w:t>Document ID RTTNEW0020151030ebat00106</w:t>
      </w:r>
    </w:p>
    <w:p>
      <w:r>
        <w:t>The facility will provide analytical and stability services, including analytical method development, transfer and validation for IND/NDA submissions; commercial API and drug product testing; stability studies of APIs, drug products for registration, and commercial products; and reference standard qualification.</w:t>
        <w:br/>
        <w:br/>
        <w:t>"This strategic partnership further strengthens our close, broad-based collaboration with Gilead over many years," said Ge Li, PhD, Chairman and CEO of WuXi PharmaTech.</w:t>
        <w:br/>
        <w:br/>
        <w:t>For comments and feedback: contact editorial@rttnews.com</w:t>
        <w:br/>
        <w:br/>
        <w:t>Copyright(c) 2015 RTTNews.com. All Rights Reserved</w:t>
      </w:r>
    </w:p>
    <w:p>
      <w:pPr>
        <w:pStyle w:val="Heading1"/>
      </w:pPr>
      <w:r>
        <w:t>End of Article 23</w:t>
      </w:r>
    </w:p>
    <w:p>
      <w:r>
        <w:br w:type="page"/>
      </w:r>
    </w:p>
    <w:p>
      <w:pPr>
        <w:pStyle w:val="Heading1"/>
      </w:pPr>
      <w:r>
        <w:t>Start of Article 24</w:t>
      </w:r>
    </w:p>
    <w:p>
      <w:pPr>
        <w:pStyle w:val="Heading1"/>
      </w:pPr>
      <w:r>
        <w:t>Document ID DRSN000020151116ebbg00004</w:t>
      </w:r>
    </w:p>
    <w:p>
      <w:r>
        <w:t>The U.S. sales for nevirapine were $67,000 for the 12 months ended Sept. 30 and $70.7 million for the glipizide in the same period.</w:t>
        <w:br/>
        <w:br/>
        <w:t>Read more...</w:t>
      </w:r>
    </w:p>
    <w:p>
      <w:pPr>
        <w:pStyle w:val="Heading1"/>
      </w:pPr>
      <w:r>
        <w:t>End of Article 24</w:t>
      </w:r>
    </w:p>
    <w:p>
      <w:r>
        <w:br w:type="page"/>
      </w:r>
    </w:p>
    <w:p>
      <w:pPr>
        <w:pStyle w:val="Heading1"/>
      </w:pPr>
      <w:r>
        <w:t>Start of Article 25</w:t>
      </w:r>
    </w:p>
    <w:p>
      <w:pPr>
        <w:pStyle w:val="Heading1"/>
      </w:pPr>
      <w:r>
        <w:t>Document ID STHST00020160410ebcd004eb</w:t>
      </w:r>
    </w:p>
    <w:p>
      <w:r>
        <w:t>Alecensa was approved for patients with advanced non-small cell lung cancer with a mutation in a gene called ALK who have relapsed after treatment with Pfizer's Xalkori or who could not tolerate that drug.</w:t>
        <w:br/>
        <w:br/>
        <w:t>Alecensa, known chemically as alectinib, is the only lung cancer drug also approved for treating lung cancer that has spread to the brain.</w:t>
        <w:br/>
        <w:br/>
        <w:t>Genentech will have a list price of about $12,500 per month before discounts negotiated with insurers.</w:t>
      </w:r>
    </w:p>
    <w:p>
      <w:pPr>
        <w:pStyle w:val="Heading1"/>
      </w:pPr>
      <w:r>
        <w:t>End of Article 25</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ABD3DDB-ED61-487B-829A-378658627F82}"/>
</file>

<file path=customXml/itemProps3.xml><?xml version="1.0" encoding="utf-8"?>
<ds:datastoreItem xmlns:ds="http://schemas.openxmlformats.org/officeDocument/2006/customXml" ds:itemID="{5D95E75B-B505-4C11-B14D-E356EB0454F1}"/>
</file>

<file path=customXml/itemProps4.xml><?xml version="1.0" encoding="utf-8"?>
<ds:datastoreItem xmlns:ds="http://schemas.openxmlformats.org/officeDocument/2006/customXml" ds:itemID="{15C343EE-1985-4DF9-AEE2-A6FB3E5D8ED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