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DJDN000020150930eb9u001fg</w:t>
      </w:r>
    </w:p>
    <w:p>
      <w:r>
        <w:t>Company Initiates Efforts to Secure Global Development and Commercialization Partner</w:t>
        <w:br/>
        <w:br/>
        <w:t>SAN DIEGO, Sept. 30, 2015 (GLOBE NEWSWIRE) -- Zogenix, Inc. (Nasdaq:ZGNX), a pharmaceutical company developing therapies for the treatment of central nervous system (CNS) disorders, today announced positive top-line pharmacokinetic results from its Phase 1b multi-dose clinical trial of Relday(TM) , a proprietary, once-monthly subcutaneous investigational formulation of risperidone for the treatment of schizophrenia. If approved, Relday has the potential to be the first subcutaneous antipsychotic product that achieves therapeutic drug levels on the first day of administration, allows for once-monthly dosing and does not require reconstitution. Zogenix has retained Locust Walk Partners of Cambridge, MA, a transaction advisory firm for life sciences companies, to provide transaction advisory and support services for Relday, and has now initiated efforts to secure a global strategic development and commercialization partner for Relday.</w:t>
        <w:br/>
        <w:br/>
        <w:t>The Phase 1b multi-dose parallel group clinical trial enrolled 60 subjects comprised of three cohorts of patients receiving four monthly injections of Relday, at dose levels of either 60, 90 or 120 mg of risperidone per month. A fourth cohort received five bi-weekly intramuscular injections of Risperdal(R) Consta(R) . Risperdal Consta requires oral supplementation for the first three weeks following dosing initiation, and requires at least four doses to reach steady state. The results for Relday demonstrated that risperidone plasma concentrations in the therapeutic range were achieved on the first day of dosing, reached steady state levels following the second dose and consistently maintained therapeutic levels throughout the four-month period. In addition, dose proportionality was confirmed across the dose range intended for clinical practice (60 to 120 mg). Relday was generally safe and well-tolerated, with results consistent with the profile of risperidone and the Company's previous Phase 1 single-dose clinical trial.</w:t>
        <w:br/>
        <w:br/>
        <w:t>"With the positive top-line results from the Phase 1b multi-dose trial, Relday is now well-positioned to begin a Phase 3 program once a development and commercialization partner is secured," said Stephen Farr, Ph.D., President and CEO of Zogenix. "Our market research indicates that Relday, if approved, has the potential to address a medical need within the schizophrenia treatment landscape by becoming the first monthly subcutaneous antipsychotic product that achieves therapeutic drug levels on the first day of administration, thereby eliminating the need for loading dose regimens upon therapy initiation or following a missed dose."</w:t>
        <w:br/>
        <w:br/>
        <w:t>Risperidone is one of the most widely prescribed medications used to treat the symptoms of schizophrenia in adults and teenagers 13 years of age and older. The injectable formulation of risperidone, Risperdal Consta, requires twice-a-month dosing, oral supplementation during therapy initiation, intramuscular injection and drug reconstitution prior to use.</w:t>
        <w:br/>
        <w:br/>
        <w:t>About Relday(TM)</w:t>
        <w:br/>
        <w:br/>
        <w:t>If approved, Relday has the potential to be the first subcutaneous antipsychotic product that allows for once-monthly dosing and achieves therapeutic drug levels on the first day of administration. Zogenix believes that Relday will offer an improved pharmacokinetic (PK) profile, significant reduction in injection volume and a simplified dosing regimen (e.g., no need for loading dose) due to DURECT's (Nasdaq:DRRX) SABER(R) controlled-release depot technology. In July 2011, Zogenix licensed from DURECT exclusive global rights to develop and commercialize this proprietary formulation which utilizes DURECT's SABER(R) depot technology.</w:t>
        <w:br/>
        <w:br/>
        <w:t>The Phase 1b multi-dose clinical trial for Relday was conducted as a single-center, open-label, safety and PK trial of 60 patients with chronic, stable schizophrenia or schizoaffective disorder across a dose range of 60, 90 and 120 mg, and included a comparator arm of Risperdal Consta.</w:t>
        <w:br/>
        <w:br/>
        <w:t>About Zogenix</w:t>
        <w:br/>
        <w:br/>
        <w:t>Zogenix, Inc. (Nasdaq:ZGNX) is a pharmaceutical company committed to developing and commercializing CNS therapies that address specific clinical needs for people living with orphan and other CNS disorders who need innovative treatment alternatives to help them return to normal daily functioning.</w:t>
        <w:br/>
        <w:br/>
        <w:t>For more information, visit www.zogenix.com.</w:t>
        <w:br/>
        <w:br/>
        <w:t>Forward-Looking Statements</w:t>
        <w:br/>
        <w:br/>
        <w:t>Zogenix cautions you that statements included in this press release that are not a description of historical facts are forward-looking statements. Words such as "believes," "anticipates," "plans," "expects," "indicates," "will," "intends," "potential," "suggests," "assuming" and similar expressions are intended to identify forward-looking statements. These statements are based on the company's current beliefs and expectations. These forward-looking statements include statements regarding delivery and dosing benefits of Relday to both the patient and clinician, the viability of Relday, initiation of a multi-dose clinical trial and Phase 3 development studies for Relday, Zogenix's ability to secure a global strategic development partner for rest-of-world development and commercialization of Relday, Zogenix's ability to initiate a Phase 3 clinical trial for Relday based on results from the Phase 1b clinical trial, the introduction of DosePro technology and the timing thereof, the ability of such product to address the global anti-psychotic market, and the ability to develop a once-monthly injectable product with improved pharmacokinetics and significant reduction in injection volume. The inclusion of forward-looking statements should not be regarded as a representation by Zogenix that any of its plans will be achieved. Actual results may differ from those set forth in this release due to the risk and uncertainties inherent in Zogenix's business, including, without limitation: the uncertainties associated with the clinical development and regulatory approval of product candidates such as Relday, including potential delays in enrollment and completion of clinical trials; potential delays in the initiation of a Phase 3 program for Relday or the requirement that Zogenix conduct additional development activities prior to initiating such Phase 3 program; Zogenix's dependence on its collaboration with DURECT Corporation to develop Relday; inadequate therapeutic efficacy or unexpected adverse side effects relating to Relday that could prevent its development or commercialization; difficulties in identifying, negotiating, executing and carrying out strategic transactions relating to Relday; the terms of any development or commercialization partnership for Relday may not be favorable, and the partner may not perform as expected; the market potential for anti-psychotics, and Zogenix's ability to compete within that market; Zogenix's ability to obtain and the validity and duration of patent protection and other intellectual property rights for Relday; and other risks described in the company's prior press releases and filings with the Securities and Exchange Commission.</w:t>
        <w:br/>
        <w:br/>
        <w:t>You are cautioned not to place undue reliance on these forward-looking statements, which speak only as of the date hereof, and Zogenix undertakes no obligation to revise or update this release to reflect events or circumstances after the date hereof. All forward-looking statements are qualified in their entirety by this cautionary statement. This caution is made under the safe harbor provisions of Section 21E of the Private Securities Litigation Reform Act of 1995.</w:t>
        <w:br/>
        <w:br/>
        <w:t>Relday(TM) is a trademark of Zogenix, Inc.</w:t>
        <w:br/>
        <w:br/>
        <w:t xml:space="preserve">SABER(R) is a trademark of DURECT Corporation. </w:t>
        <w:br/>
        <w:br/>
        <w:br/>
        <w:t xml:space="preserve">CONTACT: Investors: Andrew McDonald </w:t>
        <w:br/>
        <w:t xml:space="preserve">         Founding Partner, LifeSci Advisors LLC </w:t>
        <w:br/>
        <w:t xml:space="preserve">         646-597-6987 | Andrew@lifesciadvisors.com </w:t>
        <w:br/>
        <w:br/>
        <w:t>30 Sep 2015 08:01 ET *Zogenix Reports Positive Top-Line Results From Relday Phase 1B Multi-Dose Clinical Trial</w:t>
        <w:br/>
        <w:br/>
        <w:t>30 Sep 2015 08:01 ET *Zogenix: Product Candidate Now Ready for Phase 3</w:t>
        <w:br/>
        <w:br/>
        <w:t>30 Sep 2015 08:02 ET *Zogenix: Relday is a Once-Monthly Subcutaneous Formulation of Risperidone for Treating Schizophrenia</w:t>
        <w:br/>
        <w:br/>
        <w:t>(MORE TO FOLLOW) Dow Jones Newswires (212-416-2800)</w:t>
        <w:br/>
        <w:br/>
        <w:t>September 30, 2015 08:02 ET (12:02 GMT)</w:t>
      </w:r>
    </w:p>
    <w:p>
      <w:pPr>
        <w:pStyle w:val="Heading1"/>
      </w:pPr>
      <w:r>
        <w:t>End of Article 1</w:t>
      </w:r>
    </w:p>
    <w:p>
      <w:r>
        <w:br w:type="page"/>
      </w:r>
    </w:p>
    <w:p>
      <w:pPr>
        <w:pStyle w:val="Heading1"/>
      </w:pPr>
      <w:r>
        <w:t>Start of Article 2</w:t>
      </w:r>
    </w:p>
    <w:p>
      <w:pPr>
        <w:pStyle w:val="Heading1"/>
      </w:pPr>
      <w:r>
        <w:t>Document ID DESR000020150815eb8f0003e</w:t>
      </w:r>
    </w:p>
    <w:p>
      <w:r>
        <w:t>The Food and Drug Administration has approved the powerful narcotic painkiller OxyContin for children as young as 11. While doctors who treat young cancer patients hailed the approval, others expressed concern that prescribing OxyContin to children could put them at risk for addiction.</w:t>
        <w:br/>
        <w:br/>
        <w:t>OxyContin, an extended-release version of the painkiller oxycodone, has gained notoriety in recent years because of its frequent abuse. People addicted to painkillers crush the pills so that they can be snorted or injected, producing a powerful high.</w:t>
        <w:br/>
        <w:br/>
        <w:t>In 2010, Purdue Pharma reformulated OxyContin to make it more difficult to abuse.</w:t>
        <w:br/>
        <w:br/>
        <w:t>The FDA notes that children generally have many fewer options for pain relief than adults. Because of that problem, the FDA asked Purdue to perform studies to see if the drug could be used safely in children, ages 11 to 16, with pain caused by cancer, trauma or major surgery, said Sharon Hertz, a physician with the FDA's Center for Drug Evaluation and Research, in an interview on the agency's website.</w:t>
        <w:br/>
        <w:br/>
        <w:t>The FDA approved OxyContin for children this age who need "daily, round-the-clock, long-term" pain relief for which there is no alternative, Hertz said.</w:t>
        <w:br/>
        <w:br/>
        <w:t>"Children are not treated with opioids very often and usually it's only for a limited period of time with close supervision by health care professionals," Hertz said. "Fewer daily doses may free patients for physical therapy appointments, allow them to go home from the hospital sooner and may help them to sleep through the night without waking up."</w:t>
        <w:br/>
        <w:br/>
        <w:t>Children at the end of life aren't at risk of addiction.</w:t>
        <w:br/>
        <w:br/>
        <w:t>Having additional long-acting painkillers "is going to be tremendously helpful for treating children with cancer pain or pain at the end of life," said Justin Baker, pediatric oncologist and hospice and palliative medicine doctor at St. Jude Children's Research Hospital.</w:t>
        <w:br/>
        <w:br/>
        <w:t>But prescribing OxyContin to youngsters with short-term medical needs could put them at risk for developing an addiction that haunts them long after they leave the hospital, said Andrew Kolodny, director of Physicians for Responsible Opioid Prescribing. Teens are at higher risk of addiction than adults because the brain doesn't mature until about age 25.</w:t>
        <w:br/>
        <w:br/>
        <w:t>It "is going to be tremendously helpful for treating children with cancer pain or pain at the end of life."</w:t>
        <w:br/>
        <w:br/>
        <w:t>Justin Baker, pediatric oncologist and hospice and palliative medicine doctor at St. Jude Children's Research Hospital</w:t>
      </w:r>
    </w:p>
    <w:p>
      <w:pPr>
        <w:pStyle w:val="Heading1"/>
      </w:pPr>
      <w:r>
        <w:t>End of Article 2</w:t>
      </w:r>
    </w:p>
    <w:p>
      <w:r>
        <w:br w:type="page"/>
      </w:r>
    </w:p>
    <w:p>
      <w:pPr>
        <w:pStyle w:val="Heading1"/>
      </w:pPr>
      <w:r>
        <w:t>Start of Article 3</w:t>
      </w:r>
    </w:p>
    <w:p>
      <w:pPr>
        <w:pStyle w:val="Heading1"/>
      </w:pPr>
      <w:r>
        <w:t>Document ID MTEU000020150414eb4e000gp</w:t>
      </w:r>
    </w:p>
    <w:p>
      <w:r>
        <w:t>((Comments on this story may be sent to info@m2.com))</w:t>
      </w:r>
    </w:p>
    <w:p>
      <w:pPr>
        <w:pStyle w:val="Heading1"/>
      </w:pPr>
      <w:r>
        <w:t>End of Article 3</w:t>
      </w:r>
    </w:p>
    <w:p>
      <w:r>
        <w:br w:type="page"/>
      </w:r>
    </w:p>
    <w:p>
      <w:pPr>
        <w:pStyle w:val="Heading1"/>
      </w:pPr>
      <w:r>
        <w:t>Start of Article 4</w:t>
      </w:r>
    </w:p>
    <w:p>
      <w:pPr>
        <w:pStyle w:val="Heading1"/>
      </w:pPr>
      <w:r>
        <w:t>Document ID BIWK000020150306eb3b000hh</w:t>
      </w:r>
    </w:p>
    <w:p>
      <w:r>
        <w:t>"With enrollment in the REDUCE Study now complete, we move one major step closer to providing additional evidence on the best treatment for stroke patients with PFO," said Scott Kasner, MD, Professor of Neurology and Director of the Comprehensive Stroke Center at the University of Pennsylvania Medical Center, and US Neurology Principal Investigator for the REDUCE Study. "Prior studies have left us with substantial uncertainty regarding the role of PFO closure in reducing recurrent stroke risk. We are confident that the rigorous approach to patient selection and the optimized design of the REDUCE Study will provide robust and reliable data to inform clinical decision making in this patient population."</w:t>
        <w:br/>
        <w:br/>
        <w:t>The study includes 65 investigational sites in the US, Canada, UK, Denmark, Norway, Sweden, and Finland that enrolled a combined 664 subjects. All subjects will complete a minimum of two years of follow-up evaluations before analysis of the study endpoints.</w:t>
        <w:br/>
        <w:br/>
        <w:t>"Completing enrollment in the REDUCE Study marks an important milestone in Gore's efforts to develop clinical data that will benefit patients and clinicians. We believe the REDUCE Study will make an important contribution to understanding the therapeutic options for patients with cardiovascular and cerebrovascular disease," said Jared Parker, PhD, Gore Structural Heart Business Leader. ABOUT US At Gore, we have provided creative therapeutic solutions to complex medical problems for more than 35 years. During that time, more than 35 million innovative Gore Medical Devices have been implanted, saving and improving the quality of lives worldwide. Our extensive family of products includes vascular grafts, endovascular and interventional devices, surgical meshes for hernia and soft tissue reconstruction, staple line reinforcement materials, and sutures for use in vascular, cardiac, and general surgery. We are one of a select few companies to appear on all of the US "100 Best Companies to Work For" lists since the rankings debuted in 1984. For more information, visit www.goremedical.com.</w:t>
        <w:br/>
        <w:br/>
        <w:t>Products listed may not be available in all markets. GORE(R) and HELEX(R) are trademarks of W. L. Gore &amp; Associates.</w:t>
        <w:br/>
        <w:br/>
        <w:t>Keywords for this news article include: Stroke, Neurology, Cardio Device, Medical Devices, W.L. Gore &amp; Associates Inc.</w:t>
        <w:br/>
        <w:br/>
        <w:t>Our reports deliver fact-based news of research and discoveries from around the world. Copyright 2015, NewsRx LLC</w:t>
      </w:r>
    </w:p>
    <w:p>
      <w:pPr>
        <w:pStyle w:val="Heading1"/>
      </w:pPr>
      <w:r>
        <w:t>End of Article 4</w:t>
      </w:r>
    </w:p>
    <w:p>
      <w:r>
        <w:br w:type="page"/>
      </w:r>
    </w:p>
    <w:p>
      <w:pPr>
        <w:pStyle w:val="Heading1"/>
      </w:pPr>
      <w:r>
        <w:t>Start of Article 5</w:t>
      </w:r>
    </w:p>
    <w:p>
      <w:pPr>
        <w:pStyle w:val="Heading1"/>
      </w:pPr>
      <w:r>
        <w:t>Document ID DJDN000020151124ebbo0048a</w:t>
      </w:r>
    </w:p>
    <w:p>
      <w:r>
        <w:t>HOUSTON, TX and VANCOUVER, Nov. 24, 2015</w:t>
        <w:br/>
        <w:br/>
        <w:t>HOUSTON, TX and VANCOUVER, Nov. 24, 2015 /PRNewswire/ - ESSA Pharma Inc. ("ESSA" or the "Company") (TSX: EPI; NASDAQ: EPIX) announced today that the first patient has been enrolled in ESSA's Phase 1/2 clinical study of EPI-506 as a treatment for metastatic castration-resistant prostate cancer ("mCRPC").</w:t>
        <w:br/>
        <w:br/>
        <w:t>In the Phase 1/2 clinical trial, ESSA intends to demonstrate the safety, tolerability, maximum tolerated-dose, pharmacokinetics, and efficacy of EPI-506 in prostate cancer patients who have failed abiraterone or enzalutamide or both, the current standard-of-care drugs in mCRPC. The trial is expected to enroll approximately 150 subjects across the United States and Canada.</w:t>
        <w:br/>
        <w:br/>
        <w:t>"Patients with metastatic CRPC who have failed abiraterone and/or enzalutamide currently represent a large unmet medical need," said Dr. Frank Perabo, ESSA's Chief Medical Officer. "The novel mechanism of action of EPI-506 was developed specifically to overcome resistance to these current drugs."</w:t>
        <w:br/>
        <w:br/>
        <w:t>As part of the clinical study, ESSA will collect molecular biomarker information which may provide useful context in understanding patient outcomes. Androgen receptor splice variant V7 data will be included in such information.</w:t>
        <w:br/>
        <w:br/>
        <w:t>Details relating to the Phase 1/2 clinical trial are now available on the US National Institutes of Health clinical trials website (https://clinicaltrials.gov).</w:t>
        <w:br/>
        <w:br/>
        <w:t>About ESSA Pharma Inc.</w:t>
        <w:br/>
        <w:br/>
        <w:t>ESSA Pharma is a clinical-stage pharmaceutical company focused on developing novel and proprietary therapies for the treatment of castration resistant prostate cancer ("CRPC") in patients whose disease is progressing despite treatment with current therapies. ESSA believes that its product candidate, EPI-506, can significantly expand the interval of time in which patients suffering from CRPC can benefit from hormone-based therapies. EPI-506 acts by disrupting the androgen receptor ("AR") signaling pathway, which is the primary pathway that drives prostate cancer growth. We have shown that EPI-002, the primary metabolite of EPI-506, prevents AR activation by binding selectively to the N-terminal domain ("NTD") of the AR. A functional NTD is essential for activation of the AR. Blocking the NTD prevents activation of the AR by all of the three known mechanisms of activation. In pre-clinical studies, blocking the NTD has demonstrated the capability to overcome the known AR-dependent mechanisms of CRPC. ESSA was founded in 2009 and is located in Vancouver, British Columbia and Houston Texas.</w:t>
        <w:br/>
        <w:br/>
        <w:t>About Prostate Cancer</w:t>
        <w:br/>
        <w:br/>
        <w:t>Prostate cancer is the second-most commonly diagnosed cancer among men and the fifth most common cause of male cancer death worldwide (Globocan, 2012). Adenocarcinoma of the prostate is dependent on androgen for tumor progression and depleting or blocking androgen action has been a mainstay of hormonal treatment for over six decades. Although tumors are often initially sensitive to medical or surgical therapies that decrease levels of testosterone (for example, ADT), disease progression despite castrate levels of testosterone generally represents a transition to the lethal variant of the disease (mCRPC) and most patients ultimately succumb to the illness. The treatment of mCRPC patients has evolved rapidly over the past five years; despite these advances, additional treatment options are needed to improve clinical outcomes in patients, particularly those who fail existing treatments including abiraterone or enzalutamide, or those that have contraindications to receive those drugs. Over time, patients with mCRPC generally experience continued disease progression, worsening pain, leading to substantial morbidity and limited survival rates. In both in vitro and in vivo studies, ESSA's novel approach to blocking the androgen pathway has been shown to be effective in blocking tumor growth when current therapies are no longer effective.</w:t>
        <w:br/>
        <w:br/>
        <w:t>Forward-Looking Statement Disclaimer</w:t>
        <w:br/>
        <w:br/>
        <w:t>This release contains certain information which, as presented, constitutes "forward-looking information" within the meaning of applicable Canadian securities laws. Forward-looking information involves statements that relate to future events and often addresses expected future business and financial performance, containing words such as "anticipate", "believe", "plan", "estimate", "expect", and "intend", statements that an action or event "may", "might", "could", "should", or "will" be taken or occur, or other similar expressions and includes, but is not limited to, statements about the Company's upcoming Phase 1/2 clinical trial; receipt of CPRIT funds; and the implementation of the Company's business model and strategic plans.</w:t>
        <w:br/>
        <w:br/>
        <w:t>Forward-looking statements and information are subject to various known and unknown risks and uncertainties, many of which are beyond the ability of ESSA to control or predict, and which may cause ESSA's actual results, performance or achievements to be materially different from those expressed or implied thereby. Such statements reflect ESSA's current views with respect to future events, are subject to risks and uncertainties and are necessarily based upon a number of estimates and assumptions that, while considered reasonable by ESSA as of the date of such statements, are inherently subject to significant medical, scientific, business, economic, competitive, political and social uncertainties and contingencies. In making forward looking statements, ESSA may make various material assumptions, including but not limited to (i) obtaining positive results of clinical trials; (ii) obtaining regulatory approvals; and (iii) general business, market and economic conditions.</w:t>
        <w:br/>
        <w:br/>
        <w:t>Forward-looking information is developed based on assumptions about such risks, uncertainties and other factors set out herein and in ESSA's prospectus dated December 5, 2014 under the heading "Risk Factors", a copy of which is available on ESSA's profile at the SEDAR website at www.sedar.com, and as otherwise disclosed from time to time on ESSA's SEDAR profile. Forward-looking statements are made based on management's beliefs, estimates and opinions on the date that statements are made and ESSA undertakes no obligation to update forward-looking statements if these beliefs, estimates and opinions or other circumstances should change, except as may be required by applicable Canadian securities laws. Readers are cautioned against attributing undue certainty to forward-looking statements.</w:t>
        <w:br/>
        <w:br/>
        <w:t>SOURCE ESSA Pharma Inc</w:t>
        <w:br/>
        <w:br/>
        <w:t>/CONTACT: Frank Perabo, Chief Medical Officer, T: 832-831-5958</w:t>
        <w:br/>
        <w:br/>
        <w:t>24 Nov 2015 18:55 ET *ESSA Announces Enrollment Of First Patient In Phase 1/2 Trial</w:t>
        <w:br/>
        <w:br/>
        <w:t>(MORE TO FOLLOW) Dow Jones Newswires (212-416-2800)</w:t>
        <w:br/>
        <w:br/>
        <w:t>November 24, 2015 18:55 ET (23:55 GMT)</w:t>
      </w:r>
    </w:p>
    <w:p>
      <w:pPr>
        <w:pStyle w:val="Heading1"/>
      </w:pPr>
      <w:r>
        <w:t>End of Article 5</w:t>
      </w:r>
    </w:p>
    <w:p>
      <w:r>
        <w:br w:type="page"/>
      </w:r>
    </w:p>
    <w:p>
      <w:pPr>
        <w:pStyle w:val="Heading1"/>
      </w:pPr>
      <w:r>
        <w:t>Start of Article 6</w:t>
      </w:r>
    </w:p>
    <w:p>
      <w:pPr>
        <w:pStyle w:val="Heading1"/>
      </w:pPr>
      <w:r>
        <w:t>Document ID BIWK000020150909eb99000fr</w:t>
      </w:r>
    </w:p>
    <w:p>
      <w:r>
        <w:t>Our news journalists obtained a quote from the research from Wayne State University, "While AMPK serves as a master regulator of cellular metabolism, UPS regulates protein homeostasis. However, the relationship between these two important pathways is not very clear. We observe that proteasome inhibition leads to AMPK activation in human breast cancer cells. siRNA transfection, western blotting, qPCR, and proteasomal inhibition assays were used to study the mechanism of proteasome inhibitor-induced AMPK activation using human triple-negative breast cancer, lung, and cervical cancer cell lines. We report that a variety of proteasome inhibitors activate AMPK in all the tested different cancer cell lines. Our data using liver kinase B1-deficient cancer cells suggest that proteasome inhibitor-induced AMPK activation is primarily mediated by Calcium/Calmodulin-dependent kinase kinase beta (CaMKK beta). This hypothesis is supported by that pharmacological or genetic inhibition of CaMKK beta leads to a decrease in proteasome inhibitor-induced AMPK activation. Additionally, the AMPK-activating function of the FDA-approved proteasome inhibitor bortezomib depends on an increase in intracellular calcium levels as calcium chelation abrogates its induced AMPK activation. Finally, bortezomib-mediated upregulation in CaMKK beta levels is due to its enhanced protein synthesis."</w:t>
        <w:br/>
        <w:br/>
        <w:t>According to the news editors, the research concluded: "These data suggest that proteasome inhibitors indirectly activate AMPK in human cancer cells primarily via Ca2+-CaMKK beta-dependent pathway."</w:t>
        <w:br/>
        <w:br/>
        <w:t>For more information on this research see: Proteasome inhibitors induce AMPK activation via CaMKK beta in human breast cancer cells. Breast Cancer Research and Treatment, 2015;153(1):79-88. Breast Cancer Research and Treatment can be contacted at: Springer, 233 Spring St, New York, NY 10013, USA. (Springer - www.springer.com; Breast Cancer Research and Treatment - www.springerlink.com/content/0167-6806/)</w:t>
        <w:br/>
        <w:br/>
        <w:t>Our news journalists report that additional information may be obtained by contacting R.R. Deshmukh, Wayne State University, Sch Med, Dept. of Karmanos, Inst Canc, Detroit, MI 48201, United States.</w:t>
        <w:br/>
        <w:br/>
        <w:t>Keywords for this news article include: Kinase, Detroit, Michigan, Genetics, Oncology, United States, Breast Cancer, Women's Health, Enzymes and Coenzymes, North and Central America</w:t>
        <w:br/>
        <w:br/>
        <w:t>Our reports deliver fact-based news of research and discoveries from around the world. Copyright 2015, NewsRx LLC</w:t>
      </w:r>
    </w:p>
    <w:p>
      <w:pPr>
        <w:pStyle w:val="Heading1"/>
      </w:pPr>
      <w:r>
        <w:t>End of Article 6</w:t>
      </w:r>
    </w:p>
    <w:p>
      <w:r>
        <w:br w:type="page"/>
      </w:r>
    </w:p>
    <w:p>
      <w:pPr>
        <w:pStyle w:val="Heading1"/>
      </w:pPr>
      <w:r>
        <w:t>Start of Article 7</w:t>
      </w:r>
    </w:p>
    <w:p>
      <w:pPr>
        <w:pStyle w:val="Heading1"/>
      </w:pPr>
      <w:r>
        <w:t>Document ID DJDN000020150713eb7d0021i</w:t>
      </w:r>
    </w:p>
    <w:p>
      <w:r>
        <w:t>10:19 EDT - Goldman Sachs expects an in-line quarter for Johnson &amp; Johnson (JNJ), despite intensifying competition for some key new drugs. J&amp;J reports 2Q results Tuesday morning. Citing prescription trends, Goldman Sachs is lowering its sales forecasts for big-selling new drugs Xarelto, Zytiga and Olysio. But Goldman Sachs is raising revenue estimates for two other drugs Imbruvica and Invega. J&amp;J shares are down 4% for the year, compared with slight gains in the broader market. Goldman expects an in-line quarter for the company to lift shares, and suspects that J&amp;J might repurchase shares given its stock's weakness and cash position. JNJ gains 0.7% to $100.19. (jonathan.rockoff@wsj.com; @jonathanrockoff)</w:t>
        <w:br/>
        <w:br/>
        <w:t>10:19 EDT - The death toll tied to faulty GM ignition switches has risen to 124, according to the latest figures from a victims-compensation fund for the auto maker. In addition to the latest accepted death claims, total accepted injury claims now stand at 266, according to just-updated figures. Outside lawyer Kenneth Feinberg and others administering the fund on GM's behalf are aiming to finish reviewing claims by month's end. The fund aims to address victims in crashes tied to roughly 2.6M recalled older Chevrolet Cobalts and other small cars equipped with a defective ignition switch which can slip out of the run position--cutting engine power and disabling safety features including air bags. GM could end up paying up to $600M to settle all claims. (mike.spector@wsj.com; @MikeSpectorWSJ)</w:t>
        <w:br/>
        <w:br/>
        <w:t>10:17 EDT - Kilroy (KRC) is betting big on the future of San Francisco. The office landlord has $2B of development planned or underway in the city, which Credit Suisse says accounts for about 20% of KRC's assets. The firm last week announced a new $250M development in the city. It's part of a big shift for KRC, which was focused on southern California before looking north in recent years, following the riches of the tech sector. (eliot.brown@wsj.com)</w:t>
        <w:br/>
        <w:br/>
        <w:t>10:12 EDT - As Edwards Lifescicences (EW) hits a fresh record high following late Friday's announcement of a transcatheter heart-value deal, RBC's upgrade isn't just on that. It also cites the ongoing Partner IIa trial involving EW's Sapien 3 transcatheter heart valve in intermediate-risk patients. Results aren't likely until next spring, but "consultant checks gives us confidence" that results "will be positive," helping increase the potential market for transcatheter valve replacement. Allowing that lower-risk group to be eligible for undergoing the procedure "should double/triple" the next 5 years what's now a $1.6B global markets, RBC's consultants say. That as the deal for CardiAQ "is an excellent strategic move." EW rises 2.8% to $151.29; RBC's price target jumps to $185 from $135. (kevin.kingsbury@wsj.com; @kevinkingsbury)</w:t>
        <w:br/>
        <w:br/>
        <w:t>10:11 EDT - Employers face growing pressure to give the tens of millions of Americans with criminal records a chance to compete for jobs, with a skein of local and state laws aimed at barring the exclusion of ex-offenders from the hiring process. But such efforts have run into a bedrock underwriting principle that still guides business insurers: Someone who has been dishonest in the past is more likely to be dishonest in the future--and expose a company to loss--than someone who hasn't. The unseen hand of commercial insurers influences businesses' hiring decisions and gives employers a justification for maintaining broad prohibitions on hiring people with criminal records, employers and advocates for ex-offenders say. (joe.palazzolo@wsj.com)</w:t>
        <w:br/>
        <w:br/>
        <w:t>10:05 EDT - The prospects for a deal in the nuclear negotiations between Iran and six world powers, and the potential for the lifting of sanctions that have kept Iranian crude from reaching the markets, are keeping pressure on the currencies of commodity-exporting countries. The Australian, Canadian and New Zealand dollars -- also weakened by China's economic slowdown -- all stand to depreciate if a deal with Iran darkens sentiment on all commodity-producing nations. "If an Iran nuclear deal is reached, the potential for the weaker-commodity-currency theme gets fresh oxygen," says Credit Suisse's Shahab Jalinoos. AUD/USD down 0.5% today to 0.7410, near a six-year low. USD/CAD up 0.9% to 1.2774, also near a six-year low. NZD off 0.4% to 0.6702, approaching a five-year low. (james.ramage@wsj.com)</w:t>
        <w:br/>
        <w:br/>
        <w:t>9:59 EDT - Wrapping Health Net (HNT) into its calculations on Centene (CNC), FBR boosts its price target on the health insurer by $10 to $90, with the recent stock pullback since the deal's announcement prompting the investment bank to upgrade CNC to outperform. "The acquisition brings along some unique attributes to Centene, along with a major presence in California. Health Net also adds many capabilities beyond Centene's historical Medicaid and specialty focus." FBR, which had been cautious on CNC because of valuation for 8 months, gives the combined entity a 23 P/E ratio, below where CNC currently trades. It's up 1.5% at $74.02, cutting the month's drop to 8%. (kevin.kingsbury@wsj.com; @kevinkingsbury)</w:t>
        <w:br/>
        <w:br/>
        <w:t>9:43 EDT - Since starting to make its own movies last decade, beginning with 2008's "Iron Man," every Marvel Studios release based on characters within the so-called Marvel Cinematic Universe has debuted at No. 1. Might the estimated $115M opening for "Minions" prevent the latest release from Marvel--now owned by Disney (DIS)--from extending the streak? It's possible, though not anywhere near as last month, when DIS-owned Pixar was faced with notching its first non-No. 1 opening with "Inside Out." That happened, also the result of a movie from Comcast's (CMCSA) Universal. As for "Ant-Man," there were many last summer unsure of how the more-comedic "Guardians of the Galaxy" would fare. It only ended up being the No. 3 movie of the year in North America, including a $94.3M open. (kevin.kingsbury@wsj.com; @kevinkingsbury)</w:t>
        <w:br/>
        <w:br/>
        <w:t>9:35 EDT - An Obama-signed executive order will require companies and subcontractors with government contracts to detail workplace-law violations. Companies will face the threat of losing those deals and the right to bid for future ones should the government decide their number of infractions are too high. The new rule could lead to greater regulatory demands and costs, possibly prompting some firms to shun government business. Attorney Mickey Silberman says, "I have many clients assessing the value of the government contracts they have and weighing that against the greatly increased cost of doing business with the federal government." (ben.dipietro@wsj.com; @bendipietro1)</w:t>
        <w:br/>
        <w:br/>
        <w:t>09:33 EDT - Autonomous vehicles may not need drivers, but they will need dealers to sell and service them, and herein lies an opportunity, says Morgan Stanley analyst Adam Jonas. Today's US auto dealer "pie" is about $1T, split between 10,000 owners, he says, but tech disruption could accelerate consolidation "to as few as 10 monolithic mega-fleet mangers." Auto retailing will then become less about selling and more about service. Dealers will shift to more of a fleet-maintenance role starting within the next 3-5 years. Already, the auto-retailing industry has undergone significant consolidation, thanks in part to declining profits and rising overhead. This will continue, Jonas says, as the need for new tech investment will be "beyond the reach of most dealers." With this, he "double-upgraded" his rating on AutoNation (AN), the No. 1 US auto retailer, to overweight with $70 price target. (christina.rogers@wsj.com)</w:t>
        <w:br/>
        <w:br/>
        <w:t>9:23 EDT - Greece's debt deal has investors revisiting a popular trade this year driven by interest-rate differentials: buying the greenback as US rates look poised to rise while borrowing in euro. Citi's Steven Englander says instead of supporting the euro, the Greek resolution is "more positive for USD because it removes [an] impediment to Fed liftoff." Treasurys are selling off this morning, with the 2-year yield up 2 basis points at 0.673%. Meanwhile, the euro is down 1% at $1.1044 and the dollar rises 0.5% to Y123.46. (cynthia.lin@wsj.com; @cynthialin_dj)</w:t>
        <w:br/>
        <w:br/>
        <w:t>(END) Dow Jones Newswires</w:t>
        <w:br/>
        <w:br/>
        <w:t>July 13, 2015 10:24 ET (14:24 GMT)</w:t>
      </w:r>
    </w:p>
    <w:p>
      <w:pPr>
        <w:pStyle w:val="Heading1"/>
      </w:pPr>
      <w:r>
        <w:t>End of Article 7</w:t>
      </w:r>
    </w:p>
    <w:p>
      <w:r>
        <w:br w:type="page"/>
      </w:r>
    </w:p>
    <w:p>
      <w:pPr>
        <w:pStyle w:val="Heading1"/>
      </w:pPr>
      <w:r>
        <w:t>Start of Article 8</w:t>
      </w:r>
    </w:p>
    <w:p>
      <w:pPr>
        <w:pStyle w:val="Heading1"/>
      </w:pPr>
      <w:r>
        <w:t>Document ID MRKWN00020151106ebb60006x</w:t>
      </w:r>
    </w:p>
    <w:p>
      <w:r>
        <w:t>"My partnership with the Muscle Milk(R) team began in the early stages of my career, and they've supported me throughout this amazing journey," said Curry. "Their team has become a part of my family on and off the court, and the relationship that we have is what these kinds of partnerships are all about. I've always said I enjoy working with them because they make it easy. Their focus on impacting high school sports is really important to me, and I look forward to becoming more involved in those efforts in the coming year. I'm just really proud to be a part of their team."</w:t>
        <w:br/>
        <w:br/>
        <w:t>"We've watched Stephen raise the bar over and over, and there's not another person or athlete who deserves the honors he's achieved," said Brandon Hagy, sports marketing manager for CytoSport, Inc. "He's influenced millions of people--from the up-and-coming high school athlete to business executives to fellow professional athletes. He's an extraordinary person who exemplifies the connection people have with sports. He's been an integral part of telling the Muscle Milk brand story, and we couldn't be more proud to call him a teammate. Stephen will have a big part in helping us continue to impact high school athletic programs around the country through our Muscle Milk Recovery Grant program, and we're excited for our shared vision to take our partnership to levels that extend beyond the game of basketball."</w:t>
        <w:br/>
        <w:br/>
        <w:t>The Muscle Milk(R) brand originally inked a deal with Curry in 2013, and the renewal will extend the partnership through 2018.</w:t>
        <w:br/>
        <w:br/>
        <w:t>"Our goal is to align Stephen with brands that show loyalty and a significant investment in Stephen as an athlete and a person, not just a spokesperson," said Jeff Austin, managing director, Octagon Basketball. Stephen has a heart for high school athletes, and our team is excited that he'll not only represent a brand that he believes in, but also one that shares his passion for positively impacting the futures of young athletes."</w:t>
        <w:br/>
        <w:br/>
        <w:t>Curry will become the lead driver of the Muscle Milk Recovery Grant program which provides grants to help revitalize high school athletic programs in need around the country. In the last three years, the program has given $750,000 to 63 high school programs around the country. He will also help tell the Muscle Milk(R) brand story through a national TV campaign and other marketing and sales assets including advertising, retail programs, point-of-sale collateral, media opportunities, experiential events and integration into local and national activations. The brand also released a limited edition Stephen Curry bottle exclusively in the Bay Area with plans to launch one nationally next year. The company will release a new TV campaign with Curry early 2016.</w:t>
        <w:br/>
        <w:br/>
        <w:t>Keywords for this news article include: Marketing, Basketball, Advertising, Entertainment, CytoSport Inc., Sporting Activities.</w:t>
        <w:br/>
        <w:br/>
        <w:t>Our reports deliver fact-based news of research and discoveries from around the world. Copyright 2015, NewsRx LLC</w:t>
      </w:r>
    </w:p>
    <w:p>
      <w:pPr>
        <w:pStyle w:val="Heading1"/>
      </w:pPr>
      <w:r>
        <w:t>End of Article 8</w:t>
      </w:r>
    </w:p>
    <w:p>
      <w:r>
        <w:br w:type="page"/>
      </w:r>
    </w:p>
    <w:p>
      <w:pPr>
        <w:pStyle w:val="Heading1"/>
      </w:pPr>
      <w:r>
        <w:t>Start of Article 9</w:t>
      </w:r>
    </w:p>
    <w:p>
      <w:pPr>
        <w:pStyle w:val="Heading1"/>
      </w:pPr>
      <w:r>
        <w:t>Document ID BTBW000020150206eb290001v</w:t>
      </w:r>
    </w:p>
    <w:p>
      <w:r>
        <w:t>As of January 28, 2015 registration is now open and professionals are encouraged to pre-register for the event at http://hirelifescience.com/career/default.aspx. The event is exclusive to Life Science professionals who possess a minimum of two years experience working for a Life Science related company and a minimum of a four year Life Science related degree. Doors will open for qualified professionals at 11 a.m. and the event will conclude at 4 p.m. The HireLifeScience.com Career Fair 2015 will be one of the industry's most qualified gatherings of companies and professionals.</w:t>
        <w:br/>
        <w:br/>
        <w:t>The objective of the event is to bring the HireLifeScience.com client companies and network of professionals together in one place expediting the hiring process. This annual career fair is exclusive to hiring companies and no third-party recruiters will participate in the event. Professionals with a background related, but not limited to: Bioinfomatics; Clinical Research; Laboratory; Quality QA &amp; QC; Medical Communications; Manufacturing; Medical Device; Regulatory Affairs; Research &amp; Development; and Pharma/Biotech Sales &amp; Marketing should attend.</w:t>
        <w:br/>
        <w:br/>
        <w:t>"I can't wait for this year's annual HireLifeScience.com hiring event. We will once again present a rather impressive gathering of Life Science employers who are hiring in the Tri-State area and beyond for that matter. We take extreme pride in the quality of companies who attend and as a result the event continues to grow. I also expect the qualification levels of the professionals in attendance to be the best it has ever been," stated Rob Masterson, President of HireLifeScience.com.</w:t>
        <w:br/>
        <w:br/>
        <w:t>Since 2005 HireLifeScience.com has provided Life Science professionals with the ability to apply directly to Life Science companies and avoid third party recruiters during the hiring process. HireLifeScience.com is designed to help Life Science professionals personalize the job search by: building professional profiles; following and connecting with individual HR representatives; and applying directly to thousands of jobs in the Life Science industry.</w:t>
        <w:br/>
        <w:br/>
        <w:t>For more information on this event or any of our services please visit www.HireLifeScience.com</w:t>
        <w:br/>
        <w:br/>
        <w:t>Keywords for this news article include: Clinical Research, HireLifeScience.com.</w:t>
        <w:br/>
        <w:br/>
        <w:t>Our reports deliver fact-based news of research and discoveries from around the world. Copyright 2015, NewsRx LLC</w:t>
      </w:r>
    </w:p>
    <w:p>
      <w:pPr>
        <w:pStyle w:val="Heading1"/>
      </w:pPr>
      <w:r>
        <w:t>End of Article 9</w:t>
      </w:r>
    </w:p>
    <w:p>
      <w:r>
        <w:br w:type="page"/>
      </w:r>
    </w:p>
    <w:p>
      <w:pPr>
        <w:pStyle w:val="Heading1"/>
      </w:pPr>
      <w:r>
        <w:t>Start of Article 10</w:t>
      </w:r>
    </w:p>
    <w:p>
      <w:pPr>
        <w:pStyle w:val="Heading1"/>
      </w:pPr>
      <w:r>
        <w:t>Document ID DJDN000020151005eba5001ap</w:t>
      </w:r>
    </w:p>
    <w:p>
      <w:r>
        <w:t>PR Newswire</w:t>
        <w:br/>
        <w:br/>
        <w:t>WOONSOCKET, R.I., Oct. 5, 2015</w:t>
        <w:br/>
        <w:br/>
        <w:t>WOONSOCKET, R.I., Oct. 5, 2015 /PRNewswire/ -- CVS Health (NYSE: CVS) today announced that it is opening Hearing Centers in seven CVS/pharmacy stores in the Dallas and Cleveland markets and will be providing optical services at CVS/pharmacy in five store locations around the Baltimore/Washington, D.C. market.</w:t>
        <w:br/>
        <w:br/>
        <w:t>"Hearing and optical services are a great fit with the existing health offerings in our stores, including industry-leading pharmacy products and services, our MinuteClinic walk-in medical clinics and a comprehensive smoking cessation program," said Andrew Sussman, M.D., president of CVS/minuteclinic and executive vice president &amp; associate chief medical officer of CVS Health. "By expanding our retail health offerings into vision and hearing services, we are providing customers a convenient, single destination on their path to better health."</w:t>
        <w:br/>
        <w:br/>
        <w:t>"Over the past year, we have eliminated tobacco products from all of our stores, added healthy food options, and created a stronger connection between health and beauty," said Judy Sansone, senior vice president of front store business and chief merchant of CVS Health. "Now, by taking these first steps into providing hearing and optical services, we continue to evolve our retail locations into a leading destination for convenient and accessible health services."</w:t>
        <w:br/>
        <w:br/>
        <w:t>The Hearing Centers at CVS/pharmacy, which will be open Tuesdays to Saturdays, are staffed by licensed audiologists and hearing instrument specialists who are able to assess hearing needs using computerized equipment in the centers' soundproof booths. The centers will offer a variety of hearing aid products and custom ear plugs, as well as provide services such as free hearing screenings and free in-store hearing checks and cleanings. The Hearing Centers will also offer innovative noise simulation testing to demonstrate to patients the improvements that hearing aids can provide during different life experiences. Many insurance plans will be accepted for the hearing services available.</w:t>
        <w:br/>
        <w:br/>
        <w:t>Experts say it takes an average of seven years for consumers to seek help from a professional for their hearing loss[1]. The hearing services offered at CVS/pharmacy will help increase awareness and access for those with hearing needs and provide the opportunity to improve their quality of life by addressing their hearing needs sooner.</w:t>
        <w:br/>
        <w:br/>
        <w:t>Optical service at CVS/pharmacy will be available seven days a week later this fall at select locations around the Baltimore/Washington, D.C. market. Services will include comprehensive eye exams by an optometrist three days a week for both walk-ins and appointments; prescriptions for glasses and contact lenses; access to more than 600 styles of frames and sunglasses from fashionable, popular brands for women, men and children; and free cleanings and adjustments. Many insurance plans will be accepted.</w:t>
        <w:br/>
        <w:br/>
        <w:t>All eyeglasses will have a 90-day total-satisfaction guarantee, and can be returned for any reason during this period for a full refund. Glasses purchased for children up to age 14 will be covered by a one-year guarantee[2].</w:t>
        <w:br/>
        <w:br/>
        <w:t>About CVS Health</w:t>
        <w:br/>
        <w:br/>
        <w:t>CVS Health (NYSE: CVS) is a pharmacy innovation company helping people on their path to better health. Through its more than 7,800 retail drugstores, nearly 1,000 walk-in medical clinics, a leading pharmacy benefits manager with more than 70 million plan members, and expanding specialty pharmacy services, the Company enables people, businesses and communities to manage health in more affordable, effective ways. This unique integrated model increases access to quality care, delivers better health outcomes and lowers overall health care costs. Find more information about how CVS Health is shaping the future of health at www.cvshealth.com.</w:t>
        <w:br/>
        <w:br/>
        <w:t>MEDIA CONTACT:</w:t>
        <w:br/>
        <w:br/>
        <w:t>Stephanie Cunha</w:t>
        <w:br/>
        <w:br/>
        <w:t>CVS/pharmacy</w:t>
        <w:br/>
        <w:br/>
        <w:t>scunha@cvs.com</w:t>
        <w:br/>
        <w:br/>
        <w:t>401-770-9354</w:t>
        <w:br/>
        <w:br/>
        <w:t>[1] http://chchearing.org/facts-about-hearing-loss/; http://www.hearingloss.org/content/symptoms-hearing-loss</w:t>
        <w:br/>
        <w:br/>
        <w:t>[2] Glasses that are damaged, broken or lost will be replaced at no charge, one time for one year from the original date of delivery.</w:t>
        <w:br/>
        <w:br/>
        <w:t>Logo - http://photos.prnewswire.com/prnh/20140905/143585</w:t>
        <w:br/>
        <w:br/>
        <w:t>To view the original version on PR Newswire, visit:http://www.prnewswire.com/news-releases/cvspharmacy-opening-optical-and-hearing-centers-in-select-locations-300153912.html</w:t>
        <w:br/>
        <w:br/>
        <w:t>SOURCE CVS Health</w:t>
        <w:br/>
        <w:br/>
        <w:t>/Web site: http://www.cvshealth.com</w:t>
        <w:br/>
        <w:br/>
        <w:t>(END) Dow Jones Newswires</w:t>
        <w:br/>
        <w:br/>
        <w:t>October 05, 2015 08:30 ET (12:30 GMT)</w:t>
      </w:r>
    </w:p>
    <w:p>
      <w:pPr>
        <w:pStyle w:val="Heading1"/>
      </w:pPr>
      <w:r>
        <w:t>End of Article 10</w:t>
      </w:r>
    </w:p>
    <w:p>
      <w:r>
        <w:br w:type="page"/>
      </w:r>
    </w:p>
    <w:p>
      <w:pPr>
        <w:pStyle w:val="Heading1"/>
      </w:pPr>
      <w:r>
        <w:t>Start of Article 11</w:t>
      </w:r>
    </w:p>
    <w:p>
      <w:pPr>
        <w:pStyle w:val="Heading1"/>
      </w:pPr>
      <w:r>
        <w:t>Document ID NCIW000020150709eb79000dw</w:t>
      </w:r>
    </w:p>
    <w:p>
      <w:r>
        <w:t>The following quote was obtained by the news editors from the background information supplied by the inventors: "3-(2,6-Dichloro-3,5-dimethoxy-phenyl)-1-{6-[4-(4-ethyl-piperazin-1-yl)-ph- enylamino]-pyrimidin-4-yl}-1-methyl-urea (described in U.S. Ser. No. 11/570,983, filed Jun. 23, 2005, and incorporated by reference in its entirety herein) has the structure of Formula I:</w:t>
        <w:br/>
        <w:br/>
        <w:t>"##STR00001## The compound of Formula I is a protein kinase inhibitor and is useful in the treatment of proliferative diseases mediated by protein kinases. In particular, the compound of Formula I inhibits FGFR1, FGFR2, FGFR3, FGFR4, KDR, HER1, HER2, Bcr-Abl, Tie2, and Ret kinases. It is therefore useful in the treatment of cancers including AML, melanocytic neoplasia, breast cancer, colon cancer, lung cancer (especially small-cell lung cancer), cancer of the prostate or Kaposi's sarcoma.</w:t>
        <w:br/>
        <w:br/>
        <w:t>"It is well known that the crystalline form of the active pharmaceutical ingredient (API) of a particular drug is often an important determinant of the drug's ease of preparation, hygroscopicity, stability, solubility, storage stability, ease of formulation, rate of dissolution in gastrointestinal fluids and in vivo bioavailability. Crystalline forms occur where the same composition of matter crystallizes in a different lattice arrangement resulting in different thermodynamic properties and stabilities specific to the particular crystalline form. Crystalline forms may also include different hydrates or solvates of the same compound. In deciding which form is preferable, the numerous properties of the forms are compared and the preferred form chosen based on the many physical property variables. It is entirely possible that one form can be preferable in some circumstances where certain aspects such as ease of preparation, stability, etc. are deemed to be critical. In other situations, a different form may be preferred for greater dissolution rate and/or superior bioavailability. It is not yet possible to predict whether a particular compound or salt of a compound will form polymorphs, whether any such polymorphs will be suitable for commercial use in a therapeutic composition, or which polymorphs will display such desirable properties."</w:t>
        <w:br/>
        <w:br/>
        <w:t>In addition to the background information obtained for this patent, NewsRx journalists also obtained the inventors' summary information for this patent: "There are provided herein crystal and amorphous forms of the compound of Formula I, compositions including the crystal and amorphous forms, and methods of preparing the crystal and amorphous forms and compositions. The present technology further provides methods of using the crystal or amorphous forms of compounds of Formula I and compositions thereof to treat various diseases, including but not limited to, those that can be prevented, inhibited or ameliorated by inhibition of kinase activity selected from FGFR1, FGFR2, FGFR3, FGFR4, KDR, HER1, HER2, Bcr-Abl, Tie2, and Ret kinases."</w:t>
        <w:br/>
        <w:br/>
        <w:t>URL and more information on this patent, see: Berghausen, Joerg; Kapa, Prasad K; McKenna, Joseph; Slade, Joel; Wu, Raeann; Du, Zhengming; Stowasswer, Frank. Crystalline Forms of 3-(2,6-Dichloro-3,5-Dimethoxy-Phenyl)-1-{6-[4-(4-Ethyl-Piperazin-1-Yl) -Phenylamino]-Pyrimidin-4-Yl}-1-Methyl-Urea and Salts. U.S. Patent Number 9067896, filed December 6, 2010, and published online on June 30, 2015. Patent URL: http://patft.uspto.gov/netacgi/nph-Parser?Sect1=PTO1&amp;Sect2=HITOFF&amp;d=PALL&amp;p=1&amp;u=%2Fnetahtml%2FPTO%2Fsrchnum.htm&amp;r=1&amp;f=G&amp;l=50&amp;s1=9067896.PN.&amp;OS=PN/9067896RS=PN/9067896</w:t>
        <w:br/>
        <w:br/>
        <w:t>Keywords for this news article include: Urea, Pharmaceutical Companies, Cancer, Kinase, Oncology, Novartis AG, Organic Chemicals, Enzymes and Coenzymes.</w:t>
        <w:br/>
        <w:br/>
        <w:t>Our reports deliver fact-based news of research and discoveries from around the world. Copyright 2015, NewsRx LLC</w:t>
      </w:r>
    </w:p>
    <w:p>
      <w:pPr>
        <w:pStyle w:val="Heading1"/>
      </w:pPr>
      <w:r>
        <w:t>End of Article 11</w:t>
      </w:r>
    </w:p>
    <w:p>
      <w:r>
        <w:br w:type="page"/>
      </w:r>
    </w:p>
    <w:p>
      <w:pPr>
        <w:pStyle w:val="Heading1"/>
      </w:pPr>
      <w:r>
        <w:t>Start of Article 12</w:t>
      </w:r>
    </w:p>
    <w:p>
      <w:pPr>
        <w:pStyle w:val="Heading1"/>
      </w:pPr>
      <w:r>
        <w:t>Document ID CTRW000020150109eb1c000bj</w:t>
      </w:r>
    </w:p>
    <w:p>
      <w:r>
        <w:t>Our news journalists obtained a quote from the research from the Harvard School of Medicine, "The treatment arm of the aCRT trial was compared with a pooled historical control (HC) derived from the CRT arms of four clinical trials (MIRACLE, MIRACLE ICD, PROSPECT, and InSync III Marquis) with respect to the proportion of patients who had an improved clinical composite score (CCS) at the 6-month follow-up. Patients in the HC underwent echocardiography-guided AV optimization after the implant. A propensity score model was used to adjust for 22 potential baseline confounders of the effect of CRT. Patients were stratified into quintiles according to the propensity score and the adjusted absolute treatment effect was obtained by averaging estimates across these quintiles. The propensity score model included 751 patients (aCRT: 266, historical trials: 485). The adjusted absolute difference in percent improved in CCS between the aCRT and HC arms was 11.9% [95% confidence interval (CI): 2.7-19.2%] favouring aCRT. The patients in the aCRT group were significantly more likely to have an improved CCS than the patients in the HC (odds ratio=1.65, 95% CI: 1.1-2.5)."</w:t>
        <w:br/>
        <w:br/>
        <w:t>According to the news editors, the research concluded: "The aCRT algorithm may be associated with additional improvement in clinical response compared with historical CRT with echocardiographic AV optimization."</w:t>
        <w:br/>
        <w:br/>
        <w:t>For more information on this research see: Clinical response with adaptive CRT algorithm compared with CRT with echocardiography-optimized atrioventricular delay: a retrospective analysis of multicentre trials. Europace, 2013;15(11):1622-8.</w:t>
        <w:br/>
        <w:br/>
        <w:t>Our news journalists report that additional information may be obtained by contacting J.P. Singh, Massachusetts General Hospital Heart Center, Harvard Medical School, 55 Fruit St, Boston, MA 02114, United States. Additional authors for this research include W.T. Abraham, E.S. Chung, T. Rogers, A. Sambelashvili, J.A. Coles and D.O Martin.</w:t>
        <w:br/>
        <w:br/>
        <w:t>Keywords for this news article include: Boston, Algorithms, Cardiology, Massachusetts, United States, Cardiovascular, Echocardiography, North and Central America.</w:t>
        <w:br/>
        <w:br/>
        <w:t>Our reports deliver fact-based news of research and discoveries from around the world. Copyright 2015, NewsRx LLC</w:t>
      </w:r>
    </w:p>
    <w:p>
      <w:pPr>
        <w:pStyle w:val="Heading1"/>
      </w:pPr>
      <w:r>
        <w:t>End of Article 12</w:t>
      </w:r>
    </w:p>
    <w:p>
      <w:r>
        <w:br w:type="page"/>
      </w:r>
    </w:p>
    <w:p>
      <w:pPr>
        <w:pStyle w:val="Heading1"/>
      </w:pPr>
      <w:r>
        <w:t>Start of Article 13</w:t>
      </w:r>
    </w:p>
    <w:p>
      <w:pPr>
        <w:pStyle w:val="Heading1"/>
      </w:pPr>
      <w:r>
        <w:t>Document ID MTPW000020150911eb9a001xj</w:t>
      </w:r>
    </w:p>
    <w:p>
      <w:r>
        <w:t xml:space="preserve"> She will report to IBM Watson Group leader Michael Rhodin.</w:t>
        <w:br/>
        <w:br/>
        <w:t>IBM also expanded its solutions portfolio with the introduction of IBM Watson Health Cloud for Life Sciences Compliance and IBM Watson Care Manager:</w:t>
        <w:br/>
        <w:br/>
        <w:t>* The IBM Watson Health Cloud for Life Sciences Compliance will help biomedical companies bring medical innovations to market more efficiently. This first-in-class solution will help the companies fast-track the deployment of a GxP compliant infrastructure and applications while adhering to stringent requirements for hosting, accessing and sharing regulated data.</w:t>
        <w:br/>
        <w:br/>
        <w:t>* IBM Watson Care Manager is a population health solution that uniquely integrates capabilities from Watson Health, Apple’s HealthKit and ResearchKit, a software framework designed by Apple to make it easy for researchers to conduct studies using an iPhone. It allows medical professionals’ to factor a broad range of determinants into a personalized patient engagement program, with the intent to vastly improve individual health outcomes.</w:t>
        <w:br/>
        <w:br/>
        <w:t>In addition, IBM announced that Boston Children’s Hospital, Columbia University, ICON plc, Sage Bionetworks and Teva Pharmaceuticals will join the roster of industry leaders that are leveraging Watson’s capabilities to transform key aspects of the healthcare ecosystem that include drug discovery and development, personalized medicine, chronic disease management, pediatrics, and digital health. They join CVS Health, Medtronic and Yale University, among others. Teva and Sage both announced the Watson Health Cloud is their organizations’ preferred development platform.</w:t>
        <w:br/>
        <w:br/>
        <w:t>“Watson Health is driving a new era of technology-driven health, enabling entrepreneurs and industry leaders to address diverse needs, spanning the earliest stages of research all the way through to clinical care and population health through to consumer wellness,” said Mike Rhodin, Senior Vice President, IBM Watson Group. “The variety of new partners and use cases underscores the flexibility and scalability of the IBM Watson Health Cloud to help leaders rapidly advance the state of the art in health and wellness. Further, IBM Watson Health is building for scale, with partners, offerings and now a worldwide headquarters designed to help global organizations meet the world’s pressing health needs.”</w:t>
        <w:br/>
        <w:br/>
        <w:t>The opening ceremony also featured demonstrations by health ecosystem partners Best Doctors, Modernizing Medicine, Pathway Genomics, Socrates and Welltok, which showed how Watson is being deployed in solutions such as enabling cost-effective second opinion services, helping optimize physician practice patterns, and supporting consumers’ ability to make informed, cost effective medical choices.</w:t>
        <w:br/>
        <w:br/>
        <w:t>IBM Watson Health Attracts Start-Ups and Established Leaders</w:t>
        <w:br/>
        <w:br/>
        <w:t>IBM Watson Health has achieved significant market momentum since it was introduced five months ago. Hundreds of partners, ecosystem members and customers are working with IBM to address unmet needs across the continuum of life sciences and healthcare. New collaborations announced today include:</w:t>
        <w:br/>
        <w:br/>
        <w:t>Boston Children’s Hospital has been named Watson Health’s foundational pediatrics partner, building on an existing relationship between the two entities. IBM will integrate Watson’s deep and iterative question and answer capability to enhance and scale the OPENPediatrics initiative, a ground-breaking BCH initiative which aims to bring life-saving medical knowledge to pediatric caregivers worldwide. Moving forward, BCH and IBM will jointly develop solutions for commercialization, initially pursuing applications in personalized medicine, heart health and critical care with the potential to leverage Watson Genomic Analytics to assist researchers and clinicians in the treatment of rare pediatric disease; apply Watson’s image analytics capabilities with the intent to help clinicians improve diagnoses for children facing heart heath conditions; and apply streaming analytics to data from patients on ventilation systems, with the intent to help to medical professionals predict patient decline before it occurs.</w:t>
        <w:br/>
        <w:br/>
        <w:t>Columbia University Medical Center’s departments of Pathology &amp; Cell Biology and Systems Biology will collaborate with IBM to test using IBM Watson to help oncologists in the Columbia Herbert Irving Comprehensive Cancer Center translate DNA insights into personalized treatment options for patients. Columbia is the 16th cancer center to test the use Watson Genomic Analytics to bring precision medicine to patients worldwide. As Columbia and other institutions evaluate Watson’s ability to help clinicians in identifying actionable mutations in cancer, Watson’s rationale and insights will continually improve, providing the latest combined wisdom of the world’s leading cancer institutes in a scalable, cloud-based solution.</w:t>
        <w:br/>
        <w:br/>
        <w:t>ICON plc is the first global clinical research organization (CRO) to apply Watson to clinical trial matching, tapping into data in the IBM Watson Health Cloud to help its biomedical customers accelerate medical research and the development of new treatment options for patients. It is estimated that 80 percent of clinical trials fail or are delayed due to inadequate patient enrollment and only 2 percent of eligible patients become trial subjects. ICON will leverage Watson to automate the cumbersome process of identifying patients who meet the criteria for a clinical trial. Watson will also analyze trial protocols against a massive volume of patient data in the Watson Health Cloud to assess trial feasibility and identify optimal trial sites.</w:t>
        <w:br/>
        <w:br/>
        <w:t>Sage Bionetworks’ Open Biomedical Research Platform will be powered by the IBM Watson Health Cloud, with the intent to make the IBM Watson Health Cloud the platform of choice for Sage to aggregate, store, curate, and analyze data collected via apps using ResearchKit. Sage currently has active ResearchKit projects in breast cancer and Parkinson’s Disease. Further, Sage and IBM will collaborate to integrate the IBM Watson Health Cloud with Sage’s BRIDGE server and Synapse, an informatics platform dedicated to supporting the large-scale pooling of data, knowledge, and expertise across institutions to solve some of the most challenging problems in biomedical research. Sage endeavors to engage patients in the scientific discovery process and facilitate global collaboration among researchers working toward a shared goal of advancing and accelerating medical research.</w:t>
        <w:br/>
        <w:br/>
        <w:t>“Successful biomedical research requires active participation and data sharing across a wide variety of stakeholders,” said Stephen H. Friend, MD, PhD, president, co-founder and director, Sage Bionetworks. “The IBM Watson Health Cloud can help us break down barriers that hamper progress in research and accelerate discovery through open collaboration by providing broadly accessible storage with large capacity.”</w:t>
        <w:br/>
        <w:br/>
        <w:t>Teva Pharmaceuticals announced that IBM Watson Health Cloud will serve as Teva’s global technology platform of choice to build solutions designed to help millions of individuals worldwide with complex and chronic conditions such as asthma, pain, and neurodegenerative diseases. Teva expects to introduce its first e-health solution in 2016.</w:t>
        <w:br/>
        <w:br/>
        <w:t>IBM Watson Health Global Headquarters Established in Cambridge Life Science Hub</w:t>
        <w:br/>
        <w:br/>
        <w:t>Unveiled today, Watson Health’s global headquarters are located at 75 Binney Street in Cambridge’s Kendall Square and will serve as a home base for more than 700 IBM employees.</w:t>
        <w:br/>
        <w:br/>
        <w:t>For entrepreneurs and start-ups, Watson Health’s Cambridge headquarters will provide technology, tools and talent to create and launch new products and businesses based on Watson’s cloud-delivered cognitive intelligence. IBM intends to open an interactive Watson Health Experience Center in Cambridge, which will serve as a place for IBM clients to undertake immersive leaning about Watson and how it can help transform their businesses. In addition, IBM Research will establish a dedicated Health Research lab at the headquarters, deepening IBMs decades-long commitment to investigation that informs new IBM offerings.</w:t>
        <w:br/>
        <w:br/>
        <w:t>Cambridge is widely considered the epicenter of the Life Sciences industry, and Massachusetts boasts more than 600 life sciences companies and research organizations employing roughly 60,000 people with a combined payroll topping $7 billion annually, according to the Massachusetts Biotechnology Council. In recent years, Massachusetts has drawn more than 20 percent of all venture capital outlays for biotechnology companies nationally and the majority of grants from the National Institutes of Health.</w:t>
        <w:br/>
        <w:br/>
        <w:t>IBM Watson: Pioneering a New Era of Computing</w:t>
        <w:br/>
        <w:br/>
        <w:t>Watson is the first commercially available cognitive computing capability representing a new era in computing. The system, delivered through the cloud, analyzes high volumes of data, understands complex questions posed in natural language, and proposes evidence-based answers. Watson continuously learns, gaining in value and knowledge over time, from previous interactions. In April 2015, the company launched IBM Watson Health and the Watson Health Cloud platform. The new unit will help improve the ability of doctors, researchers and insurers to innovate by surfacing insights from the massive amount of personal health data being created daily. The Watson Health Cloud allows this information to be de-identified, shared and combined with a dynamic and constantly growing aggregated view of clinical, research and social health data.</w:t>
        <w:br/>
        <w:br/>
        <w:t>For more information on IBM Watson, visit: ibm.com/watson. For more information on IBM Watson Health, visit: http://www.ibm.com/watsonhealth</w:t>
        <w:br/>
        <w:br/>
        <w:t>Check out the IBM Watson press kit at: http://www-03.ibm.com/press/us/en/presskit/27297.wss</w:t>
        <w:br/>
        <w:br/>
        <w:t>Join the conversation at #ibmwatson and #watsonhealth. Follow Watson on Facebook and see Watson on YouTube and Flickr.</w:t>
        <w:br/>
        <w:br/>
        <w:t>Learn more about this story at http://www.asmarterplanet.com/blog/2015/09/taking-new-era-computing-healthcare.html</w:t>
        <w:br/>
        <w:br/>
        <w:t>Learn more about our collaboration with ICON Clinical Research at http://www.asmarterplanet.com/blog/2015/09/using-data-analytics-speed-clinical-drug-trials.html</w:t>
        <w:br/>
        <w:br/>
        <w:t>((M2 Communications disclaims all liability for information provided within M2 PressWIRE. Data supplied by named party/parties. Further information on M2 PressWIRE can be obtained at http://www.m2.com on the world wide web. Inquiries to info@m2.com)).</w:t>
      </w:r>
    </w:p>
    <w:p>
      <w:pPr>
        <w:pStyle w:val="Heading1"/>
      </w:pPr>
      <w:r>
        <w:t>End of Article 13</w:t>
      </w:r>
    </w:p>
    <w:p>
      <w:r>
        <w:br w:type="page"/>
      </w:r>
    </w:p>
    <w:p>
      <w:pPr>
        <w:pStyle w:val="Heading1"/>
      </w:pPr>
      <w:r>
        <w:t>Start of Article 14</w:t>
      </w:r>
    </w:p>
    <w:p>
      <w:pPr>
        <w:pStyle w:val="Heading1"/>
      </w:pPr>
      <w:r>
        <w:t>Document ID CHPR000020150904eb8v0000i</w:t>
      </w:r>
    </w:p>
    <w:p>
      <w:r>
        <w:t>Website: http://www.marketwired.com</w:t>
      </w:r>
    </w:p>
    <w:p>
      <w:pPr>
        <w:pStyle w:val="Heading1"/>
      </w:pPr>
      <w:r>
        <w:t>End of Article 14</w:t>
      </w:r>
    </w:p>
    <w:p>
      <w:r>
        <w:br w:type="page"/>
      </w:r>
    </w:p>
    <w:p>
      <w:pPr>
        <w:pStyle w:val="Heading1"/>
      </w:pPr>
      <w:r>
        <w:t>Start of Article 15</w:t>
      </w:r>
    </w:p>
    <w:p>
      <w:pPr>
        <w:pStyle w:val="Heading1"/>
      </w:pPr>
      <w:r>
        <w:t>Document ID CTRW000020150626eb6t000a0</w:t>
      </w:r>
    </w:p>
    <w:p>
      <w:r>
        <w:t>Our news journalists obtained a quote from the research from Case Western Reserve University, "Summary of Background Data: rhBMP-2 has been increasingly used in spinal fusions over the past decade. Early studies reported that the use of rhBMP-2 is associated with decreased operative time, blood loss, and pain scores, as well as improved fusion rates. Recent investigations have shown rhBMP-2 to be associated with various complications occurring at incidences ranging from 0% to 100%. Using the institutional electronic medical records, we retrospectively reviewed all patients between January 2002 and September 2010 that underwent thoracolumbar and lumbar spine fusion with BMP. Patient demographics, operative, and outcome/complication information was collected. A total of 547 patient charts were reviewed with a mean follow-up time of 17 months. Mean age was 58 years. Forty-one percent of patients had undergone previous spine surgery. Thirty-nine percent of patients had a PLIF/TLIF, 29% underwent a PLF, and 20% an ALIF. No relevant differences in the patient characteristics and complications were identified between the various surgical approaches. For all approaches, having undergone a previous spine surgery was associated with increased incidence of radiculitis, reoperation, and pseudoarthrosis (P=0.005, 0.0008, 0.05, respectively) as compared with those without previous spine surgery. Being a current smoker at the time of operation was associated with increased rate of radiculitis (P=0.03) as compared with nonsmokers. The use of rhBMP-2, in this study, had an incidence of radiculitis, pseudoarthrosis, and reoperation that was similar to the rates in historical controls without rhBMP-2. Complications do not differ by surgical approach, but are more likely in current smokers and those undergoing revision surgery."</w:t>
        <w:br/>
        <w:br/>
        <w:t>According to the news editors, the research concluded: "A prospective study is warranted to further delineate the adverse event profile of rhBMP-2 and the variables that are likely to affect it (ie, type of surgery, carrier, and dose)."</w:t>
        <w:br/>
        <w:br/>
        <w:t>For more information on this research see: Adverse Events With the Use of rhBMP-2 in Thoracolumbar and Lumbar Spine Fusions A 9-Year Institutional Analysis. Journal of Spinal Disorders &amp; Techniques, 2015;28(5):E277-E283. Journal of Spinal Disorders &amp; Techniques can be contacted at: Lippincott Williams &amp; Wilkins, Two Commerce Sq, 2001 Market St, Philadelphia, PA 19103, USA. (Lippincott Williams and Wilkins - www.lww.com; Journal of Spinal Disorders &amp; Techniques - journals.lww.com/jspinaldisorders/pages/default.aspx)</w:t>
        <w:br/>
        <w:br/>
        <w:t>Our news journalists report that additional information may be obtained by contacting D. Lubelski, Case Western Reserve University, Cleveland, OH 44106, United States. Additional authors for this research include K.G. Abdullah, M.P. Steinmetz, M.D. Alvin, A.S. Nowacki, S. Chakka, E.C. Benzel and T.E. Mroz.</w:t>
        <w:br/>
        <w:br/>
        <w:t>Keywords for this news article include: Ohio, Surgery, Cleveland, United States, Health and Medicine, North and Central America</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WSJO000020150612eb6c008et</w:t>
      </w:r>
    </w:p>
    <w:p>
      <w:r>
        <w:t>The FDA in 1997 approved Medtronic PLC's Activa Deep Brain Stimulation Therapy System for tremors associated with essential tremor and Parkinson's disease, and expanded it in 2002 to include other symptoms of Parkinson's disease.</w:t>
        <w:br/>
        <w:br/>
        <w:t>Parkinson's is a neurological disorder that afflicts about one million Americans. An estimated 50,000 Americans are diagnosed with Parkinson's each year, according to the National Institutes of Health.</w:t>
        <w:br/>
        <w:br/>
        <w:t>There are no cures for Parkinson's or essential tremor, a condition previously called benign essential tremor characterized by uncontrolled muscle movement.</w:t>
        <w:br/>
        <w:br/>
        <w:t>Parkinson's is typically diagnosed in people over 60 years old, while essential tremor usually occurs in those over 40.</w:t>
        <w:br/>
        <w:br/>
        <w:t>The implant includes a battery-powered, rechargeable electrical pulse generator that is implanted under the skin of the upper chest and wire leads that are attached to electrodes placed within the brain, the FDA said. Serious adverse events include intracranial bleeding, which can lead to stroke, paralysis or death, the agency warned. Other adverse events included infection and dislocation of the device lead under the skin.</w:t>
        <w:br/>
        <w:br/>
        <w:t>Write to Maria Armental at maria.armental@wsj.com</w:t>
      </w:r>
    </w:p>
    <w:p>
      <w:pPr>
        <w:pStyle w:val="Heading1"/>
      </w:pPr>
      <w:r>
        <w:t>End of Article 16</w:t>
      </w:r>
    </w:p>
    <w:p>
      <w:r>
        <w:br w:type="page"/>
      </w:r>
    </w:p>
    <w:p>
      <w:pPr>
        <w:pStyle w:val="Heading1"/>
      </w:pPr>
      <w:r>
        <w:t>Start of Article 17</w:t>
      </w:r>
    </w:p>
    <w:p>
      <w:pPr>
        <w:pStyle w:val="Heading1"/>
      </w:pPr>
      <w:r>
        <w:t>Document ID CTRW000020150501eb54000m3</w:t>
      </w:r>
    </w:p>
    <w:p>
      <w:r>
        <w:t>Reporters obtained the following quote from the background information supplied by the inventors: "Maytansinoids are highly cytotoxic compounds, including maytansinol and C-3 esters of maytansinol (U.S. Pat. No. 4,151,042), as shown below:</w:t>
        <w:br/>
        <w:br/>
        <w:t>"##STR00001##</w:t>
        <w:br/>
        <w:br/>
        <w:t>"The naturally occurring and synthetic C-3 esters of maytansinol can be classified into two groups: (a) Maytansine (2) and its analogs (e.g., DM1 and DM4), which are C-3 esters with N-methyl-L-alanine or derivatives of N-methyl-L-alanine (U.S. Pat. Nos. 4,137,230; 4,260,608; 5,208,020; and Chem. Pharm. Bull. 12:3441 (1984)); (b) Ansamitocins, which are C-3 esters with simple carboxylic acids (U.S. Pat. Nos. 4,248,870; 4,265,814; 4,308,268; 4,308,269; 4,309,428; 4,317,821; 4,322,348; and 4,331,598).</w:t>
        <w:br/>
        <w:br/>
        <w:t>"Maytansine (2), its analogs and each of the ansamitocin species are C3 esters of maytansinol that can be prepared by esterification of maytansinol (1). U.S. Pat. Nos. 7,301,019 and 7,598,375 describe methods of acylating maytansinol (1), with an N-carboxyanhydride of an amino acid (NCA, 5), in the presence of a base to form an amino acid ester of maytansinol (May-AA, 6) as shown below:</w:t>
        <w:br/>
        <w:br/>
        <w:t>"##STR00002##</w:t>
        <w:br/>
        <w:br/>
        <w:t>"Amino acid esters of maytansinol are valuable intermediates that can be coupled to carboxylic acids to provide maytansinoids. For example, reaction of maytansinol with (4S)-3,4-dimethyl-2,5-oxazolidinedione (5a) forms N2'-deacetyl-maytansine (6a), which in turn can be coupled to 3-(methyldithio)propionic acid (7), using N-(3-dimethylaminopropyl)-N'-ethylcarbodiimide hydrochloride (EDAC) to form DM1-SMe (8) as shown below:</w:t>
        <w:br/>
        <w:br/>
        <w:t>"##STR00003##</w:t>
        <w:br/>
        <w:br/>
        <w:t>"A significant disadvantage of the acylation reaction that forms amino acid esters of maytansinol is that it also forms a by-product comprising an extra N-methyl-alanyl moiety in the C3 side chain, referred to as 'extra-NMA' (9). When N2'-deacetyl-maytansine is acylated, extra NMA (9) is also acylated to form extra NMA-DM1-SMe (9a). The structures of extra-NMA (9) and extra-NMA-DM1-SMe (9a) are shown below:</w:t>
        <w:br/>
        <w:br/>
        <w:t>"##STR00004##</w:t>
        <w:br/>
        <w:br/>
        <w:t>"DM1 (3) can be prepared from DM1-SMe (8) by reduction, which also converts any extra-NMA-DM1-SMe (9a) to extra-NMA-DM1 (10) as shown below:</w:t>
        <w:br/>
        <w:br/>
        <w:t>"##STR00005##</w:t>
        <w:br/>
        <w:br/>
        <w:t>"Extra-NMA-DM1 (10) is difficult to remove from DM1 (3) because both compounds have similar polarities and give overlapping peaks in the HPLC trace of purified DM1 (3). DM1 (3) and DM4 (4) are used to prepare antibody conjugates, several of which are currently in clinical trials.</w:t>
        <w:br/>
        <w:br/>
        <w:t>"Thus, there is a need to improve the yield and robustness of the processes to prepare such maytansinoids and to minimize by-products formed during reactions used in their preparation."</w:t>
        <w:br/>
        <w:br/>
        <w:t>In addition to obtaining background information on this patent, NewsRx editors also obtained the inventors' summary information for this patent: "It has now been found that addition of a drying agent to the reaction between maytansinol and an N-carboxyanhydride of an amino acid substantially increases the yield of an amino acid ester of maytansinol, as shown in Examples 1-4. It has also been found that addition of a pre-quenching step with a nucleophile following the reaction of maytansinol and an N-carboxyanhydride of an amino acid substantially reduces formation of undesirable by-products, such as extra-NMA, as shown in Examples 6-8. Based on these discoveries, improved methods of preparing an amino acid ester of maytansinol are disclosed herein.</w:t>
        <w:br/>
        <w:br/>
        <w:t>"A first embodiment of the invention is a method of preparing an amino acid ester of maytansinol represented by Formula (I):</w:t>
        <w:br/>
        <w:br/>
        <w:t>"##STR00006## wherein R.sub.1 is hydrogen, an optionally substituted C1-C10 alkyl group or an amino acid side chain, provided that, if the amino acid side chain has a functional group, the functional group is optionally protected; and R.sub.2 is hydrogen or an optionally substituted C1-C10 alkyl group.</w:t>
        <w:br/>
        <w:br/>
        <w:t>"The method comprises reacting maytansinol with an N-carboxyanhydride in a reaction mixture additionally comprising a base and a drying agent. The N-carboxyanhydride is represented by the following formula:</w:t>
        <w:br/>
        <w:br/>
        <w:t>"##STR00007## All the variables in Formula (II) are as defined in Formula (I).</w:t>
        <w:br/>
        <w:br/>
        <w:t>"A second embodiment of the invention is a method of preparing an amino acid ester of maytaninol represented by Formula (I), comprising: a) reacting maytansinol with an N-carboxyanhydride represented by Formula (II) in a reaction mixture additionally comprising a base; and b) reacting unreacted N-carboxyanhydride from step a) with a nucleophilic reagent. All the variables in Formulas (I) and (II) are as defined in the first embodiment of the invention."</w:t>
        <w:br/>
        <w:br/>
        <w:t>For more information, see this patent: Widdison, Wayne C.; Zhao, Robert Yongxin. Methods for the Acylation of Maytansinol. U.S. Patent Number 9012629, filed September 26, 2013, and published online on April 21, 2015. Patent URL: http://patft.uspto.gov/netacgi/nph-Parser?Sect1=PTO1&amp;Sect2=HITOFF&amp;d=PALL&amp;p=1&amp;u=%2Fnetahtml%2FPTO%2Fsrchnum.htm&amp;r=1&amp;f=G&amp;l=50&amp;s1=9012629.PN.&amp;OS=PN/9012629RS=PN/9012629</w:t>
        <w:br/>
        <w:br/>
        <w:t>Keywords for this news article include: Esters, Peptides, Proteins, Amino Acids, ImmunoGen Inc., Carboxylic Acids.</w:t>
        <w:br/>
        <w:br/>
        <w:t>Our reports deliver fact-based news of research and discoveries from around the world. Copyright 2015, NewsRx LLC</w:t>
      </w:r>
    </w:p>
    <w:p>
      <w:pPr>
        <w:pStyle w:val="Heading1"/>
      </w:pPr>
      <w:r>
        <w:t>End of Article 17</w:t>
      </w:r>
    </w:p>
    <w:p>
      <w:r>
        <w:br w:type="page"/>
      </w:r>
    </w:p>
    <w:p>
      <w:pPr>
        <w:pStyle w:val="Heading1"/>
      </w:pPr>
      <w:r>
        <w:t>Start of Article 18</w:t>
      </w:r>
    </w:p>
    <w:p>
      <w:pPr>
        <w:pStyle w:val="Heading1"/>
      </w:pPr>
      <w:r>
        <w:t>Document ID GLOMCP0020151112ebbc001dj</w:t>
      </w:r>
    </w:p>
    <w:p>
      <w:r>
        <w:t>EUSA Pharma, Inc. (EUSA), a subsidiary of Jazz Pharmaceuticals plc is a pharmaceutical company that develops, markets and licenses late-stage oncology, oncology supportive care and critical care products. The company’s products include Erwinase, Kidrolase, Caphosol, Xenazine, Collatamp, Custodiol and Fomepizole. Its products are used in the treatment of lymphoblastic leukaemia, oral mucositis, debilitating side-effect of radiation therapy, movement disorders, antibiotic surgical implant, organ transplantation and ethylene glycol poisoning. EUSA offers products through a network of regional affiliate offices in Austria, Belgium, Bulgaria, Croatia, Cyprus, Czech Republic, Denmark, Estonia, Finland, France, Germany, Greece, Hungary, Republic of Ireland, Iceland, Italy, Latvia, Lithuania, the Netherlands, Norway, Poland, Portugal and Romania. EUSA is headquartered in Langhorne, Pennsylvania, the US.</w:t>
        <w:br/>
        <w:br/>
        <w:t>Note</w:t>
        <w:br/>
        <w:b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w:pPr>
        <w:pStyle w:val="Heading1"/>
      </w:pPr>
      <w:r>
        <w:t>End of Article 18</w:t>
      </w:r>
    </w:p>
    <w:p>
      <w:r>
        <w:br w:type="page"/>
      </w:r>
    </w:p>
    <w:p>
      <w:pPr>
        <w:pStyle w:val="Heading1"/>
      </w:pPr>
      <w:r>
        <w:t>Start of Article 19</w:t>
      </w:r>
    </w:p>
    <w:p>
      <w:pPr>
        <w:pStyle w:val="Heading1"/>
      </w:pPr>
      <w:r>
        <w:t>Document ID DJDN000020151214ebce001wg</w:t>
      </w:r>
    </w:p>
    <w:p>
      <w:r>
        <w:t>Bioanalytical Systems, Inc. ("BASi") (NASDAQ:BASI) today announced that its board of directors unanimously elected Ms. Wendy Perrow, President and Chief Executive Officer at Alba Therapeutics, as a director effective December 10, 2015. This action brings the number of directors to seven.</w:t>
        <w:br/>
        <w:br/>
        <w:t>Dr. John B. Landis, BASI's chairman of the board, commented, "We are delighted that Ms. Perrow has joined our board. Her strong background in both the biotech and pharmaceutical industries will prove particularly valuable as we continue to focus on strategies that drive our top-line growth."</w:t>
        <w:br/>
        <w:br/>
        <w:t>Ms. Perrow joined Alba Therapeutics in 2008 as Vice President, Business Development, Marketing and Alliance Management. She was appointed President and Chief Operating Officer in 2011 and named Chief Executive Officer in 2013. Prior to joining Alba Therapeutics, Ms. Perrow held senior executive marketing positions with private and public pharmaceutical companies. From 2004 to 2007, she was Vice President of Marketing for Sigma-Tau Pharmaceuticals, Inc. From 1989 to 2003, Ms. Perrow held positions at Merck and Co., Inc. in marketing promotion, international business research analysis, training, and sales. Ms. Perrow began her career in a division of Johnson &amp; Johnson.</w:t>
        <w:br/>
        <w:br/>
        <w:t>Ms. Perrow holds a bachelor's degree from Eastern Illinois University and a Masters of Business Administration degree in finance and marketing from Duke University - The Fuqua School of Business.</w:t>
        <w:br/>
        <w:br/>
        <w:t>About Bioanalytical Systems, Inc.</w:t>
        <w:br/>
        <w:br/>
        <w:t>BASi is a pharmaceutical development company providing contract research services and monitoring instruments to the world's leading drug development companies and medical research organizations. BASi focuses on developing innovative services and products that increase efficiency and reduce the cost of taking new drugs to market. Visit www.BASinc.com for more information about BASi.</w:t>
        <w:br/>
        <w:br/>
        <w:t xml:space="preserve">View source version on businesswire.com: http://www.businesswire.com/news/home/20151214005800/en/ </w:t>
        <w:br/>
        <w:br/>
        <w:br/>
        <w:t xml:space="preserve"> </w:t>
        <w:br/>
        <w:t xml:space="preserve">    CONTACT:    Bioanalytical Systems, Inc. </w:t>
        <w:br/>
        <w:br/>
        <w:t>Jeffrey Potrzebowski, 765-497-8409</w:t>
        <w:br/>
        <w:br/>
        <w:t>Chief Financial Officer &amp; Vice President of Finance</w:t>
        <w:br/>
        <w:br/>
        <w:t>jpotrzebowski@BASinc.com</w:t>
        <w:br/>
        <w:br/>
        <w:t>14 Dec 2015 10:30 ET *BASi Names Wendy Perrow To Bd Of Directors</w:t>
        <w:br/>
        <w:br/>
        <w:t>(MORE TO FOLLOW) Dow Jones Newswires (212-416-2800)</w:t>
        <w:br/>
        <w:br/>
        <w:t>December 14, 2015 10:30 ET (15:30 GMT)</w:t>
      </w:r>
    </w:p>
    <w:p>
      <w:pPr>
        <w:pStyle w:val="Heading1"/>
      </w:pPr>
      <w:r>
        <w:t>End of Article 19</w:t>
      </w:r>
    </w:p>
    <w:p>
      <w:r>
        <w:br w:type="page"/>
      </w:r>
    </w:p>
    <w:p>
      <w:pPr>
        <w:pStyle w:val="Heading1"/>
      </w:pPr>
      <w:r>
        <w:t>Start of Article 20</w:t>
      </w:r>
    </w:p>
    <w:p>
      <w:pPr>
        <w:pStyle w:val="Heading1"/>
      </w:pPr>
      <w:r>
        <w:t>Document ID ATPHAM0020150602eb5t00030</w:t>
      </w:r>
    </w:p>
    <w:p>
      <w:r>
        <w:t>As previously announced on May 6, 2015, Alexion and Synageva entered into a definitive agreement pursuant to which Alexion would acquire Synageva for consideration of $115 in cash and 0.6581 Alexion shares, for each share of Synageva, implying a total per share value of $230 based on the nine day volume-weighted average closing price of Alexion stock through May 5, 2015. Termination of the HSR Act waiting period satisfies one of the conditions to closing of the proposed transaction. The closing of the transaction remains subject to other customary closing conditions, including the effectiveness of Alexion's Registration Statement on Form S-4, which was initially filed with the SEC on May 22, 2015, and the tender of a majority of the outstanding shares of Synageva common stock. Subject to the satisfaction of the other conditions to closing, the transaction is expected to close in mid-2015.</w:t>
        <w:br/>
        <w:br/>
        <w:t>Source: Alexion Pharmaceuticals</w:t>
      </w:r>
    </w:p>
    <w:p>
      <w:pPr>
        <w:pStyle w:val="Heading1"/>
      </w:pPr>
      <w:r>
        <w:t>End of Article 20</w:t>
      </w:r>
    </w:p>
    <w:p>
      <w:r>
        <w:br w:type="page"/>
      </w:r>
    </w:p>
    <w:p>
      <w:pPr>
        <w:pStyle w:val="Heading1"/>
      </w:pPr>
      <w:r>
        <w:t>Start of Article 21</w:t>
      </w:r>
    </w:p>
    <w:p>
      <w:pPr>
        <w:pStyle w:val="Heading1"/>
      </w:pPr>
      <w:r>
        <w:t>Document ID BNZNGA0020150326eb3q0005m</w:t>
      </w:r>
    </w:p>
    <w:p>
      <w:r>
        <w:t>About IGI Laboratories, Inc.</w:t>
        <w:br/>
        <w:br/>
        <w:t>IGI Laboratories is a specialty generic pharmaceutical company.  Our mission is to be a leading player in the specialty generic prescription drug market.</w:t>
        <w:br/>
        <w:br/>
        <w:t>Forward-Looking Statements</w:t>
        <w:br/>
        <w:br/>
        <w:t>This press release includes certain "forward-looking statements" within the meaning of the Private Securities Litigation Reform Act of 1995. These forward-looking statements include, but are not limited to, plans, objectives, expectations and intentions, and other statements contained in this</w:t>
        <w:br/>
        <w:br/>
        <w:t>See full press release</w:t>
        <w:br/>
        <w:br/>
        <w:t>© 2015 Benzinga.com. Benzinga does not provide investment advice. All rights reserved.</w:t>
      </w:r>
    </w:p>
    <w:p>
      <w:pPr>
        <w:pStyle w:val="Heading1"/>
      </w:pPr>
      <w:r>
        <w:t>End of Article 21</w:t>
      </w:r>
    </w:p>
    <w:p>
      <w:r>
        <w:br w:type="page"/>
      </w:r>
    </w:p>
    <w:p>
      <w:pPr>
        <w:pStyle w:val="Heading1"/>
      </w:pPr>
      <w:r>
        <w:t>Start of Article 22</w:t>
      </w:r>
    </w:p>
    <w:p>
      <w:pPr>
        <w:pStyle w:val="Heading1"/>
      </w:pPr>
      <w:r>
        <w:t>Document ID PZON000020150630eb6u0003c</w:t>
      </w:r>
    </w:p>
    <w:p>
      <w:r>
        <w:t>EASTERN DISTRICT OF PENNSYLVANIA</w:t>
        <w:br/>
        <w:br/>
        <w:t>Frater v. Hemispherx Biopharma, Inc., et al.</w:t>
        <w:br/>
        <w:br/>
        <w:t>No. 2:12-CV-07152 WY</w:t>
        <w:br/>
        <w:br/>
        <w:t>SUMMARY NOTICE OF PENDENCY OF CLASS ACTION AND PROPOSED</w:t>
        <w:br/>
        <w:br/>
        <w:t>SETTLEMENT, SETTLEMENT FAIRNESS HEARING, AND MOTION FOR AWARD</w:t>
        <w:br/>
        <w:br/>
        <w:t>OF ATTORNEYS' FEES AND REIMBURSEMENT OF LITIGATION EXPENSES</w:t>
        <w:br/>
        <w:br/>
        <w:t>TO: All persons and entities who purchased or otherwise acquired Hemispherx Biopharma, Inc. ("Hemispherx") common stock trading under ticker symbol HEB from March 14, 2012 through and including December 20, 2012, both dates inclusive (the "Class Period"). EXCLUDED FROM THE CLASS ARE DEFENDANTS, THE OFFICERS AND DIRECTORS OF HEMISPHERX, AND THEIR FAMILIES AND AFFILIATES.</w:t>
        <w:br/>
        <w:br/>
        <w:t>NEW YORK, June 30, 2015 (GLOBE NEWSWIRE) -- YOU ARE HEREBY NOTIFIED, pursuant to Rule 23 of the Federal Rules of Civil Procedure and an Order of the United States District Court for the Eastern District of Pennsylvania, that a hearing will be held on July 22, 2015 at 9:30 a.m., before the Honorable William H. Yohn Jr. United States District Judge, at the courthouse for the United States District Court for the Eastern District of Pennsylvania, 601 Market Street, Philadelphia, PA 19106, to determine, among other things, whether: (1) a Settlement Class should be certified for purposes of the Settlement and whether Lead Plaintiff and its counsel have adequately represented the Class Members; (2) the proposed Settlement of the Class's claims against the Defendants for $2,750,000.00 should be approved as fair, reasonable and adequate; (3) the proposed Plan of Allocation is fair, just, reasonable, and adequate; (4) the Court should permanently enjoin the assertion of any claims that arise from or relate to the subject matter of the above-captioned class action ("the Action"); (5) the Action should be dismissed with prejudice against the Defendants as set forth in the Stipulation of Settlement filed with the Court; (6) the application by Lead Counsel for an award of attorneys' fees and expenses should be approved; and (7) an application for reimbursement of reasonable costs and expenses of Lead Plaintiff Member Marc Verheyen should be granted.</w:t>
        <w:br/>
        <w:br/>
        <w:t>If you purchased or otherwise acquired Hemispherx common stock trading under ticker symbol HEB during the Class Period, your rights may be affected by this Action and the Settlement thereof. If you have not received the detailed Notice of Pendency of Class Action and Proposed Settlement, Settlement Fairness Hearing, and Motion for Award of Attorneys' Fees and Reimbursement of Litigation Expenses (the "Notice") and Proof of Claim and Release Form, you may obtain them free of charge by contacting the Claims Administrator, by mail at: Hemispherx Securities Settlement Administrator, PO Box 30172 College Station, TX 77842-3172; by telephone at 866-374-7219; by e-mail at Info@HemispherxSettlement.com; or by visiting the website at: www.HemispherxSettlement.com.</w:t>
        <w:br/>
        <w:br/>
        <w:t>If you are a member of the Class and wish to share in the Settlement money, you must submit a Proof of Claim no later than August 21, 2015 establishing that you are entitled to recovery. As further described in the Notice, you will be bound by any judgment entered in the Action, regardless of whether you submit a Proof of Claim, unless you exclude yourself from the Class, in accordance with the procedures set forth in the Notice, by no later than July 8, 2015. Any objections to the Settlement, Plan of Allocation or attorney's fees and expenses must be filed, in accordance with the procedures set forth in the Notice, no later than July 8, 2015.</w:t>
        <w:br/>
        <w:br/>
        <w:t>Inquiries, other than requests for the Notice, may be made to Lead Counsel for the Class: Joshua B. Silverman, Pomerantz LLP, 10 South La Salle Street, Ste. 3505, Chicago, IL 60603, Telephone: 312-377-1181</w:t>
        <w:br/>
        <w:br/>
        <w:t>INQUIRIES SHOULD NOT BE DIRECTED TO THE COURT, THE</w:t>
        <w:br/>
        <w:br/>
        <w:t>CLERK'S OFFICE, THE DEFENDANTS, OR DEFENDANTS' COUNSEL</w:t>
        <w:br/>
        <w:br/>
        <w:t>DATED: May 7, 2015 BY ORDER OF THE UNITED STATES</w:t>
        <w:br/>
        <w:br/>
        <w:t>DISTRICT COURT FOR THE EASTERN</w:t>
        <w:br/>
        <w:br/>
        <w:t>DISTRICT OF PENNSYVLIANIA</w:t>
        <w:br/>
        <w:br/>
        <w:t>The Pomerantz Firm, with offices in New York, Chicago, Florida, and Los Angeles, is acknowledged as one of the premier firms in the areas of corporate, securities, and antitrust class litigation. Founded by the late Abraham L. Pomerantz, known as the dean of the class action bar, the Pomerantz Firm pioneered the field of securities class actions. Today, more than 70 years later, the Pomerantz Firm continues in the tradition he established, fighting for the rights of the victims of securities fraud, breaches of fiduciary duty, and corporate misconduct. The Firm has recovered numerous multimillion-dollar damages awards on behalf of class members. See www.pomerantzlaw.com.</w:t>
        <w:br/>
        <w:br/>
        <w:br/>
        <w:t xml:space="preserve">Robert S. Willoughby </w:t>
        <w:br/>
        <w:t xml:space="preserve">Pomerantz LLP </w:t>
        <w:br/>
        <w:t xml:space="preserve">rswilloughby@pomlaw.com </w:t>
      </w:r>
    </w:p>
    <w:p>
      <w:pPr>
        <w:pStyle w:val="Heading1"/>
      </w:pPr>
      <w:r>
        <w:t>End of Article 22</w:t>
      </w:r>
    </w:p>
    <w:p>
      <w:r>
        <w:br w:type="page"/>
      </w:r>
    </w:p>
    <w:p>
      <w:pPr>
        <w:pStyle w:val="Heading1"/>
      </w:pPr>
      <w:r>
        <w:t>Start of Article 23</w:t>
      </w:r>
    </w:p>
    <w:p>
      <w:pPr>
        <w:pStyle w:val="Heading1"/>
      </w:pPr>
      <w:r>
        <w:t>Document ID PBRELS0020150601eb5p00002</w:t>
      </w:r>
    </w:p>
    <w:p>
      <w:r>
        <w:t>Website: http://www.pharmaceutical-business-review.com/</w:t>
      </w:r>
    </w:p>
    <w:p>
      <w:pPr>
        <w:pStyle w:val="Heading1"/>
      </w:pPr>
      <w:r>
        <w:t>End of Article 23</w:t>
      </w:r>
    </w:p>
    <w:p>
      <w:r>
        <w:br w:type="page"/>
      </w:r>
    </w:p>
    <w:p>
      <w:pPr>
        <w:pStyle w:val="Heading1"/>
      </w:pPr>
      <w:r>
        <w:t>Start of Article 24</w:t>
      </w:r>
    </w:p>
    <w:p>
      <w:pPr>
        <w:pStyle w:val="Heading1"/>
      </w:pPr>
      <w:r>
        <w:t>Document ID DJDN000020150728eb7s002si</w:t>
      </w:r>
    </w:p>
    <w:p>
      <w:r>
        <w:t>PR Newswire</w:t>
        <w:br/>
        <w:br/>
        <w:t>MENLO PARK, Calif., July 28, 2015</w:t>
        <w:br/>
        <w:br/>
        <w:t>MENLO PARK, Calif., July 28, 2015 /PRNewswire/ -- Nevro Corp. (NYSE: NVRO), a global medical device company that is providing innovative evidence-based solutions for the treatment of chronic pain, today announced the publication of the SENZA-RCT results in the Online First edition of Anesthesiology, the official Journal of the American Society of Anesthesiologists.</w:t>
        <w:br/>
        <w:br/>
        <w:t>The SENZA-RCT pivotal study was a ground-breaking study that was the first to directly compare spinal cord stimulation (SCS) therapies. The multicenter study compared the safety and effectiveness of HF10(TM) therapy to traditional SCS therapy. The study enrolled 241 patients across 11 U.S. clinical trial sites (171 patients received SCS implants at 10 sites), making it the largest prospective randomized SCS study ever conducted to assess the treatment of chronic back and leg pain.</w:t>
        <w:br/>
        <w:br/>
        <w:t>The Senza(R) SCS system received FDA approval in May of 2015. The results of the SENZA-RCT, first presented at the North American Neuromodulation Society meeting in December of 2014, provided the evidentiary basis for HF10 therapy's superiority labeling from FDA, a first in the SCS space. Additional information, including 18-month data from the SENZA-RCT, will be presented at the Annual Scientific Meeting of the International Spine Intervention Society on July 29(th) , 2015.</w:t>
        <w:br/>
        <w:br/>
        <w:t>The full SENZA-RCT publication is available by subscription at http://anesthesiology.pubs.asahq.org/onlinefirst.aspx.</w:t>
        <w:br/>
        <w:br/>
        <w:t>About the Senza System and HF10 Therapy</w:t>
        <w:br/>
        <w:br/>
        <w:t>The Senza system is the only SCS system that delivers Nevro's proprietary HF10 therapy, an SCS therapy that provides electrical pulses to the spinal cord to alleviate pain. The electrical pulses are delivered by small electrodes on leads that are placed near the spinal cord and are connected to a compact, battery-powered generator implanted under the skin. HF10 therapy is the only SCS therapy indicated to provide pain relief without paresthesia (a stimulation-induced sensation, such as tingling or buzzing, which is the basis of traditional SCS) and is also the first SCS therapy to demonstrate superiority to traditional SCS for back and leg pain in a comparative pivotal study. Nevro's innovations in SCS, including the Senza(R) system and HF10(TM) therapy, are covered by more than 75 issued U.S. and international patents.</w:t>
        <w:br/>
        <w:br/>
        <w:t>About Nevro</w:t>
        <w:br/>
        <w:br/>
        <w:t>Headquartered in Menlo Park, California, Nevro is a global medical device company focused on providing innovative products that improve the quality of life of patients suffering from debilitating chronic pain. Nevro has developed and commercialized the Senza spinal cord stimulation (SCS) system, an evidence-based neuromodulation platform for the treatment of chronic pain. The Senza system is the only SCS system that delivers Nevro's proprietary HF10 therapy. Senza, HF10, Nevro and the Nevro logo are trademarks of Nevro.</w:t>
        <w:br/>
        <w:br/>
        <w:t>Investor Relations Contact:</w:t>
        <w:br/>
        <w:br/>
        <w:t>Westwicke Partners</w:t>
        <w:br/>
        <w:br/>
        <w:t>Lynn Pieper</w:t>
        <w:br/>
        <w:br/>
        <w:t>(415) 202-5678</w:t>
        <w:br/>
        <w:br/>
        <w:t>Lynn.pieper@westwicke.com</w:t>
        <w:br/>
        <w:br/>
        <w:t>To view the original version on PR Newswire, visit:http://www.prnewswire.com/news-releases/nevro-announces-publication-of-senza-rct-results-in-anesthesiology-300119901.html</w:t>
        <w:br/>
        <w:br/>
        <w:t>SOURCE Nevro Corp.</w:t>
        <w:br/>
        <w:br/>
        <w:t>/Web site: http://www.nevro.com</w:t>
        <w:br/>
        <w:br/>
        <w:t>(END) Dow Jones Newswires</w:t>
        <w:br/>
        <w:br/>
        <w:t>July 28, 2015 13:29 ET (17:29 GMT)</w:t>
      </w:r>
    </w:p>
    <w:p>
      <w:pPr>
        <w:pStyle w:val="Heading1"/>
      </w:pPr>
      <w:r>
        <w:t>End of Article 24</w:t>
      </w:r>
    </w:p>
    <w:p>
      <w:r>
        <w:br w:type="page"/>
      </w:r>
    </w:p>
    <w:p>
      <w:pPr>
        <w:pStyle w:val="Heading1"/>
      </w:pPr>
      <w:r>
        <w:t>Start of Article 25</w:t>
      </w:r>
    </w:p>
    <w:p>
      <w:pPr>
        <w:pStyle w:val="Heading1"/>
      </w:pPr>
      <w:r>
        <w:t>Document ID PBRELS0020150424eb4l00001</w:t>
      </w:r>
    </w:p>
    <w:p>
      <w:r>
        <w:t>Website: http://www.pharmaceutical-business-review.com/</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D993358-B512-4D09-AB1A-BAF695D0E9C9}"/>
</file>

<file path=customXml/itemProps3.xml><?xml version="1.0" encoding="utf-8"?>
<ds:datastoreItem xmlns:ds="http://schemas.openxmlformats.org/officeDocument/2006/customXml" ds:itemID="{9182C49B-FF02-41B6-A48B-09D2EE7CB567}"/>
</file>

<file path=customXml/itemProps4.xml><?xml version="1.0" encoding="utf-8"?>
<ds:datastoreItem xmlns:ds="http://schemas.openxmlformats.org/officeDocument/2006/customXml" ds:itemID="{2AE7B2AC-1227-42BC-B402-0E2FEB5B1DD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