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HOU0000020150623eb6k00027</w:t>
      </w:r>
    </w:p>
    <w:p>
      <w:r>
        <w:t>MONTERREY - Authorities say at least 10 people are dead after armed men attacked a beer distribution center on the outskirts of the northern city of Monterrey.</w:t>
        <w:br/>
        <w:br/>
        <w:t>A state government official said the attackers invaded the property, demanded money from the workers and then started shooting.</w:t>
        <w:br/>
        <w:br/>
        <w:t>Seven people died at the scene, and three more in a hospital. The victims were all believed to be employees.</w:t>
        <w:br/>
        <w:br/>
        <w:t>health</w:t>
        <w:br/>
        <w:br/>
        <w:t>Ebola treatment expected to fail in clinical trial</w:t>
        <w:br/>
        <w:br/>
        <w:t>Drugmaker Tekmira said Friday that an experimental treatment for a strain of Ebola probably will fail in a clinical trial.</w:t>
        <w:br/>
        <w:br/>
        <w:t>The Canadian company said the mid-stage study reached a statistical futility boundary, meaning it's unlikely the trial will show the drug worked. Tekmira said it stopped enrolling new patients as a result. It is analyzing data from the trial and will make the results available as soon as possible.</w:t>
        <w:br/>
        <w:br/>
        <w:t>Tekmira Pharmaceuticals Corp. calls the drug TKM-Ebola-Guinea and it is designed to target the strain of the virus that is responsible for the active outbreak in West Africa. More than 11,000 people have died since that outbreak began in 2013.</w:t>
      </w:r>
    </w:p>
    <w:p>
      <w:pPr>
        <w:pStyle w:val="Heading1"/>
      </w:pPr>
      <w:r>
        <w:t>End of Article 1</w:t>
      </w:r>
    </w:p>
    <w:p>
      <w:r>
        <w:br w:type="page"/>
      </w:r>
    </w:p>
    <w:p>
      <w:pPr>
        <w:pStyle w:val="Heading1"/>
      </w:pPr>
      <w:r>
        <w:t>Start of Article 2</w:t>
      </w:r>
    </w:p>
    <w:p>
      <w:pPr>
        <w:pStyle w:val="Heading1"/>
      </w:pPr>
      <w:r>
        <w:t>Document ID KHALEJ0020151106ebb50005q</w:t>
      </w:r>
    </w:p>
    <w:p>
      <w:r>
        <w:t>Phentolamine will be the third product previously marketed by Bedford Laboratories to be launched by Hikma in the United States, and is the first Bedford product to be approved from Hikma s Portuguese facility. Phentolamine is also currently on the FDA s Drug Shortages list.</w:t>
        <w:br/>
        <w:br/>
        <w:t>Said Darwazah, Chairman and CEO of Hikma said, We are making good progress with the transfer of the Bedford products to our manufacturing facilities, leveraging our strong R&amp;D, regulatory and manufacturing capabilities. We are very pleased to be launching phentolamine in the US market and remain committed to prioritising the re-introduction of Bedford products for patients in need.</w:t>
      </w:r>
    </w:p>
    <w:p>
      <w:pPr>
        <w:pStyle w:val="Heading1"/>
      </w:pPr>
      <w:r>
        <w:t>End of Article 2</w:t>
      </w:r>
    </w:p>
    <w:p>
      <w:r>
        <w:br w:type="page"/>
      </w:r>
    </w:p>
    <w:p>
      <w:pPr>
        <w:pStyle w:val="Heading1"/>
      </w:pPr>
      <w:r>
        <w:t>Start of Article 3</w:t>
      </w:r>
    </w:p>
    <w:p>
      <w:pPr>
        <w:pStyle w:val="Heading1"/>
      </w:pPr>
      <w:r>
        <w:t>Document ID HAMW000020150213eb2k00405</w:t>
      </w:r>
    </w:p>
    <w:p>
      <w:r>
        <w:t>The serial number for this application is 78182164.</w:t>
        <w:br/>
        <w:br/>
        <w:t>As submitted by the applicant, this trademark application relates to the following goods and services: Stents and stent delivery systems.</w:t>
        <w:br/>
        <w:br/>
        <w:t>The owner/registrar information for this application is: Luke Dohmen, Boston Scientific, One Scimed Place, Maple Grove MN 55311.</w:t>
        <w:br/>
        <w:br/>
        <w:t>Keywords for this news article include: Trademarks, Boston Scientific, Biotechnology Companies.</w:t>
        <w:br/>
        <w:br/>
        <w:t>Our reports deliver fact-based news of research and discoveries from around the world. Copyright 2015, NewsRx LLC</w:t>
      </w:r>
    </w:p>
    <w:p>
      <w:pPr>
        <w:pStyle w:val="Heading1"/>
      </w:pPr>
      <w:r>
        <w:t>End of Article 3</w:t>
      </w:r>
    </w:p>
    <w:p>
      <w:r>
        <w:br w:type="page"/>
      </w:r>
    </w:p>
    <w:p>
      <w:pPr>
        <w:pStyle w:val="Heading1"/>
      </w:pPr>
      <w:r>
        <w:t>Start of Article 4</w:t>
      </w:r>
    </w:p>
    <w:p>
      <w:pPr>
        <w:pStyle w:val="Heading1"/>
      </w:pPr>
      <w:r>
        <w:t>Document ID DJDN000020150707eb77002sk</w:t>
      </w:r>
    </w:p>
    <w:p>
      <w:r>
        <w:t>13:35 EDT - Flex Pharma (FLKS) reports a consumer beverage it is developing reduced muscle cramps by 50% in a study of 23 cramp-prone athletes. The benefit was based on comparing cramps during two weeks of workouts with and without the drink. Now FLKS wants to confirm the findings in a placebo-controlled trial. Why bother? asks Piper Jaffray. Only picky biotech investors care about placebo trials, the investment bank muses. It says stick with simpler, less-risky comparison studies which "will resonate" with athletes. The beverage isn't a drug; in a previous job, FLKS' consumer chief didn't need a placebo-controlled trial "to turn Svedka into a leading vodka brand," notes Piper. FLKS plans to launch the drink in 1H. Shares are slightly higher today. (ron.winslow@wsj.com; @ronwinslow)</w:t>
        <w:br/>
        <w:br/>
        <w:t>13:34 EDT - UBS hops aboard Kansas City Southern (KSU) saying a valuation "reset has largely played out." It ups KSU to buy from neutral pointing to its underperformace against its peers and a relative P/E well below the long term averages of both the S&amp;P and the rail group. With the stock down 22% YTD, UBS thinks shares are now attractive for several reasons including the fact that KSU's coal exposure is declining while long term growth drivers remain intact. Expansion of Mexico's largest seaport plus output from new auto plants there should play into the recovery scenario as should demand from new plastics plants expected to open in the Gulf Coast region in 2017. KSU is up 2.8% at $94.20. (patrick.sheridan@wsj.com; @patmsheridan)</w:t>
        <w:br/>
        <w:br/>
        <w:t>13:32 EDT - Showtime officially launches its stand-alone streaming service, giving consumers the opportunity to subscribe to the CBS-owned offering without first having to buy large packages of cable channels. The Showtime service is currently available on Apple TV and other Apple (AAPL) devices as well as the Roku streaming platform. The $10.99/month price also includes access to Showtime library content. Rival HBO, owned by Time Warner (TWX), launched a similar service earlier this year. (joseph.flint@wsj.com; @JBFlint)</w:t>
        <w:br/>
        <w:br/>
        <w:t>13:26 EDT - AI is becoming a hot business. So hot, in fact, it's now got its own nickname: AIAAS--that's Artificial Intelligence as a Service. Amazon (AMZN) is offering developers without AI skills its machine-learning software, which can run predictions on huge data sets of everything from market prices to future clothing trends. Narrative Science, an AI company from Chicago, is offering newspapers a robot-storywriting service based on sports and market data. Yseop, a business-intelligence firm, offers enterprises a quick turnaround of insights gleaned from massive amounts of data. "Businesses wouldn't use a Rolodex to manage contacts or a fax machine for real-time interoffice communication, so why are some still relying on manually written BI reports to understand data?" says Yseop marketing exec Arden Manning. (amir.mizroch@wsj.com; @amirmizroch)</w:t>
        <w:br/>
        <w:br/>
        <w:t>13:22 EDT - The movie business is famously hit-driven. But a blockbuster can also go a long way in the book business. Take Barnes &amp; Noble (BKS). It is rolling out the red carpet for next Tuesday's release of "Go Set a Watchman" by Harper Lee. The bookseller's stores will host a "read-a-thon" of her classic "To Kill a Mockingbird" on Monday and open early the next day. Customers purchasing "Watchman" before 10am will receive a free coffee, with the first 20 getting a reusable tote bag. While not exactly an Oscars goodie bag, that may still seem a lot of hoopla. But "Watchman" has been BKS' most pre-ordered book this year. Moreover, history shows a hit novel can have a big impact on the company's results; in August 2012, it cited the "Fifty Shades of Grey" series as a reason for strong retail revenue growth. Of course, what a hit book giveth, it can also taketh away. A year later, BKS blamed a sharp retail-revenue decrease in part on a dearth of new titles matching "Grey." Perhaps the tote bag will encourage "Watchman" fans to keep stocking up. (miriam.gottfried@wsj.com; @miriamgottfried)</w:t>
        <w:br/>
        <w:br/>
        <w:t>13:18 EDT - Investors yesterday sneered at Humana's (HUM) deal to sell to Aetna (AET), bumping up the stock a smidge to $188.96 when the offer at day's end was worth $223.35/share. Amid today's broader market drop, HUM is outpacing the declines with its 1.3% fall to $186.47, putting the stock below Thursday's close of $187.50. Essentially, right now HUM shareholders were better off before the holiday-weekend deal than they are today. Meanwhile, AET is down another 2.4%, at $114.60. That cuts the deal value to $220.98. (jamie.heller@wsj.com; @jamieheller)</w:t>
        <w:br/>
        <w:br/>
        <w:t>13:12 EDT - The lingering downturn in crude prices could exacerbate a looming problem for the oil-and-gas industry: replacing the large number of baby boomers likely to retire the next few years. "Given the carnage currently unfolding, it will be difficult to attract a new labor pool back into the industry," says Simmons &amp; Co. It's an issue, in large part, because of the many jobs lost during the 1980s' oil bust. Few later re-entered the field, leading to a small pool of mid-career professionals working in the space today. (erin.ailworth@wsj.com; @ailworth)</w:t>
        <w:br/>
        <w:br/>
        <w:t>13:09 EDT - A $24B sale of 3-year Treasurys drew mixed demand at a time US stocks were paring their a selloff. The auctioned yield--0.932%--is the lowest since April for a 3-year sale, and that dented some buying interest. Overall demand--a 3.16 bid-to-cover ratio--was the lowest since August. But the direct bid at 13.9% was the most since January. Indirect remained decent at 47.4%, though that was lower than the 51.1% average of the past 4 sales. The rally in the bond market also eases a bit--the 10-year yield is at 2.224% versus 2.28% Monday. (min.zeng@wsj.com; @minzengwsj)</w:t>
        <w:br/>
        <w:br/>
        <w:t>13:06 EDT - Puerto Rico's $72B in debt is 1/4 of Greece's level, but BlackRock's Jeffrey Rosenberg notes a debt restructuring for the former would have greater significance to US retailer investors due to the concentrated nature of such folks in muni bonds. Puerto Rico is that market's 6th-biggest issuer, and given its triple tax-exempt status the island's debt is found in a disproportionate amount of US investors' fixed-income portfolios. (daisy.maxey@wsj.com; @DaisyMaxey)</w:t>
        <w:br/>
        <w:br/>
        <w:t>13:03 EDT - General Mills (GIS) is joining a growing list of food companies pledging to buy eggs only from cage-free hens in the US amid growing pressure from consumer groups over the egg industry's decades-long use of small cages to house birds. GIS says in a new animal-welfare policy that it can't yet give a timeline for the change. It notes the recent avian-flu outbreak that has curtailed US egg supplies "has been deeply disruptive" to suppliers, so it will work with them on a "reasonable timeline toward this commitment." The company uses eggs in a variety of its packaged-food products, such as Pillsbury cookie dough. Starbucks, Nestle, Aramark and other food providers previously announced plans to move away from "caged" eggs. (david.kesmodel@wsj.com; @davidkesmodel)</w:t>
        <w:br/>
        <w:br/>
        <w:t>13:00 EDT - America's 3 major Macau-exposed casino stocks get off the mat today despite the broader market's slide as Credit Suisse calls a bottom to the sharp gambling declines seen on the Chinese island the past year. "We see a fundamental shift towards supportive policy (from both Macau and the central government), and seasonally stronger months are ahead." With lots of bad news already priced in, the investment bank upgrades MGM, WYNN and Sands (LVS) to outperform as it expects Macau gambling revenue to rebound faster in 2016 than it previously did. MGM and LVS climb 3% while WYNN jumps 5% to sit atop the S&amp;P 500. (kevin.kingsbury@wsj.com; @kevinkingsbury)</w:t>
        <w:br/>
        <w:br/>
        <w:t>(END) Dow Jones Newswires</w:t>
        <w:br/>
        <w:br/>
        <w:t>July 07, 2015 13:39 ET (17:39 GMT)</w:t>
      </w:r>
    </w:p>
    <w:p>
      <w:pPr>
        <w:pStyle w:val="Heading1"/>
      </w:pPr>
      <w:r>
        <w:t>End of Article 4</w:t>
      </w:r>
    </w:p>
    <w:p>
      <w:r>
        <w:br w:type="page"/>
      </w:r>
    </w:p>
    <w:p>
      <w:pPr>
        <w:pStyle w:val="Heading1"/>
      </w:pPr>
      <w:r>
        <w:t>Start of Article 5</w:t>
      </w:r>
    </w:p>
    <w:p>
      <w:pPr>
        <w:pStyle w:val="Heading1"/>
      </w:pPr>
      <w:r>
        <w:t>Document ID KRTLM00020150927eb9r00002</w:t>
      </w:r>
    </w:p>
    <w:p>
      <w:r>
        <w:t>There is no generic.</w:t>
        <w:br/>
        <w:br/>
        <w:t>GlaxoSmithKline was selling the drug for about $1 a tablet. In 2010, GlaxoSmithKline sold Daraprim to CorePharma. CorePharma promptly raised the price to $13.5o a tablet for a pill that costs less than $1 to manufacture. In August, Turing purchased the drug and last week increased the price of the drug to at least $750 a pill.</w:t>
        <w:br/>
        <w:br/>
        <w:t>And then it happened.</w:t>
        <w:br/>
        <w:br/>
        <w:t>Leftists across the nation erupted in that sanctimonious shrill fury they unleash every time it some behaves in a fashion contrary to what their warped perceptions of what is proper.</w:t>
        <w:br/>
        <w:br/>
        <w:t>These whiny leftists, just like a broken record, defamed capitalism and called for more government regulations.</w:t>
        <w:br/>
        <w:br/>
        <w:t>After the outrage from the left, Turing agreed to lower the price.</w:t>
        <w:br/>
        <w:br/>
        <w:t>However, once the facts are examined, a different picture emerges.</w:t>
        <w:br/>
        <w:br/>
        <w:t>The drug, while on the World Health Organization's List of Essential Medicines, is not in much demand in the United States. Last year, there were only 8,821 prescriptions for the drug. So right from the outset very few people were going to be affected by the price increase.</w:t>
        <w:br/>
        <w:br/>
        <w:t>Additionally, the company is participating in the 340B Drug Pricing Program, which guarantees that Medicaid patients and hospitals who service those patients will get the drug at a greatly reduced price. The company has also agreed to provide the drug free or at discounted prices to those who can't afford it.</w:t>
        <w:br/>
        <w:br/>
        <w:t>In essence, the only people who will actually pay the full price for the drug are the ones who can afford it. Isn't that what the leftists want, i.e., make the rich pay more?</w:t>
        <w:br/>
        <w:br/>
        <w:t>Another fact leftists ignore is that this drug is not the only drug available. If one can't afford this drug, there are cheaper alternatives.</w:t>
        <w:br/>
        <w:br/>
        <w:t>Several antibiotics, including clindamycin, spiramycin, minocycline, and atovaquone, are available. Furthermore, most of these products are significantly less expensive than pyrimethamine. Clindamycin, for example, costs somewhere between 50 cents to slightly more than $3 per tablet.</w:t>
        <w:br/>
        <w:br/>
        <w:t>The real tragedy, though, is how government interference has pretty much prevented the market from effectively dealing with the price increase.</w:t>
        <w:br/>
        <w:br/>
        <w:t>Normally, in an unfettered free market, if a drug company raised its price more than 5,000 percent, another company would step in and offer a generic version of the drug. There is nothing legally stopping a company from manufacturing a generic version of pyrimethamine.</w:t>
        <w:br/>
        <w:br/>
        <w:t>However, Food and Drug Administration regulations related to bringing a drug to market, even a generic copy, are onerous, costly and time consuming.</w:t>
        <w:br/>
        <w:br/>
        <w:t>A generic might be profitable, but not if a company has to comply with the costly FDA regulations to bring a low-demand drug to market. In essence, government regulations shield Turing from competition and allow it to raise its prices with impunity.</w:t>
        <w:br/>
        <w:br/>
        <w:t>Finally, leftists miss the basic economics involved. Drug companies must make a profit if they are to research new and better drugs. They can't simply give them away. They need the money for research. The money also serves as an incentive to create more life-saving drugs.</w:t>
        <w:br/>
        <w:br/>
        <w:t>If a cure for cancer is found, it will be because some drug company took a risk and spent a large amount of money researching the problem in hopes of a payout later.</w:t>
        <w:br/>
        <w:br/>
        <w:t>That is how we all are. None of us want to, or should, work for free, even if what we do is essential.</w:t>
        <w:br/>
        <w:br/>
        <w:t>Unfortunately your average leftist has an entitlement attitude: They want paid for their own work, but hope to benefit from the labor of others without paying for it.</w:t>
        <w:br/>
        <w:br/>
        <w:t>Thomas J. Lucente Jr. is an Ohio attorney and night editor of The Lima News. Reach him by telephone at 567-242-0398, by email at [email protected], or on Twitter @ThomasLucente.</w:t>
        <w:br/>
        <w:br/>
        <w:t>Tagged with: lucente</w:t>
        <w:br/>
        <w:br/>
        <w:t>-----</w:t>
        <w:br/>
        <w:br/>
        <w:t>___</w:t>
        <w:br/>
        <w:br/>
        <w:t>(c)2015 The Lima News (Lima, Ohio)</w:t>
        <w:br/>
        <w:br/>
        <w:t>Visit The Lima News (Lima, Ohio) at www.limaohio.com</w:t>
        <w:br/>
        <w:br/>
        <w:t>Distributed by Tribune Content Agency, LLC.</w:t>
        <w:br/>
        <w:br/>
        <w:t>Copyright (c) 2015, The Lima News, Ohio</w:t>
      </w:r>
    </w:p>
    <w:p>
      <w:pPr>
        <w:pStyle w:val="Heading1"/>
      </w:pPr>
      <w:r>
        <w:t>End of Article 5</w:t>
      </w:r>
    </w:p>
    <w:p>
      <w:r>
        <w:br w:type="page"/>
      </w:r>
    </w:p>
    <w:p>
      <w:pPr>
        <w:pStyle w:val="Heading1"/>
      </w:pPr>
      <w:r>
        <w:t>Start of Article 6</w:t>
      </w:r>
    </w:p>
    <w:p>
      <w:pPr>
        <w:pStyle w:val="Heading1"/>
      </w:pPr>
      <w:r>
        <w:t>Document ID MDST000020151120ebbk0001r</w:t>
      </w:r>
    </w:p>
    <w:p>
      <w:r>
        <w:t>"The EMPOWR 3D Knee(TM) leverages over 10 years of proven clinical success and a strong history of natural kinematics which have been demonstrated by DJO Surgical's legacy 3DKnee(TM) system," said Brady Shirley, President, DJO Surgical. "We are delighted to showcase the design team's focused efforts which have enabled the commercialization of this total knee system in an extremely expedited timeline, demonstrating our dedication to precision innovation at DJO Surgical."</w:t>
        <w:br/>
        <w:br/>
        <w:t>"The EMPOWR 3D Knee(TM) retains the proven articular surface design of the 3DKnee(TM), which has been shown in over ten years of clinical and laboratory studies to provide patients with stability, durability, strength and range of motion. Randomized trials show this robust design provides the same clinical results whether or not the posterior cruciate ligament is retained. The new EMPOWR 3D Knee(TM) design retains all these functional benefits in a system that is designed to optimally fit patients' anatomy while giving surgeons more intraoperative flexibility and efficiency," said Dr. Scott Banks, Co-Designer of the 3DKnee(TM) and Professor of Mechanical &amp; Aerospace Engineering, University of Florida. Key design features of the EMPOWR 3D Knee(TM) system include: Recreates natural motion throughout the entire range of motion from early flexion to mid flexion and through deep flexion.</w:t>
        <w:br/>
        <w:br/>
        <w:t>Designed with e+ polyethylene, a knee specific formula blended with vitamin E to reduce long-term wear.</w:t>
        <w:br/>
        <w:br/>
        <w:t>Comprehensive, anatomically based implant sizing paired with precise and efficient instrumentation.</w:t>
        <w:br/>
        <w:br/>
        <w:t>For more information on the EMPOWR 3D Knee(TM) please visit: http://www.djoglobal.com/products/djo-surgical/empowr-3d-knee About DJO Global DJO Global is a leading global developer, manufacturer and distributor of high-quality medical devices that provide solutions for musculoskeletal health, vascular health and pain management. The Company's products address the continuum of patient care from injury prevention to rehabilitation after surgery, injury or from degenerative disease, enabling people to regain or maintain their natural motion. Its products are used by orthopedic specialists, spine surgeons, primary care physicians, pain management specialists, physical therapists, podiatrists, chiropractors, athletic trainers and other healthcare professionals. In addition, many of the Company's medical devices and related accessories are used by athletes and patients for injury prevention and at-home physical therapy treatment. The Company's product lines include rigid and soft orthopedic bracing, hot and cold therapy, bone growth stimulators, vascular therapy systems and compression garments, therapeutic shoes and inserts, electrical stimulators used for pain management and physical therapy products. The Company's surgical division offers a comprehensive suite of reconstructive joint products for the hip, knee and shoulder. DJO Global's products are marketed under a portfolio of brands including Aircast(R), Chattanooga, CMF(TM), Compex(R), DonJoy(R), Empi(R), ProCare(R), DJO(R) Surgical, Dr. Comfort(R) and ExosTM. For additional information on the Company, please visit www.DJOGlobal.com. 1Pritchett, J. "Patient Preferences in Knee Prostheses" Journal of Bone &amp; Joint Surgery [Br] Vol. 86-B, 2004. View source version on businesswire.com: http://www.businesswire.com/news/home/20151106005120/en/</w:t>
        <w:br/>
        <w:br/>
        <w:t>Keywords for this news article include: Surgery, Therapy, Technology, Bone Research, DJO Global Inc., Medical Devices.</w:t>
        <w:br/>
        <w:br/>
        <w:t>Our reports deliver fact-based news of research and discoveries from around the world. Copyright 2015, NewsRx LLC</w:t>
      </w:r>
    </w:p>
    <w:p>
      <w:pPr>
        <w:pStyle w:val="Heading1"/>
      </w:pPr>
      <w:r>
        <w:t>End of Article 6</w:t>
      </w:r>
    </w:p>
    <w:p>
      <w:r>
        <w:br w:type="page"/>
      </w:r>
    </w:p>
    <w:p>
      <w:pPr>
        <w:pStyle w:val="Heading1"/>
      </w:pPr>
      <w:r>
        <w:t>Start of Article 7</w:t>
      </w:r>
    </w:p>
    <w:p>
      <w:pPr>
        <w:pStyle w:val="Heading1"/>
      </w:pPr>
      <w:r>
        <w:t>Document ID PHBW000020150709eb790000o</w:t>
      </w:r>
    </w:p>
    <w:p>
      <w:r>
        <w:t>The company has also chosen a new corporate colour - Purple, which is associated with creativity and wisdom. Overall, the new identity speaks of Dr. Reddy's constant endeavour to understand the unmet and under-met needs of patients, and the swift action to solve them.</w:t>
        <w:br/>
        <w:br/>
        <w:t>The objective of the rebranding exercise is to derive a unifying, patient-centric approach, to meet new and daunting challenges that patients are facing. With the healthcare scenario changing rapidly, it is important to be driven by a common goal that adds value to every touch-point for patients and partners alike.</w:t>
        <w:br/>
        <w:br/>
        <w:t>The re-branding will be executed in two stages. In the first phase, the corporate brand has transitioned to the new identity. Phase two will see the new identity transitioning on to the company's product packaging.</w:t>
        <w:br/>
        <w:br/>
        <w:t>The existing logo and brand identity will remain in place and valid until changes that are pertinent to legal processes, documentation and other regulatory or statutory changes are complete.</w:t>
        <w:br/>
        <w:br/>
        <w:t>Commenting on the launch, Satish Reddy, Chairman - Dr. Reddy's Laboratories said, "Over 31 years, Dr. Reddy's has grown from a manufacturer of APIs into a multinational pharmaceutical brand of repute, with operations in over 25 countries. Throughout this journey, we have remained true to our core values, even as we continually transform to keep pace with the changing needs of our patients and partners. Our belief 'Good Health Can't Wait' lends new meaning to our core purpose of accelerating access to affordable and innovative medicines."</w:t>
        <w:br/>
        <w:br/>
        <w:t>G V Prasad, Co Chairman and CEO - Dr. Reddy's Laboratories stated, "Our goal has always been singular: to ensure expensive medicines are within the reach of patients. Our focus has always been the patient. While we have expanded over the years, our purpose has remained unchanged: to bring high quality medicines within the reach of all. Today, we wish to re-dedicate ourselves to that purpose because we believe that for every human being, good health is always the first priority. In simple terms: 'Good Health Can't Wait.'</w:t>
        <w:br/>
        <w:br/>
        <w:t>Keywords for this news article include: Dr. Reddy's Laboratories.</w:t>
        <w:br/>
        <w:br/>
        <w:t>Our reports deliver fact-based news of research and discoveries from around the world. Copyright 2015, NewsRx LLC</w:t>
      </w:r>
    </w:p>
    <w:p>
      <w:pPr>
        <w:pStyle w:val="Heading1"/>
      </w:pPr>
      <w:r>
        <w:t>End of Article 7</w:t>
      </w:r>
    </w:p>
    <w:p>
      <w:r>
        <w:br w:type="page"/>
      </w:r>
    </w:p>
    <w:p>
      <w:pPr>
        <w:pStyle w:val="Heading1"/>
      </w:pPr>
      <w:r>
        <w:t>Start of Article 8</w:t>
      </w:r>
    </w:p>
    <w:p>
      <w:pPr>
        <w:pStyle w:val="Heading1"/>
      </w:pPr>
      <w:r>
        <w:t>Document ID ATPHAM0020150515eb5e0007f</w:t>
      </w:r>
    </w:p>
    <w:p>
      <w:r>
        <w:t>This partnership is a unique opportunity for Bioness to generate awareness and offer rehabilitation solutions to the 76,000 well-informed and influential current APTA members. Bioness' Executive Vice President of Business Development and Marketing, George Gardiner, stated that this partnership will enable increased collaboration between industry and medical professionals challenged with treating millions of patients each year. "As well as opening up new possibilities for therapists who may not have previously used Bioness' award-winning products, this partnership reinforces the importance of physical therapy in promoting long-term patient outcomes."</w:t>
        <w:br/>
        <w:br/>
        <w:t>Through its Strategic Business Partners Program, APTA seeks to enhance business relationships and develop meaningful partnerships with companies by offering services and marketing opportunities that provide benefits to its partners and constituents. As a 2015 Silver Level Partner, Bioness will be able to provide regular updates to the APTA and its members on the latest technology, clinical research and clinical best practices.</w:t>
        <w:br/>
        <w:br/>
        <w:t>Source: Bioness</w:t>
      </w:r>
    </w:p>
    <w:p>
      <w:pPr>
        <w:pStyle w:val="Heading1"/>
      </w:pPr>
      <w:r>
        <w:t>End of Article 8</w:t>
      </w:r>
    </w:p>
    <w:p>
      <w:r>
        <w:br w:type="page"/>
      </w:r>
    </w:p>
    <w:p>
      <w:pPr>
        <w:pStyle w:val="Heading1"/>
      </w:pPr>
      <w:r>
        <w:t>Start of Article 9</w:t>
      </w:r>
    </w:p>
    <w:p>
      <w:pPr>
        <w:pStyle w:val="Heading1"/>
      </w:pPr>
      <w:r>
        <w:t>Document ID DJDN000020151012ebac0024y</w:t>
      </w:r>
    </w:p>
    <w:p>
      <w:r>
        <w:t>October 12, 2015 13:39 ET (17:39 GMT)</w:t>
      </w:r>
    </w:p>
    <w:p>
      <w:pPr>
        <w:pStyle w:val="Heading1"/>
      </w:pPr>
      <w:r>
        <w:t>End of Article 9</w:t>
      </w:r>
    </w:p>
    <w:p>
      <w:r>
        <w:br w:type="page"/>
      </w:r>
    </w:p>
    <w:p>
      <w:pPr>
        <w:pStyle w:val="Heading1"/>
      </w:pPr>
      <w:r>
        <w:t>Start of Article 10</w:t>
      </w:r>
    </w:p>
    <w:p>
      <w:pPr>
        <w:pStyle w:val="Heading1"/>
      </w:pPr>
      <w:r>
        <w:t>Document ID DEALNEW020150316eb390000a</w:t>
      </w:r>
    </w:p>
    <w:p>
      <w:r>
        <w:t>RegenMedTX has agreed to pay $1.5 million in cash for the debtor's assets. Under the deal, secured creditors Deerfield Special Situations Fund LP, RA Capital Healthcare Funds LP and Celgene Corp. (CELG) will assign $20.56 million in claims to the buyer in exchange for 25% of the aggregate membership interests in the buyer, a clinical-stage company developing regenerative products.</w:t>
        <w:br/>
        <w:br/>
        <w:t>The buyer will acquire all the debtor's intellectual property and biological samples related to its trials housed at its Winston-Salem, N.C., headquarters. (Three employees have been regularly monitoring the headquarters, including responding to any alarms at the property.)</w:t>
        <w:br/>
        <w:br/>
        <w:t>No other offers for the assets were submitted by the Friday sale hearing, according to Jeffrey Testa of McCarter &amp; English LLP, counsel to Chapter 7 trustee Charles A. Stanziale Jr.</w:t>
        <w:br/>
        <w:br/>
        <w:t>"We think it's a great result whenever a trustee can both save a business and be in a position to make a distribution to unsecured creditors, so we believe it's a win-win," Testa said. He added that 5% of the net sale proceeds will be set aside to fund a recovery to unsecured creditors.</w:t>
        <w:br/>
        <w:br/>
        <w:t>Stanziale said the buyer intended to put up the money to continue the approval process for Tengion's regenerative medicine.</w:t>
        <w:br/>
        <w:br/>
        <w:t>He said that process could cost "in the tens of millions of dollars" and estimated it could take up to three years. Keeping the patents alone costs $100,000 per month, Stanziale said.</w:t>
        <w:br/>
        <w:br/>
        <w:t>Stanziale, who acknowledged the sale would not "in my view come close to paying creditors," added: "Is it a plus to have the research and [U.S. Food and Drug Administration] approval [process] go forward in what may be a breakthrough health remedy? That's a different story, and that's a good thing."&lt;STORY_PAGE_BREAK/&gt;</w:t>
        <w:br/>
        <w:br/>
        <w:t>He continued, "So all of the time and the effort and the money that has been spent for research and approval will not go out the window."</w:t>
        <w:br/>
        <w:br/>
        <w:t>Stanziale said the buyer originally did not offer to include a credit bid component and only offered $600,000 cash, but he and his team "talked them up significantly."</w:t>
        <w:br/>
        <w:br/>
        <w:t>The deal was scheduled to close Monday.</w:t>
        <w:br/>
        <w:br/>
        <w:t>"It had to be done quickly because the research that was in cold storage needed to be attended to, and we couldn't take the risk of losing the currency on the patents and losing the frozen research [by waiting]," he said. "We couldn't put that in jeopardy."</w:t>
        <w:br/>
        <w:br/>
        <w:t>Stanziale said he was satisfied there wouldn't be a higher offer for the assets because they had been "well shopped" before and during bankruptcy.</w:t>
        <w:br/>
        <w:br/>
        <w:t>Court papers show the company has made the necessary payments to maintain the clinical programs and research through December.</w:t>
        <w:br/>
        <w:br/>
        <w:t>In a Feb. 12 motion, Stanziale said that in his business judgment the offer from RegenMedTX, which would relieve the estate of the secured claims, was superior to any bid from a third-party buyer.&lt;STORY_PAGE_BREAK/&gt;</w:t>
        <w:br/>
        <w:br/>
        <w:t>"As a result, the Chapter 7 trustee believes that the buyer's offer for the assets is the highest or otherwise best offer that can be obtained under the circumstances," he said in the document.</w:t>
        <w:br/>
        <w:br/>
        <w:t>Tengion's first clinical program was its Neo-Kidney Augment, intended to prevent or delay dialysis and transplantation by boosting renal function in patients that have advanced chronic kidney disease, according to its website. The debtor had received regulatory approval to begin clinical trials on the product.</w:t>
        <w:br/>
        <w:br/>
        <w:t>Additionally, the company's second clinical program, Neo-Urinary Conduit, was in clinical trials. The product is an implant made from a patient's own cells and is "intended to catalyze regeneration of native-like urinary tissue, thereby eliminating the need to use bowel tissue in the current standard of care surgery," the company said on its website.</w:t>
        <w:br/>
        <w:br/>
        <w:t>Faced with a funding shortage, Tengion submitted a Chapter 7 petition on Dec. 29, just after the company warned of a potential filing.</w:t>
        <w:br/>
        <w:br/>
        <w:t>The company's board of directors on Dec. 1 voted to terminate all 29 employees, who served in research, development, financial and administrative roles, according to a Dec. 5 filing with the Securities and Exchange Commission. The debtor said it would pay out $916,000 in severance payments in the fourth quarter of 2014.</w:t>
        <w:br/>
        <w:br/>
        <w:t>Tengion opted to let go of the employees to preserve cash, as it faced high operating expenditures and debt repayments.</w:t>
        <w:br/>
        <w:br/>
        <w:t>"Despite these cost-cutting measures, if financing is not obtained, the company will not be able to remain in business and will likely need to seek protection under the U.S. bankruptcy laws," the company warned in the filing.&lt;STORY_PAGE_BREAK/&gt;</w:t>
        <w:br/>
        <w:br/>
        <w:t>Tengion announced on Sept. 22 that it had retained Jefferies LLC as financial adviser to assist it with "reviewing and structuring potential strategic transactions."</w:t>
        <w:br/>
        <w:br/>
        <w:t>On March 26, auditor Ernst &amp; Young LLP had issued a going concern warning for the company due to its recurring losses from operations and cash flow deficit.</w:t>
        <w:br/>
        <w:br/>
        <w:t>In a Nov. 14 statement, Tengion said that it had experienced an adjusted net loss of $6.6 million for the three months ended Sept. 30.</w:t>
        <w:br/>
        <w:br/>
        <w:t>The company blamed the loss on a rise in research and development expenses and administrative costs. The company also said legal costs related to the preparation of a market assessment of its kidney program also constrained cash flow.</w:t>
        <w:br/>
        <w:br/>
        <w:t>For the nine months ended Sept. 30, Tengion reported a $19.3 million adjusted net loss on no revenue.</w:t>
        <w:br/>
        <w:br/>
        <w:t>In its latest quarterly report, the company listed $9.62 million in assets and $93 million in liabilities as of Sept. 30. (In its petition, Tengion reported $1 million to $10 million in assets and $10 million to $50 million in liabilities.)</w:t>
        <w:br/>
        <w:br/>
        <w:t>Tengion on July 1, 2013, raised $33.6 million in a private placement to fund Phase 1 clinical trials of its kidney program.</w:t>
        <w:br/>
        <w:br/>
        <w:t>The company's shares, which trade on the OTC Pink tier of OTC Markets, closed down 25% at 0.15 cents Monday.</w:t>
        <w:br/>
        <w:br/>
        <w:t>Matthew P. Ward of Womble Carlyle Sandridge &amp; Rice LLP represents RegenMedTX. &lt;STORY_PAGE_BREAK/&gt;</w:t>
        <w:br/>
        <w:br/>
        <w:t>Jeff J. Friedman of Katten Muchin Rosenman LLP is counsel to Deerfield.</w:t>
      </w:r>
    </w:p>
    <w:p>
      <w:pPr>
        <w:pStyle w:val="Heading1"/>
      </w:pPr>
      <w:r>
        <w:t>End of Article 10</w:t>
      </w:r>
    </w:p>
    <w:p>
      <w:r>
        <w:br w:type="page"/>
      </w:r>
    </w:p>
    <w:p>
      <w:pPr>
        <w:pStyle w:val="Heading1"/>
      </w:pPr>
      <w:r>
        <w:t>Start of Article 11</w:t>
      </w:r>
    </w:p>
    <w:p>
      <w:pPr>
        <w:pStyle w:val="Heading1"/>
      </w:pPr>
      <w:r>
        <w:t>Document ID DJDN000020151102ebb2001w5</w:t>
      </w:r>
    </w:p>
    <w:p>
      <w:r>
        <w:br/>
        <w:t xml:space="preserve">PHILADELPHIA--(BUSINESS WIRE)--November 02, 2015-- </w:t>
        <w:br/>
        <w:br/>
        <w:t>Please note that the original ninth paragraph of the press release has been removed.</w:t>
        <w:br/>
        <w:br/>
        <w:t>The corrected release reads:</w:t>
        <w:br/>
        <w:br/>
        <w:t>VEEVA SYSTEMS UNVEILS CLINICAL TRIALS STUDY START-UP SOLUTION</w:t>
        <w:br/>
        <w:br/>
        <w:t>Top 20 pharma and top 10 global CRO sign on as first Veeva Vault Study Start-Up customers</w:t>
        <w:br/>
        <w:br/>
        <w:t>At the Veeva 2015 R&amp;D Summit today, Veeva Systems announced the first fully integrated clinical trials study start-up solution. Veeva Vault Study Start-Up will enable life sciences organizations to manage both the content and the activities associated with activating sites for clinical trials. This comprehensive solution will accelerate time to first patient enrollment, automate manual processes, and deliver seamless interoperability with eTMF for a single source of trial-related content.</w:t>
        <w:br/>
        <w:br/>
        <w:t>Life sciences organizations have made strides in adopting advanced solutions to increase speed and efficiency in many areas of the trial process. According to the 2015 TMF Reference Model Survey, a majority of respondents (61%) are either using or actively planning on using an eTMF. And according to the Veeva 2015 Paperless TMF Survey, speeding study start-up is cited by 56% of the respondents as a top driver of eTMF adoption in their organization.</w:t>
        <w:br/>
        <w:br/>
        <w:t>"The life sciences industry has long struggled with manual and inefficient processes for study start-up," said Kathryn King, vice president of Vault Clinical at Veeva. "Existing solutions managed either documents or start-up activities, but never both together. This created significant challenges in identifying and addressing issues during start-up, resulting in longer study durations and impacting overall time to market."</w:t>
        <w:br/>
        <w:br/>
        <w:t>Traditional solutions exacerbated the problem by focusing on either site start-up documentation or site initiation data, but were unable to bring the documents and data together. Further, these systems were often disconnected from the eTMF applications that also needed that information as part of the trial's history. The fragmented landscape contributed to lengthy site initiation timelines, a process that, on average, took 17 months to complete, according to research from the Tufts Center for the Study of Drug Development.</w:t>
        <w:br/>
        <w:br/>
        <w:t>"Sponsors and CROs have typically used unsophisticated, disparate, and incompatible proprietary and customized approaches and eClinical solutions to manage study start-up and initiation activities," said Ken Getz, associate professor at CSDD Tufts University School of Medicine. "This has contributed to the historically high level of inefficiency and inconsistency that we've observed in investigative site engagement and activation."</w:t>
        <w:br/>
        <w:br/>
        <w:t>Vault Study Start-Up will bring together site start-up documents and site initiation in a single solution, while providing seamless interoperability with Veeva Vault eTMF. This combination of capabilities will ensure a single source of truth for all start-up related content and data. Sites, sponsors, and CROs will be able to access the same clinical information, simplifying collaboration and increasing efficiency. Vault Study Start-Up will also provide advanced capabilities to better manage start-up processes, including a complete, reliable electronic audit trail.</w:t>
        <w:br/>
        <w:br/>
        <w:t>Veeva Vault Study Start-Up will be available in early December 2015. A top 20 pharmaceutical company and a top 10 global CRO have already signed on as early Vault Study Start-Up customers.</w:t>
        <w:br/>
        <w:br/>
        <w:t>Veeva Vault RIM was also announced today at the 2015 Veeva R&amp;D Summit. Vault RIM is a next-generation regulatory information management suite that unites submission documents, published dossiers, product registrations, and agency commitments into a single authoritative source for the global organization. For details, or to arrange an interview, contact pr@veeva.com.</w:t>
        <w:br/>
        <w:br/>
        <w:t>Additional Information</w:t>
        <w:br/>
        <w:br/>
        <w:t>-- Stay updated on the latest Veeva news on LinkedIn: linkedin.com/company/veeva-systems</w:t>
        <w:br/>
        <w:br/>
        <w:t>-- Follow @veevasystems on Twitter: twitter.com/veevasystems</w:t>
        <w:br/>
        <w:br/>
        <w:t>-- Like Veeva on Facebook: facebook.com/veevasystems</w:t>
        <w:br/>
        <w:br/>
        <w:t>About Veeva Vault</w:t>
        <w:br/>
        <w:br/>
        <w:t>Veeva Vault is the first cloud-based regulated content management platform and suite of applications designed for life sciences. It spans clinical, quality, commercial, medical, regulatory, and every major part of a global life sciences company to ensure one trusted source for content and data across the enterprise. Helping companies connect securely in the life sciences cloud, Vault provides complete control from start to finish, as well as the easy accessibility, visibility, and agility needed to speed time to market. All Vault applications offer real-time reporting and dashboards; an intuitive, consumer-web interface; and a true multitenant cloud architecture that continuously delivers rapid innovation. Today, more than 190 customers rely upon Vault to manage their most important content.</w:t>
        <w:br/>
        <w:br/>
        <w:t>About Veeva Systems</w:t>
        <w:br/>
        <w:br/>
        <w:t>Veeva Systems Inc. is a leader in cloud-based software for the global life sciences industry. Committed to innovation, product excellence, and customer success, Veeva has more than 300 customers, ranging from the world's largest pharmaceutical companies to emerging biotechs. Veeva is headquartered in the San Francisco Bay Area, with offices in Europe, Asia, and Latin America. For more information, visit www.veeva.com.</w:t>
        <w:br/>
        <w:br/>
        <w:t>Forward-looking Statements</w:t>
        <w:br/>
        <w:br/>
        <w:t>This release contains forward-looking statements, including the market demand for and acceptance of Veeva's products and services, the results from use of Veeva's products and services, and general business conditions, particularly in the life sciences industry. Any forward-looking statements contained in this press release are based upon Veeva's historical performance and its current plans, estimates, and expectations, and are not a representation that such plans, estimates, or expectations will be achieved. These forward-looking statements represent Veeva's expectations as of the date of this press announcement. Subsequent events may cause these expectations to change, and Veeva disclaims any obligation to update the forward-looking statements in the future. These forward-looking statements are subject to known and unknown risks and uncertainties that may cause actual results to differ materially. Additional risks and uncertainties that could affect Veeva's financial results are included under the captions, "Risk Factors" and "Management's Discussion and Analysis of Financial Condition and Results of Operations" in the company's filing on Form 10-Q for the period ended July 31, 2015. This is available on the company's website at http://www.veeva.com under the Investors section the SEC's website at www.sec.gov. Further information on potential risks that could affect actual results will be included in other filings Veeva makes with the SEC from time to time.</w:t>
        <w:br/>
        <w:br/>
        <w:t xml:space="preserve">View source version on businesswire.com: http://www.businesswire.com/news/home/20151102005531/en/ </w:t>
        <w:br/>
        <w:br/>
        <w:br/>
        <w:t xml:space="preserve"> </w:t>
        <w:br/>
        <w:t xml:space="preserve">    CONTACT:    Veeva Systems Inc. </w:t>
        <w:br/>
        <w:br/>
        <w:t>Lisa Barbadora, 610-420-3413</w:t>
        <w:br/>
        <w:br/>
        <w:t>Public Relations</w:t>
        <w:br/>
        <w:br/>
        <w:t>pr@veeva.com</w:t>
        <w:br/>
        <w:br/>
        <w:t>(END) Dow Jones Newswires</w:t>
        <w:br/>
        <w:br/>
        <w:t>November 02, 2015 09:03 ET (14:03 GMT)</w:t>
      </w:r>
    </w:p>
    <w:p>
      <w:pPr>
        <w:pStyle w:val="Heading1"/>
      </w:pPr>
      <w:r>
        <w:t>End of Article 11</w:t>
      </w:r>
    </w:p>
    <w:p>
      <w:r>
        <w:br w:type="page"/>
      </w:r>
    </w:p>
    <w:p>
      <w:pPr>
        <w:pStyle w:val="Heading1"/>
      </w:pPr>
      <w:r>
        <w:t>Start of Article 12</w:t>
      </w:r>
    </w:p>
    <w:p>
      <w:pPr>
        <w:pStyle w:val="Heading1"/>
      </w:pPr>
      <w:r>
        <w:t>Document ID CHEMEC0020150501eb58002ae</w:t>
      </w:r>
    </w:p>
    <w:p>
      <w:r>
        <w:t>This patent was filed on August 25, 2011 and was published online on April 21, 2015.</w:t>
        <w:br/>
        <w:br/>
        <w:t>From the background information supplied by the inventors, news correspondents obtained the following quote: "The following discussion of the prior art is intended to present the invention in an appropriate technical context and allow its significance to be properly appreciated. Unless clearly indicated to the contrary, however, reference to any prior art in this specification should be construed as an admission that such art is widely known or forms part of common general knowledge in the field.</w:t>
        <w:br/>
        <w:br/>
        <w:t>"Fesoterodine fumarate is the international non-proprietary name (INN) of the active ingredient isobutyric acid 2-[(R)-3-diisopropylammonium-1-phenylpropyl)-4-(hydroxy-methyl)phenyl ester hydrogen fumarate, which can be represented by the structural formula (1)</w:t>
        <w:br/>
        <w:br/>
        <w:t>"##STR00001##</w:t>
        <w:br/>
        <w:br/>
        <w:t>"Fesoterodine fumarate is approved in Europe and USA for the treatment of overactive bladder syndrome with the commercial name TOVIAZ.RTM..</w:t>
        <w:br/>
        <w:br/>
        <w:t>"U.S. Pat. No. 6,713,464 B1 discloses a variety of 3,3-diphenylpropylamine derivatives, processes for their preparation, pharmaceutical compositions comprising the derivatives, and methods of use thereof. These compounds are anti-muscarinic agents with superior pharmacokinetic properties compared to existing drugs such as oxybutynin and tolterodine which are useful in the treatment of urinary incontinence, gastrointestinal hyperactivity (irritable bowel syndrome) and other smooth muscle contractile conditions.</w:t>
        <w:br/>
        <w:br/>
        <w:t>"Improved processes for the preparation of fesoterodine and its pharmaceutically acceptable salts are disclosed in US Patent application 2009/0306384 A1, and International (PCT) Publication No. WO 2009/037569 A2.</w:t>
        <w:br/>
        <w:br/>
        <w:t>"U.S. Patent Application No. 2010/0168459 A1 dislcoses the use of N,N-diisopropylethyl amine for the condensation of diol compound and isobutyryl chloride for the ultimate formation Fesoterodine free base.</w:t>
        <w:br/>
        <w:br/>
        <w:t>"U.S. Patent Application No. 2010/174107 A1 discloses use of Turbo Grignard reagent of formula R.sup.1(MgX)n.LiY, wherein R.sup.1 is an aromatic, aliphatic, carbocyclic or heterocyclic organic group having 1 to 24 carbon atoms; X and Y are independently selected from Cl, Br and I and n is 1 or 2, for the formation of protected ester from the bromo protected compound as shown in Scheme-1 (wherein simple Grignard reagent is used).</w:t>
        <w:br/>
        <w:br/>
        <w:t>"International (PCT) Publication No. WO 2009/044278 A1 of relates to amorphous Fesoterodine fumarate being characterized by XRPD &amp; IR.</w:t>
        <w:br/>
        <w:br/>
        <w:t>"International (PCT) Publication No. WO 2009/122303 A1 discloses preparation of Fesoterodine mandelate salt.</w:t>
        <w:br/>
        <w:br/>
        <w:t>"International (PCT) Publication No. WO 2010/010464 A2 discloses an impurity of fesoterodine i.e., fesoterodine dehydroxy impurity.</w:t>
        <w:br/>
        <w:br/>
        <w:t>"US patent application No. 2010/0152483 A1 discloses Fesoterodine fumarate in crystalline Form--I being characterized by XRPD, DSC, IR, .sup.13C NMR and Raman spectra. US Patent application also discloses Amorphous Fesoterodine Fumarate being characterized by XRPD and IR.</w:t>
        <w:br/>
        <w:br/>
        <w:t>"U.S. Pat. No. 6,858,650 describes various acid addition salts of 3,3-dipbenylpropylamine derivatives.</w:t>
        <w:br/>
        <w:br/>
        <w:t>"The references cited in the above art for the preparation of Fesoterodine fumarate (I) involves reaction conditions, which leads to formation of side reactions and byproducts. Processes disclosed in the art involve the formation of intermediates as an oil or syrup with low yield and purity.</w:t>
        <w:br/>
        <w:br/>
        <w:t>"PCT application WO 2010010464 A2 discloses the process for obtaining fesoterodine fumarate having a 90 volume-percent of the particles (D.sub.90) with a size of less than or equal to about 200 microns and process for achieving the particle size (D.sub.90) with a size of less than or equal to about 200 microns.</w:t>
        <w:br/>
        <w:br/>
        <w:t>"It is reported in the literature that fesoterodine may exhibit substantial degradation in a humid environment and at increased temperature. It is believed that hydrolyzation and oxidation are among the major mechanisms resulting in degradation. Therefore, it is desired to develop a fesoterodine fumarate, which is stable under stress condition. It has been found, surprisingly, that fesoterodine fumarate with higher particle size significantly slow down the degradation of fesoterodine under stress conditions."</w:t>
        <w:br/>
        <w:br/>
        <w:t>Supplementing the background information on this patent, VerticalNews reporters also obtained the inventors' summary information for this patent: "In one general aspect there is provided a 2-chloro-mandelate salt of fesoterodine. The 2-chloro-mandelate salt of fesoterodine may exist in a crystalline form or an amorphous form. The 2-chloro-mandelate salt of fesoterodine may have the X-ray diffraction pattern of FIG. 5, differential scanning calorimetry thermogram og FIG. 6, and infrared spectrum of FIG. 7.</w:t>
        <w:br/>
        <w:br/>
        <w:t>"In another general aspect there is provided a process for the preparation of 2-chloro-mandelate salt of fesoterodine. The process includes obtaining a solution of fesoterodine in one or more solvents; contacting the solution with 2-chloro-mandelic acid; and isolating the 2-chloro-mandelate salt of fesoterodine by the removal of solvents.</w:t>
        <w:br/>
        <w:br/>
        <w:t>"Removing the solvents may include, for example, one or more of filtration, filtration under vacuum, decantation, centrifugation, distillation and distillation under vacuum.</w:t>
        <w:br/>
        <w:br/>
        <w:t>"In one general aspect, the solution may be cooled before the removal of solvents to obtain better yields. The process may include further drying of the product obtained.</w:t>
        <w:br/>
        <w:br/>
        <w:t>"The process may produce the pure 2-chloro-mandelate salt of fesoterodine having purity more than 99% by HPLC. In particular, it may produce the pure 2-chloro-mandelate salt of fesoterodine having purity more than 99.5% by HPLC.</w:t>
        <w:br/>
        <w:br/>
        <w:t>"The pure 2-chloro-mandelate salt of fesoterodine may be converted into pure fesoterodine by treatment with a base.</w:t>
        <w:br/>
        <w:br/>
        <w:t>"In another general aspect there is provided a process for the preparation of substantially pure fesoterodine and its pharmaceutically acceptable salts. The process includes contacting fesoterodine with 2-chloro-mandelic acid in one or more solvents; isolating 2-chloro-mandelate salt of fesoterodine; treating the 2-chloro-mandelate salt of fesoterodine with a base; isolating the substantially pure fesoterodine by the removal of solvents; and optionally, converting the substantially pure fesoterodine into its pharmaceutically acceptable salt.</w:t>
        <w:br/>
        <w:br/>
        <w:t>"Removing the solvents may include, for example, one or more of filtration, filtration under vacuum, decantation, centrifugation, distillation and distillation under vacuum.</w:t>
        <w:br/>
        <w:br/>
        <w:t>"The process may include further drying of the product obtained.</w:t>
        <w:br/>
        <w:br/>
        <w:t>"The process may produce the substantially pure fesoterodine having purity more than 99% by HPLC. In particular, it may produce the pure fesoterodine having purity more than 99.5% by HPLC.</w:t>
        <w:br/>
        <w:br/>
        <w:t>"In another general aspect there is provided a process for the preparation of stable fesoterodine fumarate. The process includes obtaining a solution of substantially pure fesoterodine in one or more solvents; treating the solution with fumaric acid; and isolating the stable fesoterodine fumarate by the removal of solvents.</w:t>
        <w:br/>
        <w:br/>
        <w:t>"Embodiments of the process may include one or more of the following features. For example, the solution of fesoterodine may be obtained by heating fesoterodine in one or more solvents or the solution may be heated prior to treatment with fumaric acid. The solution may be seeded with one or more crystals of fesoterodine fumarate prior to the initiation of product crystallization or the slurry may be cooled prior to filtration.</w:t>
        <w:br/>
        <w:br/>
        <w:t>"In one general aspect a second solvent may be added resulting in the precipitation of the stable fesoterodine fumarate and removing the solvent there from by filtration, filtration under vacuum, decantation, or centrifugation.</w:t>
        <w:br/>
        <w:br/>
        <w:t>"The details of one or more embodiments of the invention are set for the in the description below. Other features, objects and advantages of the invention will be apparent from the description and claims."</w:t>
        <w:br/>
        <w:br/>
        <w:t>For the URL and additional information on this patent, see: Dwivedi, Shriprakash Dhar; Prasad, Ashok; Jain, Kuldeep Natwarlal. Processes for the Preparation of Fesoterodine. U.S. Patent Number 9012678, filed August 25, 2011, and published online on April 21, 2015. Patent URL: http://patft.uspto.gov/netacgi/nph-Parser?Sect1=PTO1&amp;Sect2=HITOFF&amp;d=PALL&amp;p=1&amp;u=%2Fnetahtml%2FPTO%2Fsrchnum.htm&amp;r=1&amp;f=G&amp;l=50&amp;s1=9012678.PN.&amp;OS=PN/9012678RS=PN/9012678</w:t>
        <w:br/>
        <w:br/>
        <w:t>Keywords for this news article include: Fumarates, Dicarboxylic Acids, Cadila Healthcare Limited.</w:t>
        <w:br/>
        <w:br/>
        <w:t>Our reports deliver fact-based news of research and discoveries from around the world. Copyright 2015, NewsRx LLC</w:t>
      </w:r>
    </w:p>
    <w:p>
      <w:pPr>
        <w:pStyle w:val="Heading1"/>
      </w:pPr>
      <w:r>
        <w:t>End of Article 12</w:t>
      </w:r>
    </w:p>
    <w:p>
      <w:r>
        <w:br w:type="page"/>
      </w:r>
    </w:p>
    <w:p>
      <w:pPr>
        <w:pStyle w:val="Heading1"/>
      </w:pPr>
      <w:r>
        <w:t>Start of Article 13</w:t>
      </w:r>
    </w:p>
    <w:p>
      <w:pPr>
        <w:pStyle w:val="Heading1"/>
      </w:pPr>
      <w:r>
        <w:t>Document ID NBPPBS0020150508eb5900043</w:t>
      </w:r>
    </w:p>
    <w:p>
      <w:r>
        <w:t>Mr. Chahil is a Silicon Valley based Innovations Advisor and Social Entrepreneur. Since January 2010, Mr. Chahil has been an Executive Adviser to several global high tech companies, including Hewlett-Packard, Beats Electronics, Blackberry (RIM), Starkey Hearing Technologies, and Sony Electronics. Prior to that, Mr. Chahil was the Senior Vice President-Marketing of Hewlett Packard's Personal Systems Group, and prior to that, he was advisor to the Chairman of Palm, Inc. (a manufacturer and marketer of handheld computing and mobile and wireless Internet solutions). He is also Trustee of the American India Foundation.</w:t>
        <w:br/>
        <w:br/>
        <w:t>Mr. Chahil earned a bachelor's degree in commerce from Punjab University in Chandigarh, India and a master's degree from the American (Thunderbird) Graduate School of International Management in Arizona.</w:t>
        <w:br/>
        <w:br/>
        <w:t>Mr. Chahil has been a Class II director of the Company since 2002. He also serves as a member of our Compensation and Corporate Governance and Nominating Committees. At the 2014 Annual Meeting of Stockholders, Mr. Chahil was reelected as a Class II Director of the Company to serve until the 2016 Annual Meeting of Stockholders.</w:t>
        <w:br/>
        <w:br/>
        <w:t>Mr. Chahil provides our Board with proven leadership and business experience in the areas of digital convergence, new media and global marketing gained from serving in various executive management positions with multinational information technology, computing and wireless control companies and the extensive management and corporate governance experience gained from those roles.</w:t>
        <w:br/>
        <w:br/>
        <w:t>MANAGEMENT SCORECARD FOR UNIVERSAL ELECTRONICS INC.:</w:t>
        <w:br/>
        <w:br/>
        <w:t>Satjiv S. Chahil's performance for Universal Electronics is placed 367/2,362 in BSS News Bites's ranking of NASDAQ performers in the past year, a percentile ranking of 83%.</w:t>
        <w:br/>
        <w:br/>
        <w:t>Key Financials:</w:t>
        <w:br/>
        <w:br/>
        <w:t>(all figures in pct)</w:t>
        <w:br/>
        <w:br/>
        <w:t xml:space="preserve"> Revenue Growth  EPS Growth ROE</w:t>
        <w:br/>
        <w:t>2014            6.2         36.7  10.3</w:t>
        <w:br/>
        <w:t>2013            14.3        33.6 7.9</w:t>
        <w:br/>
        <w:t>2012            -1.2        -16  6.6</w:t>
        <w:br/>
        <w:t>2011            41.2        22.4 8.7</w:t>
        <w:br/>
        <w:br/>
        <w:br/>
        <w:t xml:space="preserve"> Share Price (USD)  Market Capitalisation ($)</w:t>
        <w:br/>
        <w:t>Last               56.4 895.8 million</w:t>
        <w:br/>
        <w:t>1 Year ago         40.3 640.3 million</w:t>
        <w:br/>
        <w:t>2 Years ago        24.1 360.4 million</w:t>
        <w:br/>
        <w:t>3 Years ago        15.3 225.4 million</w:t>
        <w:br/>
        <w:t>4 Years ago        26.0 383.9 million</w:t>
        <w:br/>
        <w:t>5 Years ago        20.5 303.1 million</w:t>
        <w:br/>
        <w:br/>
        <w:br/>
        <w:t>Source: BuySellSignals.com</w:t>
      </w:r>
    </w:p>
    <w:p>
      <w:pPr>
        <w:pStyle w:val="Heading1"/>
      </w:pPr>
      <w:r>
        <w:t>End of Article 13</w:t>
      </w:r>
    </w:p>
    <w:p>
      <w:r>
        <w:br w:type="page"/>
      </w:r>
    </w:p>
    <w:p>
      <w:pPr>
        <w:pStyle w:val="Heading1"/>
      </w:pPr>
      <w:r>
        <w:t>Start of Article 14</w:t>
      </w:r>
    </w:p>
    <w:p>
      <w:pPr>
        <w:pStyle w:val="Heading1"/>
      </w:pPr>
      <w:r>
        <w:t>Document ID RTWK000020150501eb540003w</w:t>
      </w:r>
    </w:p>
    <w:p>
      <w:r>
        <w:t>The news reporters obtained a quote from the research from the University of California, "The PSGs were interpreted for routine sleep measures, and qEEG was performed to measure the delta and alpha frequency power during non-rapid eye movement sleep. Measures and qEEG were analyzed according to fibromyalgia diagnosis. Community-based sleep medicine center. All patients undergoing PSG over a 2-year period. None. Of the 385 patients in the study population, 133 had fibromyalgia according to American College of Rheumatology criteria. The population's average Epworth Sleepiness Score was 10.5, the average sleep efficiency was 78%, and the Periodic Limb Movement disorder prevalence was 15%. None of these sleep measures differed significantly between the fibromyalgia and non-fibromyalgia groups. Obstructive sleep apnea was present in 45% of the fibromyalgia group. Significant differences were present in the qEEG ratio of delta to alpha frequency power, which was 95% specific for fibromyalgia when &lt;= 1. A qEEG ratio &lt;= 10.5 was 85% sensitive for fibromyalgia, and a qEEG ratio &gt;10.5 had an 89% negative predictive value for fibromyalgia. Among patients with fibromyalgia who were not taking a benzodiazepine or benzodiazepine agonist, a qEEG ratio &lt;= 10.5 was 84% specific and had a 78% positive predictive value. Sleep disorders identified by routine PSG, including obstructive sleep apnea, are common in fibromyalgia, but periodic leg movement disorder and poor sleep efficiency are not. A qEEG low delta/alpha ratio during non-rapid eye movement sleep can differentiate patients with fibromyalgia from others who are referred for PSG."</w:t>
        <w:br/>
        <w:br/>
        <w:t>According to the news reporters, the research concluded: "Consideration of benzodiazepine and benzodiazepine agonist use is \important when interpreting the delta/alpha ratio."</w:t>
        <w:br/>
        <w:br/>
        <w:t>For more information on this research see: Polysomnography With Quantitative EEG in Patients With and Without Fibromyalgia. Journal of Clinical Neurophysiology, 2015;32(2):164-170. Journal of Clinical Neurophysiology can be contacted at: Lippincott Williams &amp; Wilkins, Two Commerce Sq, 2001 Market St, Philadelphia, PA 19103, USA. (Lippincott Williams and Wilkins - www.lww.com; Journal of Clinical Neurophysiology - journals.lww.com/clinicalneurophys/pages/default.aspx)</w:t>
        <w:br/>
        <w:br/>
        <w:t>Our news correspondents report that additional information may be obtained by contacting V.W. Rosenfeld, University of California, Los Angeles, CA 90095, United States. Additional authors for this research include D.N. Rutledge and J.M. Stern.</w:t>
        <w:br/>
        <w:br/>
        <w:t>Keywords for this news article include: California, Los Angeles, United States, Neurophysiology, North and Central America</w:t>
        <w:br/>
        <w:br/>
        <w:t>Our reports deliver fact-based news of research and discoveries from around the world. Copyright 2015, NewsRx LLC</w:t>
      </w:r>
    </w:p>
    <w:p>
      <w:pPr>
        <w:pStyle w:val="Heading1"/>
      </w:pPr>
      <w:r>
        <w:t>End of Article 14</w:t>
      </w:r>
    </w:p>
    <w:p>
      <w:r>
        <w:br w:type="page"/>
      </w:r>
    </w:p>
    <w:p>
      <w:pPr>
        <w:pStyle w:val="Heading1"/>
      </w:pPr>
      <w:r>
        <w:t>Start of Article 15</w:t>
      </w:r>
    </w:p>
    <w:p>
      <w:pPr>
        <w:pStyle w:val="Heading1"/>
      </w:pPr>
      <w:r>
        <w:t>Document ID JOENG00020150227eb34003c0</w:t>
      </w:r>
    </w:p>
    <w:p>
      <w:r>
        <w:t>Reporters obtained the following quote from the background information supplied by the inventors: "The invention relates to detection of motion. In some aspects, the invention relates to detection of laboratory animal motion.</w:t>
        <w:br/>
        <w:br/>
        <w:t>"In the discovery of neurological drugs, e.g., analgesics, many animal pain models are used. In one such model, a small amount of formalin is injected into one rear paw of a rat. The resulting irritation causes the rat to lick and/or to shake this paw in a repetitive, flinch-like motion. This reaction is considered a painful response. A test compound is administered to the rat after the formalin injection and changes in paw motion counts are used to assess the compound's analgesic effect. In other tests, a rat paw is exposed to a heat source and the motion of the paw is monitored as the rats are exposed to various neurological compounds. Such tests can be used to screen analgesic compounds or to perform other neurological experiments.</w:t>
        <w:br/>
        <w:br/>
        <w:t>"Currently, the most commonly used instrumentation for detecting rat paw motion employs a metal detector to sense the motion of a metallic bracelet attached to a paw. With reference to FIG. 1, a metal detector typically consists of two induction coils. A transmitter coil 100 is energized with a relatively low-frequency (5-10 KHz) AC signal. A receiver coil 110 is concentric and coplanar with the transmitter coil 100. The coils are only weakly coupled through free space. When a small piece of metal (e.g., a rat paw bracelet 120) is introduced into the area above the two coils, the coupling is increased and a stronger signal is detected by the receiver coils 110. The metallic bracelet 120 concentrates the magnetic flux so that more field lines are captured by the receiver coil 110, giving rise to a stronger detected signal. As this design relies on the phenomenon of flux concentration, bracelets made from high magnetic permeability metals give rise to the largest signals. Overall, this effect is weak and a very high level of amplification is needed to detect it.</w:t>
        <w:br/>
        <w:br/>
        <w:t>"In a typical laboratory environment, this design suffers from several disadvantages. First, there is usually a significant amount of metal in a typical lab, often causing mistriggering of the device. For example, wristwatches worn by the operators are a common source of interference. Second, the receiver coil's 110 cross-section is large and a very high level of amplification is used causing stray magnetic fields from various power sources to elicit false signals. Third, multiple detectors cannot be placed too close to each other because stray magnetic induction from one unit tends to falsely trigger its nearest neighbors. Thus, there is a need for improved motion detectors, particularly for use in detecting rodent paw motion."</w:t>
        <w:br/>
        <w:br/>
        <w:t>In addition to obtaining background information on this patent, VerticalNews editors also obtained the inventors' summary information for this patent: "One aspect of the invention is a system for detecting motion of a tag, including a coil configured for generating a time-varying magnetic field, a tag comprising an inductive element and a capacitive element positioned with respect to the coil such that tag motion moves the tag relative to the coil.</w:t>
        <w:br/>
        <w:br/>
        <w:t>"Another aspect of the invention is a system for detecting motion of a tag, including a means for generating a time-varying magnetic field, a means for sensing a change in the time-varying magnetic field, and a tag, the tag comprising an LC circuit for causing a change in the time-varying magnetic field when the tag is in motion within the time-varying magnetic field.</w:t>
        <w:br/>
        <w:br/>
        <w:t>"Another aspect of the invention is a system for detecting motion of a tag, including a sensing coil comprising a wire wound into a coil, the coil defining a perimeter, an AC generator electrically coupled to the wire, a circuit electrically coupled to the wire, the circuit adapted to detect a change in AC current flowing through the wire, and a tag, the tag comprising an inductive element and a capacitive element, wherein the tag is within the perimeter of the coil but not necessarily coplanar with the coil, and wherein when the tag is in motion, the motion causes a change in any AC current flowing through the wire.</w:t>
        <w:br/>
        <w:br/>
        <w:t>"Another aspect of the invention is a tag for monitoring motion of a paw on a rodent, including an inductor and capacitor electrically coupled in parallel and a paw mount coupled to the inductor and capacitor.</w:t>
        <w:br/>
        <w:br/>
        <w:t>"Another aspect of the invention is a method of detecting motion of an object, including exposing a tag comprising an inductive element and a capacitive element to a time-varying magnetic field, and detecting a change in the time-varying magnetic field caused by motion of the tag within the magnetic field.</w:t>
        <w:br/>
        <w:br/>
        <w:t>"Another aspect of the invention is a method of assaying for an anti-nociceptive drug, including attaching a tag to a paw of the rodent, the tag comprising an inductive element and a capacitive element, administering a potential anti-nociceptive drug to a rodent, exposing the paw to a nociceptive stimulus, exposing the tag to a time-varying magnetic field, and monitoring motion of the paw by detecting a change in the time-varying magnetic field induced by motion of the tag within the field."</w:t>
        <w:br/>
        <w:br/>
        <w:t>For more information, see this patent: Salzmann, Philip Emanuel; Flores, Javier Humberto; Wallace, Matthew Charles; Bian, Di; Nguyen, Trang; Silos-Santiago, Ada; Vuong, Minh. Wireless Detection of Motion. U.S. Patent Number 8955458, filed November 16, 2005, and published online on February 17, 2015. Patent URL: http://patft.uspto.gov/netacgi/nph-Parser?Sect1=PTO1&amp;Sect2=HITOFF&amp;d=PALL&amp;p=1&amp;u=%2Fnetahtml%2FPTO%2Fsrchnum.htm&amp;r=1&amp;f=G&amp;l=50&amp;s1=8955458.PN.&amp;OS=PN/8955458RS=PN/8955458</w:t>
        <w:br/>
        <w:br/>
        <w:t>Keywords for this news article include: Vertex Pharmaceuticals Inc.</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BHLD000020151023eban0003h</w:t>
      </w:r>
    </w:p>
    <w:p>
      <w:r>
        <w:t>“Pancreatic cancer is one of the most lethal forms of cancer, and survival is measured in weeks," said Robert Mulroy, president and chief executive of Merrimack. “We are thrilled to be a part of the treatment of what is a devastating disease."</w:t>
        <w:br/>
        <w:br/>
        <w:t>Charles Fuchs, director of Dana Farber's gastrointestinal cancer center, said, “This is affecting more and more Americans each year, and it is devoid of the kind of therapies we need to be effective. We need much greater progress in this disease, it's been lacking for far too long."</w:t>
        <w:br/>
        <w:br/>
        <w:t>Pancreatic cancer accounts for only 3 percent of all new cancer cases, but is the fourth most common cause of cancer deaths.</w:t>
        <w:br/>
        <w:br/>
        <w:t>Fuch said pancreatic cancer is so deadly because it is often discovered late — eliminating surgery as an option — and after tumors have formed walls of scar tissue.</w:t>
        <w:br/>
        <w:br/>
        <w:t>Merrimack designed its drug to penetrate that wall, delivering more of the drug than other treatments.</w:t>
        <w:br/>
        <w:br/>
        <w:t>A clinical trial found patients treated with the drug lived nearly 50 percent longer on average.</w:t>
        <w:br/>
        <w:br/>
        <w:t>“If we could get more drug to the tumor ... we could potentially change the course of outcomes in a very difficult disease," Mulroy said.</w:t>
        <w:br/>
        <w:br/>
        <w:t>— jordan.graham@bostonherald.com</w:t>
      </w:r>
    </w:p>
    <w:p>
      <w:pPr>
        <w:pStyle w:val="Heading1"/>
      </w:pPr>
      <w:r>
        <w:t>End of Article 16</w:t>
      </w:r>
    </w:p>
    <w:p>
      <w:r>
        <w:br w:type="page"/>
      </w:r>
    </w:p>
    <w:p>
      <w:pPr>
        <w:pStyle w:val="Heading1"/>
      </w:pPr>
      <w:r>
        <w:t>Start of Article 17</w:t>
      </w:r>
    </w:p>
    <w:p>
      <w:pPr>
        <w:pStyle w:val="Heading1"/>
      </w:pPr>
      <w:r>
        <w:t>Document ID WDAN000020150828eb8s0001w</w:t>
      </w:r>
    </w:p>
    <w:p>
      <w:r>
        <w:t>Significance: The FDA decision means that this is the third drug containing empagliflozin to be approved in the United States. Eli Lilly's and Boehringer Ingelhim's Jardiance (empagliflozin) and Glyxambi (empagliflozin + linagliptin) already have market approval, while metformin is a well-established type 2 diabetes treatment. Empagliflozin seeks to prevent glucose re-absorption in the kidney, thereby removing excessive glucose in the urine. This supports metformin's mechanism of action, which is reduced glucose absorption in the intestines and production in the liver. Synjardy gained market approval in the EU in June 2015 (see Germany - Europe: 1 June 2015: ).</w:t>
      </w:r>
    </w:p>
    <w:p>
      <w:pPr>
        <w:pStyle w:val="Heading1"/>
      </w:pPr>
      <w:r>
        <w:t>End of Article 17</w:t>
      </w:r>
    </w:p>
    <w:p>
      <w:r>
        <w:br w:type="page"/>
      </w:r>
    </w:p>
    <w:p>
      <w:pPr>
        <w:pStyle w:val="Heading1"/>
      </w:pPr>
      <w:r>
        <w:t>Start of Article 18</w:t>
      </w:r>
    </w:p>
    <w:p>
      <w:pPr>
        <w:pStyle w:val="Heading1"/>
      </w:pPr>
      <w:r>
        <w:t>Document ID DJDN000020150108eb18000zc</w:t>
      </w:r>
    </w:p>
    <w:p>
      <w:r>
        <w:t>Plazomicin is currently in Phase 3 development for the treatment of serious bacterial infections due to MDR Enterobacteriaceae in hospitalized patients with bacteremia or nosocomial pneumonia. Plazomicin has been granted QIDP designation for the indications of hospital-acquired bacterial pneumonia (HABP), ventilator-associated bacterial pneumonia (VABP), complicated intra-abdominal infections (cIAI), complicated urinary tract infections (cUTI), and catheter-related bloodstream infections.</w:t>
        <w:br/>
        <w:br/>
        <w:t>"We appreciate the FDA's recognition that plazomicin is deserving of QIDP status and eligible for the provisions of the GAIN Act," commented Dr. Kenneth Hillan, MB, ChB, Chief Executive Officer of Achaogen. "We are excited by plazomicin's potential to save lives in patients who have serious multi-drug resistant gram-negative infections."</w:t>
        <w:br/>
        <w:br/>
        <w:t>Plazomicin is a novel aminoglycoside antibiotic designed to treat serious gram-negative infections. It has shown potent bactericidal activity in nonclinical studies against important gram-negative pathogens, including carbapenem-resistant Enterobacteriaceae (CRE). Plazomicin is currently being evaluated in a pivotal Phase 3 trial, CARE (Combating Antibiotic Resistant Enterobacteriaceae), for the treatment of bacteremia and nosocomial pneumonia caused by CRE, which is one of the top global threats in infectious disease due to high rates of mortality in infected patients. In 2013, the CDC labeled CRE as "nightmare bacteria" and indicated that CRE poses a public health threat requiring "urgent and aggressive action."</w:t>
        <w:br/>
        <w:br/>
        <w:t>About Achaogen</w:t>
        <w:br/>
        <w:br/>
        <w:t xml:space="preserve">Achaogen is a clinical-stage biopharmaceutical company passionately committed to the discovery, development, and commercialization of novel antibacterials to treat MDR gram-negative infections. Achaogen is developing plazomicin, the Company's lead product candidate, for the treatment of serious bacterial infections due to MDR Enterobacteriaceae, including CRE. Through the Special Protocol Assessment procedure, the FDA has agreed that the design and planned analyses of Achaogen's single pivotal Phase 3 trial adequately address objectives in support of a New Drug Application. Achaogen's plazomicin program is funded in part with a contract from the Biomedical Advanced Research and Development Authority (BARDA). Plazomicin is the first clinical candidate from Achaogen's gram-negative antibiotic discovery engine, and Achaogen has other programs in early and late preclinical stages focused on other MDR gram-negative infections. </w:t>
        <w:br/>
        <w:br/>
        <w:br/>
        <w:t xml:space="preserve">CONTACT: Candice Knoll </w:t>
        <w:br/>
        <w:t xml:space="preserve">         Blueprint Life Science Group </w:t>
        <w:br/>
        <w:t xml:space="preserve">         415.375.3340 Ext. 105 </w:t>
        <w:br/>
        <w:t xml:space="preserve">         cknoll@bplifescience.com </w:t>
        <w:br/>
        <w:br/>
        <w:t>8 Jan 2015 05:30 ET *Achaogen Announces Plazomicin Granted QIDP Designation By FDA</w:t>
        <w:br/>
        <w:br/>
        <w:t>(MORE TO FOLLOW) Dow Jones Newswires (212-416-2800)</w:t>
        <w:br/>
        <w:br/>
        <w:t>January 08, 2015 05:30 ET (10:30 GMT)</w:t>
      </w:r>
    </w:p>
    <w:p>
      <w:pPr>
        <w:pStyle w:val="Heading1"/>
      </w:pPr>
      <w:r>
        <w:t>End of Article 18</w:t>
      </w:r>
    </w:p>
    <w:p>
      <w:r>
        <w:br w:type="page"/>
      </w:r>
    </w:p>
    <w:p>
      <w:pPr>
        <w:pStyle w:val="Heading1"/>
      </w:pPr>
      <w:r>
        <w:t>Start of Article 19</w:t>
      </w:r>
    </w:p>
    <w:p>
      <w:pPr>
        <w:pStyle w:val="Heading1"/>
      </w:pPr>
      <w:r>
        <w:t>Document ID BIOELSE020150522eb5e0000f</w:t>
      </w:r>
    </w:p>
    <w:p>
      <w:r>
        <w:t xml:space="preserve"> ZORVOLEX is approved by the US Food and Drug Administration (FDA) for the management of mild to moderate acute and osteoarthritis pain, and is available at pharmacies across the US. Iroko Pharmaceuticals LLC, an affiliate of Iroko Pharmaceuticals Inc, will continue to retain all marketing rights to ZORVOLEX in the US. Original Source: BioSpace.com, 2015. From website: http://www.biospace.com.</w:t>
        <w:br/>
        <w:br/>
        <w:t>BioSpace</w:t>
        <w:br/>
        <w:br/>
        <w:t>Website: http://www.biospace.com</w:t>
      </w:r>
    </w:p>
    <w:p>
      <w:pPr>
        <w:pStyle w:val="Heading1"/>
      </w:pPr>
      <w:r>
        <w:t>End of Article 19</w:t>
      </w:r>
    </w:p>
    <w:p>
      <w:r>
        <w:br w:type="page"/>
      </w:r>
    </w:p>
    <w:p>
      <w:pPr>
        <w:pStyle w:val="Heading1"/>
      </w:pPr>
      <w:r>
        <w:t>Start of Article 20</w:t>
      </w:r>
    </w:p>
    <w:p>
      <w:pPr>
        <w:pStyle w:val="Heading1"/>
      </w:pPr>
      <w:r>
        <w:t>Document ID RTTNEW0020151106ebb5000gp</w:t>
      </w:r>
    </w:p>
    <w:p>
      <w:r>
        <w:t>No dosage adjustment of Genvoya is required in patients with estimated creatinine clearance greater than or equal to 30 mL per minute.</w:t>
        <w:br/>
        <w:br/>
        <w:t>Genvoya has a boxed warningin its product label regarding the risks of lactic acidosis/severe hepatomegaly with steatosis, and post treatment acute exacerbation of hepatitis B.</w:t>
        <w:br/>
        <w:br/>
        <w:t>Genvoya carries a Boxed Warning alerting patients and health care providers that the drug can cause a buildup of lactic acid in the blood and severe liver problems, both of which can be fatal. The Boxed Warning also states that Genvoya is not approved to treat chronic hepatitis B virus infection. The most common side effect associated with Genvoya is nausea. Serious side effects include new or worsening kidney problems, decreased bone mineral density, fat redistribution and changes in the immune system (immune reconstitution syndrome). Health care providers are advised to monitor patients for kidney and bone side effects, the FDA said.</w:t>
        <w:br/>
        <w:br/>
        <w:t>Genvoya should not be given with other antiretroviral products and may have drug interactions with a number of other commonly used medications.</w:t>
        <w:br/>
        <w:br/>
        <w:t>For comments and feedback: contact editorial@rttnews.com</w:t>
        <w:br/>
        <w:br/>
        <w:t>Copyright(c) 2015 RTTNews.com. All Rights Reserved</w:t>
      </w:r>
    </w:p>
    <w:p>
      <w:pPr>
        <w:pStyle w:val="Heading1"/>
      </w:pPr>
      <w:r>
        <w:t>End of Article 20</w:t>
      </w:r>
    </w:p>
    <w:p>
      <w:r>
        <w:br w:type="page"/>
      </w:r>
    </w:p>
    <w:p>
      <w:pPr>
        <w:pStyle w:val="Heading1"/>
      </w:pPr>
      <w:r>
        <w:t>Start of Article 21</w:t>
      </w:r>
    </w:p>
    <w:p>
      <w:pPr>
        <w:pStyle w:val="Heading1"/>
      </w:pPr>
      <w:r>
        <w:t>Document ID ATPHAM0020151218ebch00039</w:t>
      </w:r>
    </w:p>
    <w:p>
      <w:r>
        <w:t>"This is an exciting time for OncoSec as we join the Sorrento Mesa community and find a home in San Diego, a city that is on the cutting edge of the life science and biotech industries," said Punit Dhillon, President and CEO of OncoSec. "This move allows for greater efficiencies and interactions among our dedicated teams. Our new facility enhances our development capabilities and provides OncoSec with a base of operations that matches the magnitude of our ambitions."</w:t>
        <w:br/>
        <w:br/>
        <w:t>"We are proud of the robust biotech industry and its incredible impact in California. It's encouraging to see another biotech company join and further strengthen the San Diego area, bringing jobs and economic vitality to the region," said Panorea Avdis, Director of the California Governor's Office of Business and Economic Development. "Not only are biotechs like OncoSec enhancing California's economy, they also play a greater role in advancing innovative technologies to provide better care and treatment for patients everywhere."</w:t>
        <w:br/>
        <w:br/>
        <w:t>"OncoSec's stunning new headquarters was a result of a truly collaborative effort between the Company and Alexandria. We are thrilled to welcome them to our innovative tenant community," said Daniel Ryan, Executive Vice President, Regional Market Director (San Diego) and Strategic Operations of Alexandria Real Estate Equities, Inc. "The new facility provides OncoSec with a sustainable and environmentally friendly space that accommodates growth and enhances their R&amp;D; operations. We look forward to continuing to serve OncoSec's facility needs and support its efforts developing targeted cancer therapies."</w:t>
        <w:br/>
        <w:br/>
        <w:t>The new facility, located at 5820 Nancy Ridge Drive, was built with environmental and green features in mind to reduce the Company's carbon footprint. The 34,000 square foot building features recycled materials, drought-tolerant vegetation, and a recycled water irrigation system, which will lower the water consumption impact and create an environment prepared to thrive in Southern California's current drought conditions.</w:t>
        <w:br/>
        <w:br/>
        <w:t>OncoSec's research facility also integrates approximately 15,000 square feet of laboratory space with state-of-the-art equipment required for Discovery Research activities. The design approach incorporates laboratory benches, specialized rooms, and equipment strategically positioned to maximize workflow, provide sufficient ambulatory space, and minimize potential disruption to research.</w:t>
        <w:br/>
        <w:br/>
        <w:t>Source: OncoSec Medical</w:t>
      </w:r>
    </w:p>
    <w:p>
      <w:pPr>
        <w:pStyle w:val="Heading1"/>
      </w:pPr>
      <w:r>
        <w:t>End of Article 21</w:t>
      </w:r>
    </w:p>
    <w:p>
      <w:r>
        <w:br w:type="page"/>
      </w:r>
    </w:p>
    <w:p>
      <w:pPr>
        <w:pStyle w:val="Heading1"/>
      </w:pPr>
      <w:r>
        <w:t>Start of Article 22</w:t>
      </w:r>
    </w:p>
    <w:p>
      <w:pPr>
        <w:pStyle w:val="Heading1"/>
      </w:pPr>
      <w:r>
        <w:t>Document ID BIOELSE020150831eb8o0000e</w:t>
      </w:r>
    </w:p>
    <w:p>
      <w:r>
        <w:t xml:space="preserve"> The second cohort will be comprised of patients with other INI1-negative tumours including epithelial sarcoma, epithelioid malignant peripheral nerve sheath tumour, extraskeletal myxoid chondrosarcoma, myoepithelial carcinoma, and renal medullary carcinoma. The third cohort will be comprised of patients with synovial sarcoma. Dosing in all three cohorts will be at the recommended phase 2 dose of 800 mg twice per day (BID) with a tablet formulation, which Epizyme is also using in its ongoing phase 2 trial in non-Hodgkin lymphoma. The primary endpoint is overall response rate (ORR) for patients with INI1-negative tumours and progression-free survival (PFS) for patients with synovial sarcoma. Secondary endpoints include duration of response, overall survival (OS), PFS for patients with INI1-negative tumours, safety and pharmacokinetics (PK). The paediatric phase 1 multicentre study will enrol approximately 40 patients in a dose escalation design, followed by dose expansion, with an oral suspension of tazemetostat. The study will enrol subjects with INI1-negative tumours or synovial sarcoma. INI1-negative tumours include MRT, ATRT, RTK, and other INI1-negative tumours as previously described. The primary endpoint of study is safety with the objective of establishing the recommended phase 2 dose in paediatric patients. Secondary endpoints include PK, ORR, duration of response, PFS and OS. Epizyme will present a clinical update for the phase 1 portion of the ongoing phase 1/2 trial of tazemetostat at ESMO's European Cancer Conference on 26 Sep 2015. This update will include safety data from the entire cohort and efficacy data from patients with solid tumours including INI1-negative tumours. Original Source: BioSpace.com, 2015. From website: http://www.biospace.com.</w:t>
        <w:br/>
        <w:br/>
        <w:t>BioSpace</w:t>
        <w:br/>
        <w:br/>
        <w:t>Website: http://www.biospace.com</w:t>
      </w:r>
    </w:p>
    <w:p>
      <w:pPr>
        <w:pStyle w:val="Heading1"/>
      </w:pPr>
      <w:r>
        <w:t>End of Article 22</w:t>
      </w:r>
    </w:p>
    <w:p>
      <w:r>
        <w:br w:type="page"/>
      </w:r>
    </w:p>
    <w:p>
      <w:pPr>
        <w:pStyle w:val="Heading1"/>
      </w:pPr>
      <w:r>
        <w:t>Start of Article 23</w:t>
      </w:r>
    </w:p>
    <w:p>
      <w:pPr>
        <w:pStyle w:val="Heading1"/>
      </w:pPr>
      <w:r>
        <w:t>Document ID BIWK000020150116eb1l000go</w:t>
      </w:r>
    </w:p>
    <w:p>
      <w:r>
        <w:t>Our news editors obtained a quote from the research from Varian Medical Systems, "Cells were treated in vitro with LY364947, a small-molecule inhibitor of the TGF-beta type 1 receptor kinase, or with the panisoform TGF-beta neutralizing monoclonal antibody 1D11 before radiation exposure. The DNA damage response was assessed by ataxia telangiectasia mutated (ATM) or Trp53 protein phosphorylation, gamma H2AX foci formation, or comet assay in irradiated cells. Radiation sensitivity was determined by clonogenic assay. Mice bearing syngeneic subcutaneous LLC tumors were treated with 5 fractions of 6 Gy and/or neutralizing or control antibody. The NCI-H1299, A549, and LLC NSCLC cell lines pretreated with LY364947 before radiation exposure exhibited compromised DNA damage response, indicated by decreased ATM and p53 phosphorylation, reduced gamma H2AX foci, and increased radiosensitivity. The NCI-H292 cells were unresponsive. Transforming growth factor-beta signaling inhibition in irradiated LLC cells resulted in unresolved DNA damage. Subcutaneous LLC tumors in mice treated with TGF-beta neutralizing antibody exhibited fewer gamma H2AX foci after irradiation and significantly greater tumor growth delay in combination with fractionated radiation. Inhibition of TGF-beta before radiation attenuated DNA damage recognition and increased radiosensitivity in most NSCLC cells in vitro and promoted radiation-induced tumor control in vivo."</w:t>
        <w:br/>
        <w:br/>
        <w:t>According to the news editors, the research concluded: "These data support the rationale for concurrent TGF-beta inhibition and RT to provide therapeutic benefit in NSCLC."</w:t>
        <w:br/>
        <w:br/>
        <w:t>For more information on this research see: Attenuation of the DNA Damage Response by Transforming Growth Factor-Beta Inhibitors Enhances Radiation Sensitivity of Non-Small-Cell Lung Cancer Cells In Vitro and In Vivo. International Journal of Radiation Oncology Biology Physics, 2015;91(1):91-99. International Journal of Radiation Oncology Biology Physics can be contacted at: Elsevier Science Inc, 360 Park Ave South, New York, NY 10010-1710, USA.</w:t>
        <w:br/>
        <w:br/>
        <w:t>The news editors report that additional information may be obtained by contacting S.S. Du, Varian Med Syst, Palo Alto, CA, United States. Additional authors for this research include S. Bouquet, C.H. Lo, I. Pellicciotta, S. Bolourchi, R. Parry and M.H. Barcellos-Hoff.</w:t>
        <w:br/>
        <w:br/>
        <w:t>Keywords for this news article include: Antibodies, Genetics, Oncology, Palo Alto, Cytokines, California, DNA Damage, Immunology, Proteomics, DNA Research, United States, Blood Proteins, Lung Neoplasms, Immunoglobulins, Deoxyribonucleic Acid, North and Central America, Non-Small Cell Lung Cancer, Non-Small-Cell Lung Cancer, TGF-beta Superfamily Proteins</w:t>
        <w:br/>
        <w:br/>
        <w:t>Our reports deliver fact-based news of research and discoveries from around the world. Copyright 2015, NewsRx LLC</w:t>
      </w:r>
    </w:p>
    <w:p>
      <w:pPr>
        <w:pStyle w:val="Heading1"/>
      </w:pPr>
      <w:r>
        <w:t>End of Article 23</w:t>
      </w:r>
    </w:p>
    <w:p>
      <w:r>
        <w:br w:type="page"/>
      </w:r>
    </w:p>
    <w:p>
      <w:pPr>
        <w:pStyle w:val="Heading1"/>
      </w:pPr>
      <w:r>
        <w:t>Start of Article 24</w:t>
      </w:r>
    </w:p>
    <w:p>
      <w:pPr>
        <w:pStyle w:val="Heading1"/>
      </w:pPr>
      <w:r>
        <w:t>Document ID PBRELS0020150615eb680000k</w:t>
      </w:r>
    </w:p>
    <w:p>
      <w:r>
        <w:t xml:space="preserve"> It is forecast to grow at a compound annual growth rate (CAGR) of 3.4% and reach $810 M by 2016. The US atopic dermatitis therapeutics market was $402 M in 2009 and is estimated to grow at a CAGR of 3.8% and reach $582 M by 2016. Original Source: PBR Pharmaceutical Business Review, http://www.pharmaceutical-business-review.com/, Copyright PBR 2015.</w:t>
        <w:br/>
        <w:br/>
        <w:t>PBR Pharmaceutical Business Review</w:t>
        <w:br/>
        <w:br/>
        <w:t>Website: http://www.pharmaceutical-business-review.com/</w:t>
      </w:r>
    </w:p>
    <w:p>
      <w:pPr>
        <w:pStyle w:val="Heading1"/>
      </w:pPr>
      <w:r>
        <w:t>End of Article 24</w:t>
      </w:r>
    </w:p>
    <w:p>
      <w:r>
        <w:br w:type="page"/>
      </w:r>
    </w:p>
    <w:p>
      <w:pPr>
        <w:pStyle w:val="Heading1"/>
      </w:pPr>
      <w:r>
        <w:t>Start of Article 25</w:t>
      </w:r>
    </w:p>
    <w:p>
      <w:pPr>
        <w:pStyle w:val="Heading1"/>
      </w:pPr>
      <w:r>
        <w:t>Document ID BWR0000020150730eb7u000b3</w:t>
      </w:r>
    </w:p>
    <w:p>
      <w:r>
        <w:t>"We are excited with the potential of the Quell Health Cloud to unlock even greater potential for Quell," said Shai N. Gozani, M.D., Ph.D., President and Chief Executive Officer of NeuroMetrix. "Health Cloud brings Quell to the center of the digital health revolution, and we expect that the data captured will further advance the benefits of the device for people with chronic pain and will also contribute on a broader basis to our understanding of chronic pain and sleep."</w:t>
        <w:br/>
        <w:br/>
        <w:t>About NeuroMetrix</w:t>
        <w:br/>
        <w:br/>
        <w:t>NeuroMetrix is an innovative health-care company that develops wearable medical technology and point-of-care tests that help patients and physicians better manage chronic pain, nerve diseases, and sleep disorders. For more information, please visit www.NeuroMetrix.com.</w:t>
        <w:br/>
        <w:br/>
        <w:t>View source version on businesswire.com: http://www.businesswire.com/news/home/20150730006037/en/</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B0DA69-3FF6-4AF6-A98D-68C457272645}"/>
</file>

<file path=customXml/itemProps3.xml><?xml version="1.0" encoding="utf-8"?>
<ds:datastoreItem xmlns:ds="http://schemas.openxmlformats.org/officeDocument/2006/customXml" ds:itemID="{79B61995-C149-4B12-86F7-120D5CB1390B}"/>
</file>

<file path=customXml/itemProps4.xml><?xml version="1.0" encoding="utf-8"?>
<ds:datastoreItem xmlns:ds="http://schemas.openxmlformats.org/officeDocument/2006/customXml" ds:itemID="{1AC6CF97-C053-41E3-B425-87DC5662603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