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654946DC" wp14:textId="77777777">
      <w:pPr>
        <w:pStyle w:val="Heading1"/>
      </w:pPr>
      <w:r>
        <w:t>Start of Article 1</w:t>
      </w:r>
    </w:p>
    <w:p xmlns:wp14="http://schemas.microsoft.com/office/word/2010/wordml" w14:paraId="0873BECA" wp14:textId="77777777">
      <w:pPr>
        <w:pStyle w:val="Heading1"/>
      </w:pPr>
      <w:r>
        <w:t>Document ID BWR0000020151019ebaj000g3</w:t>
      </w:r>
    </w:p>
    <w:p xmlns:wp14="http://schemas.microsoft.com/office/word/2010/wordml" w14:paraId="4DD8E713" wp14:textId="77777777">
      <w:r>
        <w:t>"Although the FDA has not provided us with any information regarding the nature of the deficiencies, we intend to work closely with the FDA to understand the nature of any such deficiencies once identified to us and resolve them as quickly as possible," said Vipin K. Garg, Ph.D., President and CEO of Neos Therapeutics. "We look forward to moving ahead with our plan to bring the benefits of Cotempla XR-ODT and our two additional product candidates to patients with ADHD as potential novel treatment options."</w:t>
      </w:r>
      <w:r>
        <w:br/>
      </w:r>
      <w:r>
        <w:br/>
      </w:r>
      <w:r>
        <w:t>Under the time frames negotiated as a result of the Prescription Drug User Fee Act (PDUFA), the FDA set a goal date of January 27, 2016 for the Company's amphetamine XR-ODT, or NT-0202. Neos also manufactures and markets a generic equivalent to the branded product Tussionex(R)(1) .</w:t>
      </w:r>
      <w:r>
        <w:br/>
      </w:r>
      <w:r>
        <w:br/>
      </w:r>
      <w:r>
        <w:t>About XR--ODT Technology</w:t>
      </w:r>
      <w:r>
        <w:br/>
      </w:r>
      <w:r>
        <w:br/>
      </w:r>
      <w:r>
        <w:t>Stimulant medications such as methylphenidate and amphetamine are the standard of care for treating ADHD, and XR formulations of these medications allow for once--daily dosing. However, recent data suggest that a significant percentage of the pediatric population have difficulty swallowing solid dosage forms, and many remain uncomfortable doing so into adulthood. Orally disintegrating tablets (ODTs) differ from traditional tablets and capsules in that they are designed to disintegrate on the tongue without the need for water, rather than being swallowed whole.</w:t>
      </w:r>
      <w:r>
        <w:br/>
      </w:r>
      <w:r>
        <w:br/>
      </w:r>
      <w:r>
        <w:t>About Neos Therapeutics</w:t>
      </w:r>
      <w:r>
        <w:br/>
      </w:r>
      <w:r>
        <w:br/>
      </w:r>
      <w:r>
        <w:t>Neos Therapeutics, Inc. is a pharmaceutical company focused on developing, manufacturing and commercializing products utilizing its proprietary modified--release drug delivery technology platform. The Company is initially focusing on ADHD and has developed three branded product candidates that are XR medications in patient--friendly ODT or liquid suspension dosage forms. In addition, Neos manufactures and markets its generic equivalent of the branded product Tussionex, an XR liquid suspension of hydrocodone and chlorpheniramine indicated for the relief of cough and upper respiratory symptoms of a cold.</w:t>
      </w:r>
      <w:r>
        <w:br/>
      </w:r>
      <w:r>
        <w:br/>
      </w:r>
      <w:r>
        <w:t>Forward-Looking Statements</w:t>
      </w:r>
      <w:r>
        <w:br/>
      </w:r>
      <w:r>
        <w:br/>
      </w:r>
      <w:r>
        <w:t>This press release contains forward--looking statements within the meaning of the Private Securities Litigation Reform Act of 1995, including statements concerning the PDUFA dates for Cotempla XR--ODT(TM) and NT--0202 and capabilities of our two XR-ODT products. Forward--looking statements generally relate to future events or our future financial or operating performance. In some cases, you can identify forward--looking statements because they contain words such as "may," "will," "should," "expects," "plans," "anticipates," "could," "intends," "target," "projects," "contemplates," "believes," "estimates, " "predicts," "potential" or "continue" or the negative of these words or other similar terms or expressions that concern our expectations, strategy, plans, prospects or intentions. These forward-looking statements reflect our current views about our expectations, strategy, plans, prospects or intentions, which are based on the information currently available to us and on assumptions we have made. Although we believe that our plans, intentions, expectations, strategies and prospects as reflected in or suggested by those forward-looking statements are reasonable, we can give no assurance that the plans, intentions, expectations or strategies will be attained or achieved. Furthermore, actual results may differ materially from those described in the forward-looking statements and will be affected by a variety of risks and factors that are beyond our control including, without limitation, any deficiencies the FDA may identify with respect to Cotempla XR-ODT and whether the Company will be able to address the issues that may relate to those deficiencies, the receipt of regulatory approval for our product candidates, our ability to market and sell our product candidates, and other risks set forth under the caption "Risk Factors" in our final prospectus filed on July 24, 2015 pursuant to Rule 424(b) of the Securities Act of 1933, as amended, as updated by our subsequently filed Quarterly Reports on Form 10-Q and our other SEC filings. We assume no obligation to update any forward-looking statements contained in this document as a result of new information, future events or otherwise.</w:t>
      </w:r>
      <w:r>
        <w:br/>
      </w:r>
      <w:r>
        <w:br/>
      </w:r>
      <w:r>
        <w:t>(1) Tussionex(R) is a registered trademark of the UCB Group of Companies</w:t>
      </w:r>
      <w:r>
        <w:br/>
      </w:r>
      <w:r>
        <w:br/>
      </w:r>
      <w:r>
        <w:t>View source version on businesswire.com: http://www.businesswire.com/news/home/20151019006538/en/</w:t>
      </w:r>
    </w:p>
    <w:p xmlns:wp14="http://schemas.microsoft.com/office/word/2010/wordml" w14:paraId="1C71B958" wp14:textId="77777777">
      <w:pPr>
        <w:pStyle w:val="Heading1"/>
      </w:pPr>
      <w:r>
        <w:t>End of Article 1</w:t>
      </w:r>
    </w:p>
    <w:p xmlns:wp14="http://schemas.microsoft.com/office/word/2010/wordml" w14:paraId="672A6659" wp14:textId="77777777">
      <w:r>
        <w:br w:type="page"/>
      </w:r>
    </w:p>
    <w:p xmlns:wp14="http://schemas.microsoft.com/office/word/2010/wordml" w14:paraId="1A1BB6B8" wp14:textId="77777777">
      <w:pPr>
        <w:pStyle w:val="Heading1"/>
      </w:pPr>
      <w:r>
        <w:t>Start of Article 2</w:t>
      </w:r>
    </w:p>
    <w:p xmlns:wp14="http://schemas.microsoft.com/office/word/2010/wordml" w14:paraId="51EFFCE5" wp14:textId="77777777">
      <w:pPr>
        <w:pStyle w:val="Heading1"/>
      </w:pPr>
      <w:r>
        <w:t>Document ID MDST000020150529eb67000iw</w:t>
      </w:r>
    </w:p>
    <w:p xmlns:wp14="http://schemas.microsoft.com/office/word/2010/wordml" w14:paraId="6246E289" wp14:textId="77777777" wp14:noSpellErr="1">
      <w:r w:rsidR="37738FEF">
        <w:rPr/>
        <w:t>The company recently reported six-month follow-up results from the DISRUPT PAD trial, a 35-patient study of patients with calcified vascular stenosis of the superficial femoral artery (SFA) and popliteal artery treated with the Lithoplasty system. Data reported at the 37th Annual Charing Cross 2015 Symposium in London demonstrate safe and effective dilatation of calcified stenosis with no acute failures, favorable residual stenosis, no major device-related adverse events and no need for stent placement. Six-month durability was excellent with no need for re-treatment and patency by duplex ultrasound of 83%.</w:t>
      </w:r>
      <w:r>
        <w:br/>
      </w:r>
      <w:r>
        <w:br/>
      </w:r>
      <w:r w:rsidR="37738FEF">
        <w:rPr/>
        <w:t>"We are very pleased to work with such a high quality group of investors to continue advancing the development of Lithoplasty," said Shockwave Medical CEO and co-founder Daniel Hawkins. "</w:t>
      </w:r>
      <w:r w:rsidRPr="37738FEF" w:rsidR="37738FEF">
        <w:rPr>
          <w:highlight w:val="yellow"/>
        </w:rPr>
        <w:t>We believe the Lithoplasty system is uniquely suited to address substantial unmet needs in the treatment of patients with peripheral, coronary and aortic valve disease using a b</w:t>
      </w:r>
      <w:r w:rsidR="37738FEF">
        <w:rPr/>
        <w:t>alloon-based approach that is inherently familiar to physicians. Our returning and new investors provide us the depth of resources and breadth of support needed to achieve our goal of changing the paradigm in the treatment of advanced cardiovascular disease."</w:t>
      </w:r>
      <w:r>
        <w:br/>
      </w:r>
      <w:r>
        <w:br/>
      </w:r>
      <w:r w:rsidR="37738FEF">
        <w:rPr/>
        <w:t>"We were very impressed with the level of interest and the quality of the investor group that Shockwave was able to bring into this new funding round, with blue-chip financial investors as well as two major corporate investors," said Antoine Papiernik, managing partner of Sofinnova Partners. "This is a tribute to the strength of the Lithoplasty technology as well as to the work that management has done to develop it to this stage."</w:t>
      </w:r>
      <w:r>
        <w:br/>
      </w:r>
      <w:r>
        <w:br/>
      </w:r>
      <w:r w:rsidR="37738FEF">
        <w:rPr/>
        <w:t>"Shockwave has the potential to significantly improve the treatment of advanced cardiovascular disease with products based on an intuitive, simple platform technology. We are encouraged by the success to date and look forward to helping the management team build a world-class company," said Colin Cahill, vice president at Venrock.</w:t>
      </w:r>
      <w:r>
        <w:br/>
      </w:r>
      <w:r>
        <w:br/>
      </w:r>
      <w:r w:rsidR="37738FEF">
        <w:rPr/>
        <w:t xml:space="preserve">In advanced vascular disease, atherosclerosis becomes calcified deep inside the vessel walls, limiting blood flow. These deposits are difficult to treat because they limit the effectiveness of current endovascular devices, making today's interventions challenging and prone to both procedural and long-term failure. </w:t>
      </w:r>
      <w:r w:rsidRPr="37738FEF" w:rsidR="37738FEF">
        <w:rPr>
          <w:highlight w:val="yellow"/>
        </w:rPr>
        <w:t>Lithoplasty is a novel balloon-based technology that utilizes integrated lithotripsy, a pulsatile mechanical energy commonly used to break up kidney stones, to disrupt both superficial and deep calcium and normalize vessel wall compliance prior to low-pressure balloon dilatation</w:t>
      </w:r>
      <w:r w:rsidR="37738FEF">
        <w:rPr/>
        <w:t>. Lithoplasty is designed to be naturally gentle to soft tissue (non-diseased portions of the vessel) while remaining hard on calcium, the tissue that limits vessel expansion and the effectiveness of current technologies. About Shockwave's Lithoplasty(R) System Delivered on a standard balloon catheter platform, Lithoplasty combines the calcium disrupting power of lithotripsy with the familiarity and simplicity of a balloon in a single enabling device. Lithoplasty applies a brief series of powerful mechanical pulses designed to safely travel through soft tissue and disrupt calcium. The integrated balloon is then dilated at low pressures to expand the lesion evenly, potentially minimizing acute soft tissue injury that could lead to the need for additional interventional treatments or long-term restenosis (re-blockage). Unlike current devices that treat only superficial calcium, Shockwave's Lithoplasty system is designed to be effective on all types of calcium, including deep - the type known to limit vessel expansion.</w:t>
      </w:r>
      <w:r>
        <w:br/>
      </w:r>
      <w:r>
        <w:br/>
      </w:r>
      <w:r w:rsidR="37738FEF">
        <w:rPr/>
        <w:t>Early clinical results demonstrate safety, tolerability, deliverability, and effectiveness for Lithoplasty as a treatment for patients with peripheral artery disease and as a pre-treatment of calcified coronary lesions prior to stenting. Clinical work will begin in aortic valves within the coming year. Shockwave has received CE Mark for use of Lithoplasty in the treatment of peripheral vascular disease. Lithoplasty is not available for sale in the United States.</w:t>
      </w:r>
      <w:r>
        <w:br/>
      </w:r>
      <w:r>
        <w:br/>
      </w:r>
      <w:r w:rsidR="37738FEF">
        <w:rPr/>
        <w:t xml:space="preserve">To view an animation of Lithoplasty visit http://shockwavemedical.com/technology . About Shockwave Medical Shockwave Medical, based in Fremont, Calif., is pioneering Lithoplasty(R) technology, </w:t>
      </w:r>
      <w:r w:rsidRPr="37738FEF" w:rsidR="37738FEF">
        <w:rPr>
          <w:highlight w:val="yellow"/>
        </w:rPr>
        <w:t>a promising breakthrough for the treatment of peripheral and coronary vascular disease and aortic stenosis.</w:t>
      </w:r>
      <w:r w:rsidR="37738FEF">
        <w:rPr/>
        <w:t xml:space="preserve"> Delivered on a standard balloon catheter platform, Lithoplasty combines the calcium disrupting power of lithotripsy with the familiarity and simplicity of a balloon in a single enabling device. For more information visit www.shockwavemedical.com. View source version on businesswire.com: http://www.businesswire.com/news/home/20150519006371/en/ . View source version on businesswire.com:</w:t>
      </w:r>
      <w:r>
        <w:br/>
      </w:r>
      <w:r>
        <w:br/>
      </w:r>
      <w:r w:rsidR="37738FEF">
        <w:rPr/>
        <w:t>Keywords for this news article include: Stenosis, Angiology, Cardiology, Hematology, Technology, Aortic Valve, Heart Valves, Cardio Device, Medical Devices, Shockwave Medical, Cardiovascular Diseases.</w:t>
      </w:r>
      <w:r>
        <w:br/>
      </w:r>
      <w:r>
        <w:br/>
      </w:r>
      <w:r w:rsidR="37738FEF">
        <w:rPr/>
        <w:t>Our reports deliver fact-based news of research and discoveries from around the world. Copyright 2015, NewsRx LLC</w:t>
      </w:r>
    </w:p>
    <w:p xmlns:wp14="http://schemas.microsoft.com/office/word/2010/wordml" w14:paraId="0FDED580" wp14:textId="77777777">
      <w:pPr>
        <w:pStyle w:val="Heading1"/>
      </w:pPr>
      <w:r>
        <w:t>End of Article 2</w:t>
      </w:r>
    </w:p>
    <w:p xmlns:wp14="http://schemas.microsoft.com/office/word/2010/wordml" w14:paraId="0A37501D" wp14:textId="77777777">
      <w:r>
        <w:br w:type="page"/>
      </w:r>
    </w:p>
    <w:p xmlns:wp14="http://schemas.microsoft.com/office/word/2010/wordml" w14:paraId="6E8EB604" wp14:textId="77777777">
      <w:pPr>
        <w:pStyle w:val="Heading1"/>
      </w:pPr>
      <w:r>
        <w:t>Start of Article 3</w:t>
      </w:r>
    </w:p>
    <w:p xmlns:wp14="http://schemas.microsoft.com/office/word/2010/wordml" w14:paraId="092021BE" wp14:textId="77777777">
      <w:pPr>
        <w:pStyle w:val="Heading1"/>
      </w:pPr>
      <w:r>
        <w:t>Document ID NANLEB0020150807eb85000q2</w:t>
      </w:r>
    </w:p>
    <w:p xmlns:wp14="http://schemas.microsoft.com/office/word/2010/wordml" w14:paraId="3D344B5D" wp14:textId="77777777" wp14:noSpellErr="1">
      <w:r w:rsidR="37738FEF">
        <w:rPr/>
        <w:t>"</w:t>
      </w:r>
      <w:r w:rsidRPr="37738FEF" w:rsidR="37738FEF">
        <w:rPr>
          <w:highlight w:val="yellow"/>
        </w:rPr>
        <w:t>The improvements reflected in the new Ovation iX aortic body set the Ovation® system even further ahead in terms of ease of use and predictability of deployment.</w:t>
      </w:r>
      <w:r w:rsidR="37738FEF">
        <w:rPr/>
        <w:t xml:space="preserve"> This allows me to treat both straightforward and more challenging AAA anatomies with confidence," commented Dr. Steve Henao, Vascular Surgeon at New Mexico Heart Institute. "By providing an alternative to retrograde cannulation - there when I need it, imperceptible when I don't - the Ovation iX system offers not only excellent accuracy, but also procedural predictability. As a result, I am confident in my ability to offer my patients consistent, high quality clinical outcomes with the Ovation system."</w:t>
      </w:r>
      <w:r>
        <w:br/>
      </w:r>
      <w:r>
        <w:br/>
      </w:r>
      <w:r w:rsidR="37738FEF">
        <w:rPr/>
        <w:t>The FDA approval of the Ovation iX Abdominal Stent Graft System marks the sixth FDA approval related to the Ovation platform since September 2011. This demonstrates TriVascular's ongoing commitment to quickly providing physicians with clinically useful products. The ease-of-use enhancements incorporated into the iX aortic body delivery system, as well as the recently approved iX iliac limb technology, are a direct result of physician input and indicative of TriVascular's responsiveness to clinical feedback.</w:t>
      </w:r>
      <w:r>
        <w:br/>
      </w:r>
      <w:r>
        <w:br/>
      </w:r>
      <w:r w:rsidR="37738FEF">
        <w:rPr/>
        <w:t xml:space="preserve">"The </w:t>
      </w:r>
      <w:r w:rsidRPr="37738FEF" w:rsidR="37738FEF">
        <w:rPr>
          <w:highlight w:val="yellow"/>
        </w:rPr>
        <w:t>launch</w:t>
      </w:r>
      <w:r w:rsidR="37738FEF">
        <w:rPr/>
        <w:t xml:space="preserve"> of the complete Ovation iX system supports our mission to improve and safely expand EVAR for all and serves as evidence of our commitment to deliver a strong pipeline of products," said Christopher G. Chavez, Chairman, CEO and President of TriVascular. "We believe the Ovation iX delivery system enhancements will complement the broad IFU of the Ovation system and further enable our physician partners to provide improved, on-label EVAR treatment to more patients."</w:t>
      </w:r>
      <w:r>
        <w:br/>
      </w:r>
      <w:r>
        <w:br/>
      </w:r>
      <w:r w:rsidR="37738FEF">
        <w:rPr/>
        <w:t>The Ovation platform has been used in the successful treatment of over 7,000 patients worldwide. Excellent clinical results have been reported from both the Ovation global pivotal trial and a 501-patient European Post-Market Registry. The Ovation platform is available for sale in over 35 countries.</w:t>
      </w:r>
      <w:r>
        <w:br/>
      </w:r>
      <w:r>
        <w:br/>
      </w:r>
      <w:r w:rsidR="37738FEF">
        <w:rPr/>
        <w:t>About TriVascular Technologies, Inc. - TriVascular is a medical device company developing and commercializing innovative technologies to significantly advance minimally invasive treatment of abdominal aortic aneurysms. The company manufactures the Ovation Abdominal Stent Graft platform, the lowest profile FDA-approved EVAR system, which utilizes a novel, polymer-based sealing mechanism. TriVascular is based in Santa Rosa, California.</w:t>
      </w:r>
      <w:r>
        <w:br/>
      </w:r>
      <w:r>
        <w:br/>
      </w:r>
      <w:r w:rsidR="37738FEF">
        <w:rPr/>
        <w:t>Forward-Looking Statements</w:t>
      </w:r>
      <w:r>
        <w:br/>
      </w:r>
      <w:r>
        <w:br/>
      </w:r>
      <w:r w:rsidR="37738FEF">
        <w:rPr/>
        <w:t>In addition to the historical information, this press release contains forward-looking statements with respect to our business, the Ovation system, our stent graft technology and our ability to expand EVAR treatment option to a broader population of patients with AAA disease. These forward-looking statements are based upon information that is currently available to us or our current expectations, speak only as of the date hereof, and are subject to numerous risks and uncertainties, including our ability to successfully commercialize our products; continued market acceptance of our endovascular aortic repair systems; our ability to manufacture our endovascular systems to meet demand; the level and availability of third party payor reimbursement for our products, our ability to effectively manage our anticipated growth; our ability to protect our intellectual property rights and proprietary technologies; our ability to operate our business without infringing the intellectual property rights and proprietary technology of third parties; our ability to develop new or complementary technologies; the regulatory requirements applicable to us and our competitors; competition in our industry; additional capital and credit availability, our ability to attract and retain qualified personnel; product liability claims; and general economic and worldwide business conditions. These factors, together with those that are described in greater detail in our Annual Report on Form 10-K filed with the SEC on March 9, 2015 and our other filings with the SEC, may cause our actual results, performance or achievements to differ materially and adversely from those anticipated or implied by our forward-looking statements. We expressly disclaim any obligation, except as required by law, or undertaking to update or revise any such forward-looking statements.</w:t>
      </w:r>
      <w:r>
        <w:br/>
      </w:r>
      <w:r>
        <w:br/>
      </w:r>
      <w:r w:rsidR="37738FEF">
        <w:rPr/>
        <w:t>Company Contact:</w:t>
      </w:r>
      <w:r>
        <w:br/>
      </w:r>
      <w:r>
        <w:br/>
      </w:r>
      <w:r w:rsidR="37738FEF">
        <w:rPr/>
        <w:t>TriVascular Technologies, Inc.</w:t>
      </w:r>
      <w:r>
        <w:br/>
      </w:r>
      <w:r>
        <w:br/>
      </w:r>
      <w:r w:rsidR="37738FEF">
        <w:rPr/>
        <w:t>Michael Kramer</w:t>
      </w:r>
      <w:r>
        <w:br/>
      </w:r>
      <w:r>
        <w:br/>
      </w:r>
      <w:r w:rsidR="37738FEF">
        <w:rPr/>
        <w:t>Chief Financial Officer</w:t>
      </w:r>
      <w:r>
        <w:br/>
      </w:r>
      <w:r>
        <w:br/>
      </w:r>
      <w:r w:rsidR="37738FEF">
        <w:rPr/>
        <w:t>707-543-8709</w:t>
      </w:r>
      <w:r>
        <w:br/>
      </w:r>
      <w:r>
        <w:br/>
      </w:r>
      <w:r w:rsidR="37738FEF">
        <w:rPr/>
        <w:t>Media Contact:</w:t>
      </w:r>
      <w:r>
        <w:br/>
      </w:r>
      <w:r>
        <w:br/>
      </w:r>
      <w:r w:rsidR="37738FEF">
        <w:rPr/>
        <w:t>TriVascular Technologies, Inc.</w:t>
      </w:r>
      <w:r>
        <w:br/>
      </w:r>
      <w:r>
        <w:br/>
      </w:r>
      <w:r w:rsidR="37738FEF">
        <w:rPr/>
        <w:t>Vivek K. Jayaraman</w:t>
      </w:r>
      <w:r>
        <w:br/>
      </w:r>
      <w:r>
        <w:br/>
      </w:r>
      <w:r w:rsidR="37738FEF">
        <w:rPr/>
        <w:t>VP, Global Sales &amp; Marketing</w:t>
      </w:r>
      <w:r>
        <w:br/>
      </w:r>
      <w:r>
        <w:br/>
      </w:r>
      <w:r w:rsidR="37738FEF">
        <w:rPr/>
        <w:t>707-543-8804</w:t>
      </w:r>
      <w:r>
        <w:br/>
      </w:r>
      <w:r>
        <w:br/>
      </w:r>
      <w:r w:rsidR="37738FEF">
        <w:rPr/>
        <w:t>Investor Relations Contact:</w:t>
      </w:r>
      <w:r>
        <w:br/>
      </w:r>
      <w:r>
        <w:br/>
      </w:r>
      <w:r w:rsidR="37738FEF">
        <w:rPr/>
        <w:t>Westwicke Partners</w:t>
      </w:r>
      <w:r>
        <w:br/>
      </w:r>
      <w:r>
        <w:br/>
      </w:r>
      <w:r w:rsidR="37738FEF">
        <w:rPr/>
        <w:t>Jamar Ismail</w:t>
      </w:r>
      <w:r>
        <w:br/>
      </w:r>
      <w:r>
        <w:br/>
      </w:r>
      <w:r w:rsidR="37738FEF">
        <w:rPr/>
        <w:t>415-513-1280</w:t>
      </w:r>
      <w:r>
        <w:br/>
      </w:r>
      <w:r>
        <w:br/>
      </w:r>
      <w:r w:rsidR="37738FEF">
        <w:rPr/>
        <w:t>For the original version on GlobeNewswire visit: http://globenewswire.com/news-release/2015/08/04/757483/10144460/en/TriVascular-Technologies-Inc-Receives-FDA-Approval-of-the-Ovation-iX-TM-Abdominal-Stent-Graft-System.html</w:t>
      </w:r>
    </w:p>
    <w:p xmlns:wp14="http://schemas.microsoft.com/office/word/2010/wordml" w14:paraId="23301A02" wp14:textId="77777777">
      <w:pPr>
        <w:pStyle w:val="Heading1"/>
      </w:pPr>
      <w:r>
        <w:t>End of Article 3</w:t>
      </w:r>
    </w:p>
    <w:p xmlns:wp14="http://schemas.microsoft.com/office/word/2010/wordml" w14:paraId="5DAB6C7B" wp14:textId="77777777">
      <w:r>
        <w:br w:type="page"/>
      </w:r>
    </w:p>
    <w:p xmlns:wp14="http://schemas.microsoft.com/office/word/2010/wordml" w14:paraId="35371ADB" wp14:textId="77777777">
      <w:pPr>
        <w:pStyle w:val="Heading1"/>
      </w:pPr>
      <w:r>
        <w:t>Start of Article 4</w:t>
      </w:r>
    </w:p>
    <w:p xmlns:wp14="http://schemas.microsoft.com/office/word/2010/wordml" w14:paraId="7FA63474" wp14:textId="77777777">
      <w:pPr>
        <w:pStyle w:val="Heading1"/>
      </w:pPr>
      <w:r>
        <w:t>Document ID FREG000020151222ebcm00023</w:t>
      </w:r>
    </w:p>
    <w:p xmlns:wp14="http://schemas.microsoft.com/office/word/2010/wordml" w14:paraId="2D00BABA" wp14:textId="77777777">
      <w:r>
        <w:t>ADDRESSES: Requests for copies of the patent application, inquiries, comments, and other materials relating to the contemplated exclusive license should be directed to Martha Lubet, Ph.D., Technology Transfer Specialist, NCI TTC, 9609 Medical Center Drive, Room IE350, and Rockville, MD 20850. Telephone: (240) 276-5508. Facsimile: (240) 276-5505. Email: lubetm@mail.nih.gov.</w:t>
      </w:r>
      <w:r>
        <w:br/>
      </w:r>
      <w:r>
        <w:br/>
      </w:r>
      <w:r>
        <w:t>SUPPLEMENTARY INFORMATION: This invention concerns analogues of modafinil and methods of using the analogues for the treatment of substance use disorders and sleep disorders.</w:t>
      </w:r>
      <w:r>
        <w:br/>
      </w:r>
      <w:r>
        <w:br/>
      </w:r>
      <w:r>
        <w:t>The prospective exclusive start-up option license will be royalty bearing and will comply with the terms and conditions of 35 U.S.C. 209 and 37 CFR part 404. The prospective exclusive start-up option may be granted unless within fifteen (15) days from the date of this published notice, the NCI receives written evidence and argument that establishes that the grant of the license would not be consistent with the requirements of 35 U.S.C. 209 and 37 CFR part 404.</w:t>
      </w:r>
      <w:r>
        <w:br/>
      </w:r>
      <w:r>
        <w:br/>
      </w:r>
      <w:r>
        <w:t>Complete applications for a license in the field of use filed in response to this notice will be treated as objections to the grant of the contemplated exclusive start-up option license. Comments and objections submitted to this notice will not be made available for public inspection and, to the extent permitted by law, will not be released under the Freedom of Information Act, 5 U.S.C. 552.</w:t>
      </w:r>
      <w:r>
        <w:br/>
      </w:r>
      <w:r>
        <w:br/>
      </w:r>
      <w:r>
        <w:t>Intellectual Property:</w:t>
      </w:r>
      <w:r>
        <w:br/>
      </w:r>
      <w:r>
        <w:br/>
      </w:r>
      <w:r>
        <w:t>U.S. provisional application 61/774,878, filed March 8, 2013 entitled "Potent and Selective Inhibitors of Monamine Transporters; Methods of Making; and Uses Thereof" [HHS Ref. No. E-073-2013/0-US-01];</w:t>
      </w:r>
      <w:r>
        <w:br/>
      </w:r>
      <w:r>
        <w:br/>
      </w:r>
      <w:r>
        <w:t>PCT application PCT/US2014/021514, filed March 7, 2014 entitled "Potent and Selective Analogues of: Monamine Transporters; Methods of Making; and Uses Thereof" [HHS Ref. No. E-073-2013/0-PCT-02];</w:t>
      </w:r>
      <w:r>
        <w:br/>
      </w:r>
      <w:r>
        <w:br/>
      </w:r>
      <w:r>
        <w:t>U.S. application 14/772,486, filed September 3, 2015 entitled "Potent and Selective Analogues of Monamine Transporters; Methods of Making; and Uses Thereof" [HHS Ref. No. E-073-2013/0-US-06];</w:t>
      </w:r>
      <w:r>
        <w:br/>
      </w:r>
      <w:r>
        <w:br/>
      </w:r>
      <w:r>
        <w:t>EPO application 14714043.8, filed September 1, 2015 entitled "Potent and Selective Analogues of Monamine Transporters; Methods of Making; and Uses Thereof" [HHS Ref. No. E-073-2013/0-EP-05];</w:t>
      </w:r>
      <w:r>
        <w:br/>
      </w:r>
      <w:r>
        <w:br/>
      </w:r>
      <w:r>
        <w:t>Australian application 2014225550, filed September 8, 2015 entitled "Potent and Selective Analogues of Monamine Transporters; Methods of Making; and Uses Thereof" [HHS Ref. No. E-073-2013/0-AU-03];</w:t>
      </w:r>
      <w:r>
        <w:br/>
      </w:r>
      <w:r>
        <w:br/>
      </w:r>
      <w:r>
        <w:t>Canadian application 2903746, filed September 2, 2015 entitled "Potent and Selective Analogues of Monamine Transporters; Methods of Making; and Uses Thereof" [HHS Ref. No. E-073-2013/0-CA-04];</w:t>
      </w:r>
      <w:r>
        <w:br/>
      </w:r>
      <w:r>
        <w:br/>
      </w:r>
      <w:r>
        <w:t>The patent rights to these inventions have been assigned to and/or exclusively licensed to the Government of the United States of America.</w:t>
      </w:r>
      <w:r>
        <w:br/>
      </w:r>
      <w:r>
        <w:br/>
      </w:r>
      <w:r>
        <w:t>The prospective exclusive start-up option licensed territory may be worldwide and the field of use may be limited to: (a) Treatment of substance use disorders and/or (b) treatment of sleep disorders.</w:t>
      </w:r>
      <w:r>
        <w:br/>
      </w:r>
      <w:r>
        <w:br/>
      </w:r>
      <w:r>
        <w:t>Upon the expiration or termination of the exclusive start-up option license, EncepHeal Therapeutics, Inc. will have the exclusive right to execute a start-up exclusive commercialization license which will supersede and replace the exclusive start-up option license with no greater field of use and territory than granted in the exclusive start-up option license.</w:t>
      </w:r>
      <w:r>
        <w:br/>
      </w:r>
      <w:r>
        <w:br/>
      </w:r>
      <w:r>
        <w:t>Dated: December 17, 2015.</w:t>
      </w:r>
      <w:r>
        <w:br/>
      </w:r>
      <w:r>
        <w:br/>
      </w:r>
      <w:r>
        <w:t>Richard U. Rodriguez,</w:t>
      </w:r>
      <w:r>
        <w:br/>
      </w:r>
      <w:r>
        <w:br/>
      </w:r>
      <w:r>
        <w:t>Associate Director, Technology Transfer Center, National Cancer Institute.</w:t>
      </w:r>
      <w:r>
        <w:br/>
      </w:r>
      <w:r>
        <w:br/>
      </w:r>
      <w:r>
        <w:t>[FR Doc. 2015-32141 Filed 12-21-15; 8:45 am]</w:t>
      </w:r>
      <w:r>
        <w:br/>
      </w:r>
      <w:r>
        <w:br/>
      </w:r>
      <w:r>
        <w:t>BILLING CODE 4140-01-P</w:t>
      </w:r>
    </w:p>
    <w:p xmlns:wp14="http://schemas.microsoft.com/office/word/2010/wordml" w14:paraId="06BBFE80" wp14:textId="77777777">
      <w:pPr>
        <w:pStyle w:val="Heading1"/>
      </w:pPr>
      <w:r>
        <w:t>End of Article 4</w:t>
      </w:r>
    </w:p>
    <w:p xmlns:wp14="http://schemas.microsoft.com/office/word/2010/wordml" w14:paraId="02EB378F" wp14:textId="77777777">
      <w:r>
        <w:br w:type="page"/>
      </w:r>
    </w:p>
    <w:p xmlns:wp14="http://schemas.microsoft.com/office/word/2010/wordml" w14:paraId="317907DB" wp14:textId="77777777">
      <w:pPr>
        <w:pStyle w:val="Heading1"/>
      </w:pPr>
      <w:r>
        <w:t>Start of Article 5</w:t>
      </w:r>
    </w:p>
    <w:p xmlns:wp14="http://schemas.microsoft.com/office/word/2010/wordml" w14:paraId="5199F3BD" wp14:textId="77777777">
      <w:pPr>
        <w:pStyle w:val="Heading1"/>
      </w:pPr>
      <w:r>
        <w:t>Document ID RTNW000020150702eb72000ff</w:t>
      </w:r>
    </w:p>
    <w:p xmlns:wp14="http://schemas.microsoft.com/office/word/2010/wordml" w14:paraId="698B5873" wp14:textId="77777777">
      <w:r>
        <w:t>Boston-based Vertex already sells Kalydeco, which treats a different genetic type of cystic fibrosis with an annual price of $311,000 per patient in the U.S.</w:t>
      </w:r>
      <w:r>
        <w:br/>
      </w:r>
      <w:r>
        <w:br/>
      </w:r>
      <w:r>
        <w:t>Vertex hasn't said what it will charge for Orkambi, which could treat as many as 8,500 patients in the U.S., or roughly 28% of the 30,000 people in the U.S. with the disease.</w:t>
      </w:r>
      <w:r>
        <w:br/>
      </w:r>
      <w:r>
        <w:br/>
      </w:r>
      <w:r>
        <w:t>Janney Capital Markets, in a research note Wednesday, argued that Orkambi's price is likely to be less than Kalydeco's because it is a less effective therapy that serves a larger patient population.</w:t>
      </w:r>
      <w:r>
        <w:br/>
      </w:r>
      <w:r>
        <w:br/>
      </w:r>
      <w:r>
        <w:t>In clinical studies, the drug showed lung function improved by 2.6 percentage points to three percentage points compared with that of patients receiving a placebo.</w:t>
      </w:r>
      <w:r>
        <w:br/>
      </w:r>
      <w:r>
        <w:br/>
      </w:r>
      <w:r>
        <w:t>A decision on Vertex's European application is expected in the fourth quarter.</w:t>
      </w:r>
      <w:r>
        <w:br/>
      </w:r>
      <w:r>
        <w:br/>
      </w:r>
      <w:r>
        <w:t>J.P. Morgan Chase estimated global drug sales could reach $1.6 next year and $4.2 billion in 2020.</w:t>
      </w:r>
      <w:r>
        <w:br/>
      </w:r>
      <w:r>
        <w:br/>
      </w:r>
      <w:r>
        <w:t>Vertex representatives declined to comment immediately.</w:t>
      </w:r>
      <w:r>
        <w:br/>
      </w:r>
      <w:r>
        <w:br/>
      </w:r>
      <w:r>
        <w:t>Shares, temporarily halted during the regular trading session Thursday, were recently up 3.73% at $130.90.</w:t>
      </w:r>
      <w:r>
        <w:br/>
      </w:r>
      <w:r>
        <w:br/>
      </w:r>
      <w:r>
        <w:t>As of March 31, the most recent figures available, Vertex had logged $14.1 million in inventory costs ahead of the drug's expected approval.</w:t>
      </w:r>
      <w:r>
        <w:br/>
      </w:r>
      <w:r>
        <w:br/>
      </w:r>
      <w:r>
        <w:t>A Food and Drug Administration advisory committee of 13 independent doctors, scientists and consumer and patient representatives recommended approval in May. The vote was 12 to 1.</w:t>
      </w:r>
      <w:r>
        <w:br/>
      </w:r>
      <w:r>
        <w:br/>
      </w:r>
      <w:r>
        <w:t>Though the FDA isn't required to follow the committee's recommendations, it typically does and a decision had been expected by July 5.</w:t>
      </w:r>
      <w:r>
        <w:br/>
      </w:r>
      <w:r>
        <w:br/>
      </w:r>
      <w:r>
        <w:t>The company, founded in 1989, had accumulated losses of $4.9 billion as of March 31, the most recent figures available.</w:t>
      </w:r>
      <w:r>
        <w:br/>
      </w:r>
      <w:r>
        <w:br/>
      </w:r>
      <w:r>
        <w:t>Write to Maria Armental at maria.armental@wsj.com and Joseph Walker at joseph.walker@wsj.com</w:t>
      </w:r>
      <w:r>
        <w:br/>
      </w:r>
      <w:r>
        <w:br/>
      </w:r>
      <w:r>
        <w:t>Subscribe to WSJ: http://online.wsj.com?mod=djnwires</w:t>
      </w:r>
      <w:r>
        <w:br/>
      </w:r>
      <w:r>
        <w:br/>
      </w:r>
      <w:r>
        <w:t>(END) Dow Jones Newswires</w:t>
      </w:r>
      <w:r>
        <w:br/>
      </w:r>
      <w:r>
        <w:br/>
      </w:r>
      <w:r>
        <w:t>02-07-15 1811GMT</w:t>
      </w:r>
    </w:p>
    <w:p xmlns:wp14="http://schemas.microsoft.com/office/word/2010/wordml" w14:paraId="5BF0DC42" wp14:textId="77777777">
      <w:pPr>
        <w:pStyle w:val="Heading1"/>
      </w:pPr>
      <w:r>
        <w:t>End of Article 5</w:t>
      </w:r>
    </w:p>
    <w:p xmlns:wp14="http://schemas.microsoft.com/office/word/2010/wordml" w14:paraId="6A05A809" wp14:textId="77777777">
      <w:r>
        <w:br w:type="page"/>
      </w:r>
    </w:p>
    <w:p xmlns:wp14="http://schemas.microsoft.com/office/word/2010/wordml" w14:paraId="384B2BF2" wp14:textId="77777777">
      <w:pPr>
        <w:pStyle w:val="Heading1"/>
      </w:pPr>
      <w:r>
        <w:t>Start of Article 6</w:t>
      </w:r>
    </w:p>
    <w:p xmlns:wp14="http://schemas.microsoft.com/office/word/2010/wordml" w14:paraId="6EE79FC4" wp14:textId="77777777">
      <w:pPr>
        <w:pStyle w:val="Heading1"/>
      </w:pPr>
      <w:r>
        <w:t>Document ID OBWK000020150522eb5u00024</w:t>
      </w:r>
    </w:p>
    <w:p xmlns:wp14="http://schemas.microsoft.com/office/word/2010/wordml" w14:paraId="280EE4A9" wp14:textId="77777777">
      <w:r>
        <w:t>Bayer raised awareness about CTEPH, a rare form of pulmonary hypertension caused by blood clots in the lungs (a pulmonary embolism),(1) by promoting the Breathless Moments contest through public relations and social media. To enter the contest, photographers had to first visit the educational disease awareness site cteph.com and take a quiz about the CTEPH symptoms, diagnosis, and treatment options, including the potentially curative surgery, pulmonary thromboendartorectomy. Photos were judged based on their visual appeal, as well as their ability to depict a truly breathtaking moment.</w:t>
      </w:r>
      <w:r>
        <w:br/>
      </w:r>
      <w:r>
        <w:br/>
      </w:r>
      <w:r>
        <w:t>"I was honored to win Bayer's Breathless Moments contest," said Ms. Middings, whose winning photo depicts a beach sunset. "I am a nurse, and knowing that my photo is helping to raise awareness about CTEPH is very gratifying."</w:t>
      </w:r>
      <w:r>
        <w:br/>
      </w:r>
      <w:r>
        <w:br/>
      </w:r>
      <w:r>
        <w:t>"It is estimated that 500 to 2500 patients develop CTEPH every year in the U.S., many of whom go undiagnosed, which is particularly troubling as a surgical option has the potential to cure some CTEPH cases," said Dario Mirski, MD, vice president and head, U.S. Medical Affairs, Bayer HealthCare Pharmaceuticals. "Bayer is proud to be working to raise awareness about CTEPH, in the hope that increased education will lead to better outcomes for patients."</w:t>
      </w:r>
      <w:r>
        <w:br/>
      </w:r>
      <w:r>
        <w:br/>
      </w:r>
      <w:r>
        <w:t>"We are very pleased to see Bayer's commitment to CTEPH patients and their work to raise awareness about the disease," said Rino Aldrighetti, president and CEO of the Pulmonary Hypertension Association, Silver Spring, Md. "Increased awareness is important because CTEPH is often undiagnosed or misdiagnosed, causing patients to lose valuable treatment time, which can lead to a poor prognosis."</w:t>
      </w:r>
      <w:r>
        <w:br/>
      </w:r>
      <w:r>
        <w:br/>
      </w:r>
      <w:r>
        <w:t>To learn more about CTEPH, please visit www.CTEPH.com.</w:t>
      </w:r>
      <w:r>
        <w:br/>
      </w:r>
      <w:r>
        <w:br/>
      </w:r>
      <w:r>
        <w:t>Keywords for this news article include: Bayer HealthCare Pharmaceuticals Inc., Pulmonary Hypertension, Cardiovascular Diseases.</w:t>
      </w:r>
      <w:r>
        <w:br/>
      </w:r>
      <w:r>
        <w:br/>
      </w:r>
      <w:r>
        <w:t>Our reports deliver fact-based news of research and discoveries from around the world. Copyright 2015, NewsRx LLC</w:t>
      </w:r>
    </w:p>
    <w:p xmlns:wp14="http://schemas.microsoft.com/office/word/2010/wordml" w14:paraId="38C1D216" wp14:textId="77777777">
      <w:pPr>
        <w:pStyle w:val="Heading1"/>
      </w:pPr>
      <w:r>
        <w:t>End of Article 6</w:t>
      </w:r>
    </w:p>
    <w:p xmlns:wp14="http://schemas.microsoft.com/office/word/2010/wordml" w14:paraId="5A39BBE3" wp14:textId="77777777">
      <w:r>
        <w:br w:type="page"/>
      </w:r>
    </w:p>
    <w:p xmlns:wp14="http://schemas.microsoft.com/office/word/2010/wordml" w14:paraId="5220BA90" wp14:textId="77777777">
      <w:pPr>
        <w:pStyle w:val="Heading1"/>
      </w:pPr>
      <w:r>
        <w:t>Start of Article 7</w:t>
      </w:r>
    </w:p>
    <w:p xmlns:wp14="http://schemas.microsoft.com/office/word/2010/wordml" w14:paraId="4BA1BA5A" wp14:textId="77777777">
      <w:pPr>
        <w:pStyle w:val="Heading1"/>
      </w:pPr>
      <w:r>
        <w:t>Document ID FWIR000020151123ebc10000q</w:t>
      </w:r>
    </w:p>
    <w:p xmlns:wp14="http://schemas.microsoft.com/office/word/2010/wordml" w14:paraId="0608DEA4" wp14:textId="77777777">
      <w:r>
        <w:t>The industry's riposte to any criticism about pricing is predictable: Regulations are complicated, biology more so, and R&amp;D is expensive. Prices have to cover the costs. Get over it, or go find a naturopath.</w:t>
      </w:r>
      <w:r>
        <w:br/>
      </w:r>
      <w:r>
        <w:br/>
      </w:r>
      <w:r>
        <w:t>That is only partly bullshit. Dealing with the chemistry of tomorrow and the regulatory hurdles of today is expensive. Yet in some European countries, the same name-brand prescription meds cost about half what they do in the US, according to a 2008 McKinsey study.</w:t>
      </w:r>
      <w:r>
        <w:br/>
      </w:r>
      <w:r>
        <w:br/>
      </w:r>
      <w:r>
        <w:t>How then might we come up with a reasonable way to tether prices without quashing the incentive to innovate? Well, it's complicated. Patent law, gobs of health care legislation, insurance, taxes, lobbyists, ethics—prescription drug costs touch all of them and more. But there are steps we can take to reel prices in. First is shifting away from monopolistic pricing to a more competitive model. Second is designing mechanisms that link the cost of drugs to the value delivered to patients, insurers, society, and even science. The time to move on this issue is now, while the spectacle of a young man named Martin Shkreli is still fresh in mind.</w:t>
      </w:r>
      <w:r>
        <w:br/>
      </w:r>
      <w:r>
        <w:br/>
      </w:r>
      <w:r>
        <w:t>Yeah, that guy. Earlier this year, Shkreli's company, Turing Pharmaceuticals, increased the price of a recently acquired drug from $13.50 to $750 a pill. The medicine, Daraprim, is used to combat parasites, especially for patients with immune-system deficiencies like HIV.</w:t>
      </w:r>
      <w:r>
        <w:br/>
      </w:r>
      <w:r>
        <w:br/>
      </w:r>
      <w:r>
        <w:t>Within a day, Shkreli was being lambasted on every platform and outlet imaginable. His brashness and previous job as a hedge fund manager only made the bull's-eye bigger. “He even looks like a prick,” a fellow parent said to me on his way into a PTA meeting in late September.</w:t>
      </w:r>
      <w:r>
        <w:br/>
      </w:r>
      <w:r>
        <w:br/>
      </w:r>
      <w:r>
        <w:t>Yet Shkreli wasn't breaking any laws. As physician Peter Bach, director of the Health Policy and Outcomes program at Memorial Sloan Kettering Cancer Center, put it, the Shkreli dustup shows that the system is “so broken even a child could manipulate it.”</w:t>
      </w:r>
      <w:r>
        <w:br/>
      </w:r>
      <w:r>
        <w:br/>
      </w:r>
      <w:r>
        <w:t>Bach made headlines in 2012 when he and his colleagues refused to offer patients a new drug because they didn't see sufficient health benefit to justify the $11,000 monthly cost. Weeks later the drugmaker cut the price by 50 percent. It was a rare victory that, like the Shkreli episode, illustrates just how fragile the market for drugs really is. (When Hillary Clinton jumped into the fray with a tweet declaring her intention to do something about drug pricing, the Nasdaq Biotechnology Index dropped 5.1 percent.) “Investors know,” Bach says. They know that if and when real scrutiny happens, pricing will be revealed for what it is: indefensible.</w:t>
      </w:r>
      <w:r>
        <w:br/>
      </w:r>
      <w:r>
        <w:br/>
      </w:r>
      <w:r>
        <w:t>In a typical marketplace, forces like competition and regulation help keep prices down. You and me? We don't care what it costs to make a saucepan. If the product provides us with value, we'll pay for it. If we can get the same value out of a different saucepan that's half as expensive, we'll buy that one.</w:t>
      </w:r>
      <w:r>
        <w:br/>
      </w:r>
      <w:r>
        <w:br/>
      </w:r>
      <w:r>
        <w:t>The marketplace for medicines in the US is nothing like that. Instead of thinking of drug companies as free-enterprise actors, we should think of them as “fragile little birds that the protective hand of government carefully shields from the harsh vagaries of truly free, competitive markets,” writes Uwe Reinhardt, professor of economics at Princeton. That protection comes in the form of patents and market exclusivity, plus laws against reselling drugs. Rising drug prices across the industry force insurance companies' costs to ratchet up too, despite their best efforts to negotiate better deals. Meanwhile, Medicare, which should have huge bargaining power, isn't permitted to negotiate with manufacturers.</w:t>
      </w:r>
      <w:r>
        <w:br/>
      </w:r>
      <w:r>
        <w:br/>
      </w:r>
      <w:r>
        <w:t>IN EUROPE, REGULATORS REFUSE TO APPROVE DRUGS THAT HAVE A POOR COST-BENEFIT RATIO.</w:t>
      </w:r>
      <w:r>
        <w:br/>
      </w:r>
      <w:r>
        <w:br/>
      </w:r>
      <w:r>
        <w:t>Many European countries have taken a different approach, creating a more robust competitive environment. (Yes, Europe!) If you roll out a new medicine there, regulators will examine how effective it is compared to status quo treatments and set the price accordingly. And they refuse to approve new drugs that have a poor cost-benefit ratio. The specter of refusal alone puts downward pressure on prices.</w:t>
      </w:r>
      <w:r>
        <w:br/>
      </w:r>
      <w:r>
        <w:br/>
      </w:r>
      <w:r>
        <w:t>In the US, an analogous strategy for dealing with drug pricing would be to establish some kind of connection between a drug's price and the value it confers. This past summer, Bach and colleagues at Sloan Kettering introduced an online calculator called DrugAbacus, which compares present-day costs for dozens of cancer drugs with theoretical prices determined by adjustable variables like side effects, R&amp;D costs, predicted years of life added, and the number of people each drug could help. (Other organizations, including the Institute for Clinical and Economic Review, also have a system for calculating value-based pricing.) “This is about finding the right prices,” Bach says. “If prices are reasonable, people will be OK to pay them.”</w:t>
      </w:r>
      <w:r>
        <w:br/>
      </w:r>
      <w:r>
        <w:br/>
      </w:r>
      <w:r>
        <w:t>It's a start anyway. “I don't know if I'm missing some of the domains,” Bach says. “This is going from ‘I'd like to price based on values but don't know how’ to having some kind of attempt to do so.” At a minimum, DrugAbacus and other cost-assessment tools put more information into the marketplace, which is healthy.</w:t>
      </w:r>
      <w:r>
        <w:br/>
      </w:r>
      <w:r>
        <w:br/>
      </w:r>
      <w:r>
        <w:t>In the meantime, don't let up on the Shkrelis of the world. Remember what happened after the avalanche of outrage? He backtracked (some). According to a 2006 paper in the Rand Journal of Economics, drug costs are influenced by the mere presence of public debate.</w:t>
      </w:r>
      <w:r>
        <w:br/>
      </w:r>
      <w:r>
        <w:br/>
      </w:r>
      <w:r>
        <w:t>Who knows? Perhaps citizens of the near future will ultimately owe Martin Shkreli a debt of gratitude for inadvertently fast-tracking change to a system that once looked immovable.</w:t>
      </w:r>
      <w:r>
        <w:br/>
      </w:r>
      <w:r>
        <w:br/>
      </w:r>
      <w:r>
        <w:t>Contributing editorDavid Wolman (@davidwolman) is the author of The End of Money.</w:t>
      </w:r>
    </w:p>
    <w:p xmlns:wp14="http://schemas.microsoft.com/office/word/2010/wordml" w14:paraId="65405D21" wp14:textId="77777777">
      <w:pPr>
        <w:pStyle w:val="Heading1"/>
      </w:pPr>
      <w:r>
        <w:t>End of Article 7</w:t>
      </w:r>
    </w:p>
    <w:p xmlns:wp14="http://schemas.microsoft.com/office/word/2010/wordml" w14:paraId="41C8F396" wp14:textId="77777777">
      <w:r>
        <w:br w:type="page"/>
      </w:r>
    </w:p>
    <w:p xmlns:wp14="http://schemas.microsoft.com/office/word/2010/wordml" w14:paraId="112FA418" wp14:textId="77777777">
      <w:pPr>
        <w:pStyle w:val="Heading1"/>
      </w:pPr>
      <w:r>
        <w:t>Start of Article 8</w:t>
      </w:r>
    </w:p>
    <w:p xmlns:wp14="http://schemas.microsoft.com/office/word/2010/wordml" w14:paraId="0989A3C0" wp14:textId="77777777">
      <w:pPr>
        <w:pStyle w:val="Heading1"/>
      </w:pPr>
      <w:r>
        <w:t>Document ID ATPHAM0020151031ebas0008k</w:t>
      </w:r>
    </w:p>
    <w:p xmlns:wp14="http://schemas.microsoft.com/office/word/2010/wordml" w14:paraId="36F98C9C" wp14:textId="77777777">
      <w:r>
        <w:t>Source: MacroGenics</w:t>
      </w:r>
    </w:p>
    <w:p xmlns:wp14="http://schemas.microsoft.com/office/word/2010/wordml" w14:paraId="436A8518" wp14:textId="77777777">
      <w:pPr>
        <w:pStyle w:val="Heading1"/>
      </w:pPr>
      <w:r>
        <w:t>End of Article 8</w:t>
      </w:r>
    </w:p>
    <w:p xmlns:wp14="http://schemas.microsoft.com/office/word/2010/wordml" w14:paraId="72A3D3EC" wp14:textId="77777777">
      <w:r>
        <w:br w:type="page"/>
      </w:r>
    </w:p>
    <w:p xmlns:wp14="http://schemas.microsoft.com/office/word/2010/wordml" w14:paraId="3A768C6B" wp14:textId="77777777">
      <w:pPr>
        <w:pStyle w:val="Heading1"/>
      </w:pPr>
      <w:r>
        <w:t>Start of Article 9</w:t>
      </w:r>
    </w:p>
    <w:p xmlns:wp14="http://schemas.microsoft.com/office/word/2010/wordml" w14:paraId="2F5031FD" wp14:textId="77777777">
      <w:pPr>
        <w:pStyle w:val="Heading1"/>
      </w:pPr>
      <w:r>
        <w:t>Document ID DJDN000020150105eb15001vz</w:t>
      </w:r>
    </w:p>
    <w:p xmlns:wp14="http://schemas.microsoft.com/office/word/2010/wordml" w14:paraId="0FA55ED2" wp14:textId="77777777">
      <w:r>
        <w:t>9:47 EST - The New York chapter of the ISM reports its current-business-conditions index jumped to 70.8 in December from 62.4 in November, notching its highest reading since October 2010 and suggesting tomorrow's national ISM nonmanufacturing survey should show expanding production numbers. The ISM-MY report says current revenues and employment in New York City gained last month, while energy costs are seen as a positive for business conditions. But the cost of benefits remains the No. 1 net impediment. (kathleen.madigan@wsj.com)</w:t>
      </w:r>
      <w:r>
        <w:br/>
      </w:r>
      <w:r>
        <w:br/>
      </w:r>
      <w:r>
        <w:t>9:47 EST - A deal announced Monday with Kite Pharma (KITE) will deepen Amgen's (AMGN) work in the hot field of cancer immunotherapies. Amgen executives have viewed immunotherapies as one of the most significant new developments in drug R&amp;D. In December, the FDA approved Amgen's Blincyto cancer immunotherapy; Amgen also has another such drug, TVec, up for approval. Still, Amgen and its rivals are playing catch up with Bristol-Myers Squibb (BMY), which pioneered the field and has two approved drugs. Under the terms, Amgen will pay Kite $60M upfront, while Amgen would get single-digit royalties on sales of any approved drugs. AMGN falls 1.8% to $157.09.(jonathan.rockoff@wsj.com; @jonathanrockoff)</w:t>
      </w:r>
      <w:r>
        <w:br/>
      </w:r>
      <w:r>
        <w:br/>
      </w:r>
      <w:r>
        <w:t>9:45 EST - Although the dollar hasn't come close to hitting trade-weighted and inflation-adjusted highs seen in 2002 and 1985, US exports are still more vulnerable than they've been in previous decades. The share of sales of US goods and services overseas as a percentage of GDP has steadily grown from just over 4% in 1980 to 7.6% in 2002 to nearly 15% last year. That's why Chad Moutray, chief economist at the National Association of Manufacturers, says many firms will report the dollar's gains eating into earnings. "You're going to see a dollar effect on those numbers just simply by virtue of so many manufacturers having a presence overseas now." (ian.talley@wsj.com)</w:t>
      </w:r>
      <w:r>
        <w:br/>
      </w:r>
      <w:r>
        <w:br/>
      </w:r>
      <w:r>
        <w:t>9:42 EST - Petrobras (PBR PETR4.BR) down more than 7% in New York and 5% in Sao Paulo as the price of oil falls below $55, further denting the Brazilian oil company's already-battered shares. PBR fell 46% in 2014 as global oil prices fell and an alleged multi-billion corruption scheme centering around Petrobras contracts unfolded. With oil prices staying low, and new revelations about the corruption scandal continuing to emerge, the company's troubles look to be picking up in the new year right where they left off. (william.connors@wsj.com; @wconnors)</w:t>
      </w:r>
      <w:r>
        <w:br/>
      </w:r>
      <w:r>
        <w:br/>
      </w:r>
      <w:r>
        <w:t>9:40 EST - Ford (F) starts to the downside in the wake of its December US sales data, which includes some color on how the overhauled F-150 is doing. Sales for the entire line of F-series pickups eased 0.3% last month, putting 2014's drop at 1.3% as the auto maker moved to heavily increase the amount of lighter-weight aluminum in the 150. The changeover curtailed pickup output and left some buyers on the sidelines as they awaited the new model. The new F-150 is the fastest-moving vehicle in F showrooms, averaging 5 days on lots last month. But that's not a surprise considering the pre-orders. Let's see how the inventory picture looks by spring. F falls 2.5% premarket to $14.98 while GM eases 0.5% as its US sales jumped 19% while F rose 1.2%. (kevin.kingsbury@wsj.com; @kevinkingsbury)</w:t>
      </w:r>
      <w:r>
        <w:br/>
      </w:r>
      <w:r>
        <w:br/>
      </w:r>
      <w:r>
        <w:t>9:30 EST - Up nearly 30% the last 1/3 of 2014, Sonic (SONC) shares are unlikely to see a bump from the anticipated F1Q beat-and-raise Susquehanna expects the restaurant chain to post after the bell tomorrow. That as SONC's P-E multiple "is just shy of its 10-year peak" and 27% above its 3-year average, notes the investment bank, which does boost its price target $4 to $27 to catch up with the stock's end-of-year jump. Susquehanna also notes shorts have been washed out of SONC as short interest as of mid-December was down 1/4 from 2 months earlier, limiting the potential of a post-1Q squeeze. Shares closed Friday at $27.55. (kevin.kingsbury@wsj.com; @kevinkingsbury)</w:t>
      </w:r>
      <w:r>
        <w:br/>
      </w:r>
      <w:r>
        <w:br/>
      </w:r>
      <w:r>
        <w:t>9:23 EST - It's no secret monetary policy is a big wild card for the 2015 outlook. Data from economist Paul Kasriel show October's end of the Fed's bond-purchase program may already be slowing credit growth. Growth in combined credit from US banks and bank reserves held at the Fed slowed to around 5.5% annualized in November from 9.7% in July, according to figures calculated by Kasriel, below the 7.4% average annual growth rate which prevailed from 1978-2006. "This is not the stuff of recessions," says Kasriel. "But it would be a mistake to extrapolate the strength we've seen in recent months into 2015." (nick.timiraos@wsj.com; @NickTimiraos)</w:t>
      </w:r>
      <w:r>
        <w:br/>
      </w:r>
      <w:r>
        <w:br/>
      </w:r>
      <w:r>
        <w:t>9:15 EST - BlackRock (BLK) says it captured $102.8B of the record $330.7B of net inflows that ETFs had last year. US and European inflows into iShares led the way, the asset manager notes, as Asian and Latin American clients in particular sought exposure to asset classes outside their respective regions. "We're seeing ETFs truly come of age as more investors around the world recognize and embrace the versatility of these vehicles," says iShares chief Mark Wiedman. The business' assets under management topped $1T as of year's end. (katy.burne@wsj.com; @katyburne)</w:t>
      </w:r>
      <w:r>
        <w:br/>
      </w:r>
      <w:r>
        <w:br/>
      </w:r>
      <w:r>
        <w:t>9:10 EST - Nasdaq's (NDAQ) planned $225M acquisition of index provider Dorsey Wright was a "small but smart deal," says Evercore. The deal will help NDAQ grow its index business, which has been a focus for the company recently. "If [Nasdaq] is going to do an acquisition, this is the type we would like to see," adds Evercore. NDAQ is inactive premarket. (bradley.hope@wsj.com)</w:t>
      </w:r>
      <w:r>
        <w:br/>
      </w:r>
      <w:r>
        <w:br/>
      </w:r>
      <w:r>
        <w:t>9:02 EST - Stock strategists at Goldman Sachs say their barometer of investor sentiment "currently stands at a maximum possible reading of 100, suggesting the S&amp;P 500 has a near-term downside risk during the next six weeks." The high rating, they write, indicates an "extreme positive reading," a strong contrarian signal for future returns. The strategists are among the least bullish on the street, calling for the S&amp;P 500 to end the year at 2100, with a return of 4% including dividends. (dan.strumpf@wsj.com)</w:t>
      </w:r>
      <w:r>
        <w:br/>
      </w:r>
      <w:r>
        <w:br/>
      </w:r>
      <w:r>
        <w:t>9:02 EST - Drilling company Patterson-UTI (PTEN) averaged 210 rigs in operation domestically last quarter, including 208 for December, with Tudor Pickering noting PTEN had guided to 214 for 4Q. Activity cooled into year-end amid oil's price slump and resultant market-wide slowness of drilling. The investment bank says it'll "ride out this industry downturn" without dumping PTEN as shares are trading at only about 60% of the replacement cost of assets. The stock is down 1.8% premarket at $16.35 as oil falls further this morning. PTEN tumbled 49% in 4Q to reach 2 1/2-year lows. (dan.molinski@wsj.com; @dmwsj)</w:t>
      </w:r>
      <w:r>
        <w:br/>
      </w:r>
      <w:r>
        <w:br/>
      </w:r>
      <w:r>
        <w:t>(END) Dow Jones Newswires</w:t>
      </w:r>
      <w:r>
        <w:br/>
      </w:r>
      <w:r>
        <w:br/>
      </w:r>
      <w:r>
        <w:t>January 05, 2015 09:54 ET (14:54 GMT)</w:t>
      </w:r>
    </w:p>
    <w:p xmlns:wp14="http://schemas.microsoft.com/office/word/2010/wordml" w14:paraId="79DB7A3A" wp14:textId="77777777">
      <w:pPr>
        <w:pStyle w:val="Heading1"/>
      </w:pPr>
      <w:r>
        <w:t>End of Article 9</w:t>
      </w:r>
    </w:p>
    <w:p xmlns:wp14="http://schemas.microsoft.com/office/word/2010/wordml" w14:paraId="0D0B940D" wp14:textId="77777777">
      <w:r>
        <w:br w:type="page"/>
      </w:r>
    </w:p>
    <w:p xmlns:wp14="http://schemas.microsoft.com/office/word/2010/wordml" w14:paraId="568594CE" wp14:textId="77777777">
      <w:pPr>
        <w:pStyle w:val="Heading1"/>
      </w:pPr>
      <w:r>
        <w:t>Start of Article 10</w:t>
      </w:r>
    </w:p>
    <w:p xmlns:wp14="http://schemas.microsoft.com/office/word/2010/wordml" w14:paraId="42B3F20D" wp14:textId="77777777">
      <w:pPr>
        <w:pStyle w:val="Heading1"/>
      </w:pPr>
      <w:r>
        <w:t>Document ID BIOELSE020150407eb3q0000p</w:t>
      </w:r>
    </w:p>
    <w:p xmlns:wp14="http://schemas.microsoft.com/office/word/2010/wordml" w14:paraId="266656A1" wp14:textId="77777777">
      <w:r>
        <w:t>Website: http://www.biospace.com</w:t>
      </w:r>
    </w:p>
    <w:p xmlns:wp14="http://schemas.microsoft.com/office/word/2010/wordml" w14:paraId="148394C6" wp14:textId="77777777">
      <w:pPr>
        <w:pStyle w:val="Heading1"/>
      </w:pPr>
      <w:r>
        <w:t>End of Article 10</w:t>
      </w:r>
    </w:p>
    <w:p xmlns:wp14="http://schemas.microsoft.com/office/word/2010/wordml" w14:paraId="0E27B00A" wp14:textId="77777777">
      <w:r>
        <w:br w:type="page"/>
      </w:r>
    </w:p>
    <w:p xmlns:wp14="http://schemas.microsoft.com/office/word/2010/wordml" w14:paraId="2A8A3CDE" wp14:textId="77777777">
      <w:pPr>
        <w:pStyle w:val="Heading1"/>
      </w:pPr>
      <w:r>
        <w:t>Start of Article 11</w:t>
      </w:r>
    </w:p>
    <w:p xmlns:wp14="http://schemas.microsoft.com/office/word/2010/wordml" w14:paraId="381E84B3" wp14:textId="77777777">
      <w:pPr>
        <w:pStyle w:val="Heading1"/>
      </w:pPr>
      <w:r>
        <w:t>Document ID DJDN000020150304eb340038c</w:t>
      </w:r>
    </w:p>
    <w:p xmlns:wp14="http://schemas.microsoft.com/office/word/2010/wordml" w14:paraId="45881C2E" wp14:textId="77777777">
      <w:r>
        <w:br/>
      </w:r>
      <w:r>
        <w:t xml:space="preserve">PRINCETON, N.J.--(BUSINESS WIRE)--March 04, 2015-- </w:t>
      </w:r>
      <w:r>
        <w:br/>
      </w:r>
      <w:r>
        <w:br/>
      </w:r>
      <w:r>
        <w:t>Bristol-Myers Squibb Company (NYSE:BMY) today announced an approval of an additional indication for Opdivo (nivolumab) by the U.S. Food and Drug Administration.</w:t>
      </w:r>
      <w:r>
        <w:br/>
      </w:r>
      <w:r>
        <w:br/>
      </w:r>
      <w:r>
        <w:t>Please see full Prescribing Information available at www.bms.com.</w:t>
      </w:r>
      <w:r>
        <w:br/>
      </w:r>
      <w:r>
        <w:br/>
      </w:r>
      <w:r>
        <w:t>The company will provide additional details on the approval in a press release to follow.</w:t>
      </w:r>
      <w:r>
        <w:br/>
      </w:r>
      <w:r>
        <w:br/>
      </w:r>
      <w:r>
        <w:t>About Bristol-Myers Squibb</w:t>
      </w:r>
      <w:r>
        <w:br/>
      </w:r>
      <w:r>
        <w:br/>
      </w:r>
      <w:r>
        <w:t xml:space="preserve">Bristol-Myers Squibb is a global pharmaceutical company whose mission is to discover, develop and deliver innovative medicines that help patients prevail over serious diseases. For more information about Bristol-Myers Squibb, visit www.bms.com, or follow us on Twitter at http://twitter.com/bmsnews. </w:t>
      </w:r>
      <w:r>
        <w:br/>
      </w:r>
      <w:r>
        <w:br/>
      </w:r>
      <w:r>
        <w:br/>
      </w:r>
      <w:r>
        <w:t xml:space="preserve"> </w:t>
      </w:r>
      <w:r>
        <w:br/>
      </w:r>
      <w:r>
        <w:t xml:space="preserve">    CONTACT:    Bristol-Myers Squibb Company </w:t>
      </w:r>
      <w:r>
        <w:br/>
      </w:r>
      <w:r>
        <w:br/>
      </w:r>
      <w:r>
        <w:t>Media:</w:t>
      </w:r>
      <w:r>
        <w:br/>
      </w:r>
      <w:r>
        <w:br/>
      </w:r>
      <w:r>
        <w:t>Carrie Fernandez, 609-419-5448</w:t>
      </w:r>
      <w:r>
        <w:br/>
      </w:r>
      <w:r>
        <w:br/>
      </w:r>
      <w:r>
        <w:t>carrie.fernandez@bms.com</w:t>
      </w:r>
      <w:r>
        <w:br/>
      </w:r>
      <w:r>
        <w:br/>
      </w:r>
      <w:r>
        <w:t>or</w:t>
      </w:r>
      <w:r>
        <w:br/>
      </w:r>
      <w:r>
        <w:br/>
      </w:r>
      <w:r>
        <w:t>Chrissy Trank, 609-252-3418</w:t>
      </w:r>
      <w:r>
        <w:br/>
      </w:r>
      <w:r>
        <w:br/>
      </w:r>
      <w:r>
        <w:t>christina.trank@bms.com</w:t>
      </w:r>
      <w:r>
        <w:br/>
      </w:r>
      <w:r>
        <w:br/>
      </w:r>
      <w:r>
        <w:t>or</w:t>
      </w:r>
      <w:r>
        <w:br/>
      </w:r>
      <w:r>
        <w:br/>
      </w:r>
      <w:r>
        <w:t>Investors:</w:t>
      </w:r>
      <w:r>
        <w:br/>
      </w:r>
      <w:r>
        <w:br/>
      </w:r>
      <w:r>
        <w:t>Ranya Dajani, 609-252-5330</w:t>
      </w:r>
      <w:r>
        <w:br/>
      </w:r>
      <w:r>
        <w:br/>
      </w:r>
      <w:r>
        <w:t>ranya.dajani@bms.com</w:t>
      </w:r>
      <w:r>
        <w:br/>
      </w:r>
      <w:r>
        <w:br/>
      </w:r>
      <w:r>
        <w:t>(END) Dow Jones Newswires</w:t>
      </w:r>
      <w:r>
        <w:br/>
      </w:r>
      <w:r>
        <w:br/>
      </w:r>
      <w:r>
        <w:t>March 04, 2015 14:21 ET (19:21 GMT)</w:t>
      </w:r>
    </w:p>
    <w:p xmlns:wp14="http://schemas.microsoft.com/office/word/2010/wordml" w14:paraId="4D4F66BE" wp14:textId="77777777">
      <w:pPr>
        <w:pStyle w:val="Heading1"/>
      </w:pPr>
      <w:r>
        <w:t>End of Article 11</w:t>
      </w:r>
    </w:p>
    <w:p xmlns:wp14="http://schemas.microsoft.com/office/word/2010/wordml" w14:paraId="60061E4C" wp14:textId="77777777">
      <w:r>
        <w:br w:type="page"/>
      </w:r>
    </w:p>
    <w:p xmlns:wp14="http://schemas.microsoft.com/office/word/2010/wordml" w14:paraId="5B6A1C71" wp14:textId="77777777">
      <w:pPr>
        <w:pStyle w:val="Heading1"/>
      </w:pPr>
      <w:r>
        <w:t>Start of Article 12</w:t>
      </w:r>
    </w:p>
    <w:p xmlns:wp14="http://schemas.microsoft.com/office/word/2010/wordml" w14:paraId="2B76C7F8" wp14:textId="77777777">
      <w:pPr>
        <w:pStyle w:val="Heading1"/>
      </w:pPr>
      <w:r>
        <w:t>Document ID BIWK000020150612eb6h0006s</w:t>
      </w:r>
    </w:p>
    <w:p xmlns:wp14="http://schemas.microsoft.com/office/word/2010/wordml" w14:paraId="7AD772B9" wp14:textId="77777777">
      <w:r>
        <w:t>ANI has forty-six generic drug products under development addressing a total annual market size of approximately $3.3 billion, based on data from IMS Health.</w:t>
      </w:r>
      <w:r>
        <w:br/>
      </w:r>
      <w:r>
        <w:br/>
      </w:r>
      <w:r>
        <w:t>Keywords for this news article include: ANI Pharmaceuticals Inc., Drugs, Therapy, FDA Actions, Narcotic Analgesics, Oxycodone Hydrochloride, Central Nervous System Agents, Government Agencies Offices and Entities.</w:t>
      </w:r>
      <w:r>
        <w:br/>
      </w:r>
      <w:r>
        <w:br/>
      </w:r>
      <w:r>
        <w:t>Our reports deliver fact-based news of research and discoveries from around the world. Copyright 2015, NewsRx LLC</w:t>
      </w:r>
    </w:p>
    <w:p xmlns:wp14="http://schemas.microsoft.com/office/word/2010/wordml" w14:paraId="66DB7AF3" wp14:textId="77777777">
      <w:pPr>
        <w:pStyle w:val="Heading1"/>
      </w:pPr>
      <w:r>
        <w:t>End of Article 12</w:t>
      </w:r>
    </w:p>
    <w:p xmlns:wp14="http://schemas.microsoft.com/office/word/2010/wordml" w14:paraId="44EAFD9C" wp14:textId="77777777">
      <w:r>
        <w:br w:type="page"/>
      </w:r>
    </w:p>
    <w:p xmlns:wp14="http://schemas.microsoft.com/office/word/2010/wordml" w14:paraId="49DC9E91" wp14:textId="77777777">
      <w:pPr>
        <w:pStyle w:val="Heading1"/>
      </w:pPr>
      <w:r>
        <w:t>Start of Article 13</w:t>
      </w:r>
    </w:p>
    <w:p xmlns:wp14="http://schemas.microsoft.com/office/word/2010/wordml" w14:paraId="27A561D5" wp14:textId="77777777">
      <w:pPr>
        <w:pStyle w:val="Heading1"/>
      </w:pPr>
      <w:r>
        <w:t>Document ID JOENG00020150313eb3i000k8</w:t>
      </w:r>
    </w:p>
    <w:p xmlns:wp14="http://schemas.microsoft.com/office/word/2010/wordml" w14:paraId="5D319A5D" wp14:textId="77777777">
      <w:r>
        <w:t>"We are scheduled to deliver our first patient treatment this week," said Dr. Lee Kuo Ann, MBBS, FRCR, FAMS, consultant radiation oncologist at Mount Elizabeth Novena. "The TrueBeam system will enable us to deliver large doses to tumors with great precision. We'll be able to treat many inoperable brain tumors, tumors that are close to the spinal cord, and tumors of the lung, liver, or pancreas, which are subject to respiratory motion during treatment. The system includes gating technology that can enhance precision by compensating for that kind of tumor motion."</w:t>
      </w:r>
      <w:r>
        <w:br/>
      </w:r>
      <w:r>
        <w:br/>
      </w:r>
      <w:r>
        <w:t>About the TrueBeam STx System The TrueBeam STx system was designed to treat tumors with tremendous accuracy and speed. The system incorporates numerous technical innovations that dynamically synchronize advanced imaging, patient positioning, motion management, and treatment delivery during a radiotherapy or radiosurgery procedure in order to target tumors precisely. TrueBeam STx has been designed to advance the treatment of lung, breast, intracranial, prostate, head and neck, and other types of cancer.</w:t>
      </w:r>
      <w:r>
        <w:br/>
      </w:r>
      <w:r>
        <w:br/>
      </w:r>
      <w:r>
        <w:t>With its High Intensity Mode, TrueBeam STx can accurately deliver high doses more than twice as fast as earlier generations of technology. It incorporates a unique high-resolution beam shaping device that shapes the treatment beam so that it matches the three-dimensional shape of the targeted tumor, minimizing the impact on surrounding healthy tissues.</w:t>
      </w:r>
      <w:r>
        <w:br/>
      </w:r>
      <w:r>
        <w:br/>
      </w:r>
      <w:r>
        <w:t>"With gating, the High Intensity Mode, and imaging technologies, we will be able to minimize the impact of treatment on healthy tissues," said Dr. Lee. "For example, during breast cancer treatments we can reduce the radiation going to the heart and lungs."</w:t>
      </w:r>
      <w:r>
        <w:br/>
      </w:r>
      <w:r>
        <w:br/>
      </w:r>
      <w:r>
        <w:t>"Varian's mission is to help save millions of lives around the world every year. We are pleased and honored that the outstanding clinical team at Mount Elizabeth Novena Hospital will be working to save lives using Varian's advanced technology for treating cancer," saidJean-Luc Devleeschauwer, president for the Asia-Pacific (APAC) region for Varian's Oncology Systems business.</w:t>
      </w:r>
      <w:r>
        <w:br/>
      </w:r>
      <w:r>
        <w:br/>
      </w:r>
      <w:r>
        <w:t>Note to editors: High resolution images of Varian's TrueBeam system for image-guided radiotherapy are available online at this URL:http://varian.mediaroom.com/index.php?s=31899&amp;cat=2470&amp;mode=gallery &lt;http://varian.mediaroom.com/index.php?s=31899&amp;cat=2470&amp;mode=gallery&gt;.</w:t>
      </w:r>
      <w:r>
        <w:br/>
      </w:r>
      <w:r>
        <w:br/>
      </w:r>
      <w:r>
        <w:t>ABOUT VARIAN MEDICAL SYSTEMS Varian Medical Systems, Inc., of Palo Alto, California, is the world's leading manufacturer of medical devices and software for treating cancer and other medical conditions with radiotherapy, radiosurgery, and brachytherapy. The company supplies informatics software for managing comprehensive cancer clinics, radiotherapy centers and medical oncology practices. Varian is a premier supplier of tubes and digital detectors for X-ray imaging in medical, scientific, and industrial applications and also supplies high-energy X-ray devices for cargo screening and non-destructive testing applications. Varian Medical Systems employs approximately 5,900 people who are located at manufacturing sites inNorth America, Europe, and China and approximately 70 sales and support offices around the world. For more information, visithttp://www.varian.com &lt;http://www.varian.com/&gt; or follow us on Twitter &lt;http://twitter.com/#!/VarianMedSys&gt;.</w:t>
      </w:r>
      <w:r>
        <w:br/>
      </w:r>
      <w:r>
        <w:br/>
      </w:r>
      <w:r>
        <w:t>ABOUT MOUNT ELIZABETH NOVENA HOSPITAL Mount Elizabeth Novena Hospital, Parkway Pantai Group's new hospital in the heart ofSingapore's premier medical hub in Novena, opened in July 2012. The modern all single-bedded room hospital sets new benchmarks for quality healthcare to reinforceSingapore's reputation for delivering world-class medical services to both local and foreign patients. Adopting global best-practice standards for quality patient care as well as clinical outcomes, Mount Elizabeth Novena Hospital caters to the continuing demand for high quality and competitively priced healthcare services inSingapore and around the world. For more information, please visit the website athttp://mountelizabethnovena.com &lt;http://mountelizabethnovena.com/&gt;.</w:t>
      </w:r>
      <w:r>
        <w:br/>
      </w:r>
      <w:r>
        <w:br/>
      </w:r>
      <w:r>
        <w:t>Keywords for this news article include: Asia, Hospital, Software, Singapore, Technology, Varian Medical Systems.</w:t>
      </w:r>
      <w:r>
        <w:br/>
      </w:r>
      <w:r>
        <w:br/>
      </w:r>
      <w:r>
        <w:t>Our reports deliver fact-based news of research and discoveries from around the world. Copyright 2015, NewsRx LLC</w:t>
      </w:r>
    </w:p>
    <w:p xmlns:wp14="http://schemas.microsoft.com/office/word/2010/wordml" w14:paraId="4E935DEA" wp14:textId="77777777">
      <w:pPr>
        <w:pStyle w:val="Heading1"/>
      </w:pPr>
      <w:r>
        <w:t>End of Article 13</w:t>
      </w:r>
    </w:p>
    <w:p xmlns:wp14="http://schemas.microsoft.com/office/word/2010/wordml" w14:paraId="4B94D5A5" wp14:textId="77777777">
      <w:r>
        <w:br w:type="page"/>
      </w:r>
    </w:p>
    <w:p xmlns:wp14="http://schemas.microsoft.com/office/word/2010/wordml" w14:paraId="6C9ACCC4" wp14:textId="77777777">
      <w:pPr>
        <w:pStyle w:val="Heading1"/>
      </w:pPr>
      <w:r>
        <w:t>Start of Article 14</w:t>
      </w:r>
    </w:p>
    <w:p xmlns:wp14="http://schemas.microsoft.com/office/word/2010/wordml" w14:paraId="667C24DE" wp14:textId="77777777">
      <w:pPr>
        <w:pStyle w:val="Heading1"/>
      </w:pPr>
      <w:r>
        <w:t>Document ID PHBW000020150123eb1q0000g</w:t>
      </w:r>
    </w:p>
    <w:p xmlns:wp14="http://schemas.microsoft.com/office/word/2010/wordml" w14:paraId="361D347A" wp14:textId="77777777">
      <w:r>
        <w:t>"Afaxys is very pleased to announce the availability of Tarina Fe 1/20 in response to public health customer requests to broaden its portfolio of contraceptive options for women," said Ronda Dean, president and CEO of Afaxys. "The ongoing growth of the Afaxys product line with Tarina Fe 1/20 proves our commitment to ensuring affordable access to quality reproductive health products for public health providers and the women they serve."</w:t>
      </w:r>
      <w:r>
        <w:br/>
      </w:r>
      <w:r>
        <w:br/>
      </w:r>
      <w:r>
        <w:t>Keywords for this news article include: Afaxys Pharmaceuticals, Public Health.</w:t>
      </w:r>
      <w:r>
        <w:br/>
      </w:r>
      <w:r>
        <w:br/>
      </w:r>
      <w:r>
        <w:t>Our reports deliver fact-based news of research and discoveries from around the world. Copyright 2015, NewsRx LLC</w:t>
      </w:r>
    </w:p>
    <w:p xmlns:wp14="http://schemas.microsoft.com/office/word/2010/wordml" w14:paraId="5C4278A7" wp14:textId="77777777">
      <w:pPr>
        <w:pStyle w:val="Heading1"/>
      </w:pPr>
      <w:r>
        <w:t>End of Article 14</w:t>
      </w:r>
    </w:p>
    <w:p xmlns:wp14="http://schemas.microsoft.com/office/word/2010/wordml" w14:paraId="3DEEC669" wp14:textId="77777777">
      <w:r>
        <w:br w:type="page"/>
      </w:r>
    </w:p>
    <w:p xmlns:wp14="http://schemas.microsoft.com/office/word/2010/wordml" w14:paraId="00BC91B3" wp14:textId="77777777">
      <w:pPr>
        <w:pStyle w:val="Heading1"/>
      </w:pPr>
      <w:r>
        <w:t>Start of Article 15</w:t>
      </w:r>
    </w:p>
    <w:p xmlns:wp14="http://schemas.microsoft.com/office/word/2010/wordml" w14:paraId="34C39189" wp14:textId="77777777">
      <w:pPr>
        <w:pStyle w:val="Heading1"/>
      </w:pPr>
      <w:r>
        <w:t>Document ID INVDAI0020150317eb3g00002</w:t>
      </w:r>
    </w:p>
    <w:p xmlns:wp14="http://schemas.microsoft.com/office/word/2010/wordml" w14:paraId="201808C8" wp14:textId="77777777">
      <w:r>
        <w:t>Stock Market Today</w:t>
      </w:r>
      <w:r>
        <w:br/>
      </w:r>
      <w:r>
        <w:br/>
      </w:r>
      <w:r>
        <w:t>Investors are looking for a bounce from the Nasdaq and S&amp;P 500 on the stock market today after a two-week decline. The S&amp;P 500 ended Friday in a test of support at its 50-day moving average and a shade more than 3% below its Feb. 25 high. The Nasdaq ended above its 50-day line, and less than 3% below its March 2 high. Recent pullbacks have tended to fall between 4% and 10%. Small caps bounced last week, with the S&amp;P small cap 600 ending ahead 1.4% and the Russell 2000 up 1.2% for the week.</w:t>
      </w:r>
      <w:r>
        <w:br/>
      </w:r>
      <w:r>
        <w:br/>
      </w:r>
      <w:r>
        <w:t>Stocks</w:t>
      </w:r>
      <w:r>
        <w:br/>
      </w:r>
      <w:r>
        <w:br/>
      </w:r>
      <w:r>
        <w:t>Mobile video game maker King Digital (NYSE:KING) jumped 7% ahead of the open after an upgrade, to overweight from neutral, from JPMorgan. The report placed a 20 price target on the stock. The volatile, Ireland-based stock is up 48% since October, climbing the right side of a correction, but still 51% below its March IPO price.</w:t>
      </w:r>
      <w:r>
        <w:br/>
      </w:r>
      <w:r>
        <w:br/>
      </w:r>
      <w:r>
        <w:t>Boston Scientific (NYSE:BSX) powered up 4%. The company said the Food &amp; Drug Administration had approved the company's Watchman atrial closure device, a stroke risk reduction alternative to pharmaceutical blood thinners. The stock has lodged a stair-step advance, rising 49% since October.</w:t>
      </w:r>
      <w:r>
        <w:br/>
      </w:r>
      <w:r>
        <w:br/>
      </w:r>
      <w:r>
        <w:t>Economic News</w:t>
      </w:r>
      <w:r>
        <w:br/>
      </w:r>
      <w:r>
        <w:br/>
      </w:r>
      <w:r>
        <w:t>New York region manufacturing slowed in March, according to the New York Federal Reserve, which reported the General Business Conditions portion of its Empire State Manufacturing Survey dipped to 6.9. The index read 7.8 in February, and economists had projected slowdown to 7.</w:t>
      </w:r>
      <w:r>
        <w:br/>
      </w:r>
      <w:r>
        <w:br/>
      </w:r>
      <w:r>
        <w:t>Up next, the Federal Reserve's February industrial production and factory capacity utilization numbers at 9:15 a.m. ET. At 10 a.m., the National Association of Home Builders turns in its March builders confidence index. The Treasury Department reports January international capital flows data at 2 p.m.</w:t>
      </w:r>
      <w:r>
        <w:br/>
      </w:r>
      <w:r>
        <w:br/>
      </w:r>
      <w:r>
        <w:t>Overseas</w:t>
      </w:r>
      <w:r>
        <w:br/>
      </w:r>
      <w:r>
        <w:br/>
      </w:r>
      <w:r>
        <w:t>Europe's markets showed mixed gains at midday, topped by Frankfurt's DAX, which was up 1.2%. China markets also ended unevenly higher, with Hong Kong's Hang Seng up 0.5%, while the Shanghai Composite ended with a 2.3% gain.</w:t>
      </w:r>
      <w:r>
        <w:br/>
      </w:r>
      <w:r>
        <w:br/>
      </w:r>
      <w:r>
        <w:t>Currencies/Commodities</w:t>
      </w:r>
      <w:r>
        <w:br/>
      </w:r>
      <w:r>
        <w:br/>
      </w:r>
      <w:r>
        <w:t>The dollar backtracked a bit vs. the euro and the yen. Oil prices were down about 1%, with the U.S. benchmark West Texas Intermediate crude holding above $44 a barrel and the spread between WTI and Europe's Brent crude holding at just about $10. Gold tacked on a fraction to trade at $1,155 an ounce.</w:t>
      </w:r>
    </w:p>
    <w:p xmlns:wp14="http://schemas.microsoft.com/office/word/2010/wordml" w14:paraId="7D904EDB" wp14:textId="77777777">
      <w:pPr>
        <w:pStyle w:val="Heading1"/>
      </w:pPr>
      <w:r>
        <w:t>End of Article 15</w:t>
      </w:r>
    </w:p>
    <w:p xmlns:wp14="http://schemas.microsoft.com/office/word/2010/wordml" w14:paraId="3656B9AB" wp14:textId="77777777">
      <w:r>
        <w:br w:type="page"/>
      </w:r>
    </w:p>
    <w:p xmlns:wp14="http://schemas.microsoft.com/office/word/2010/wordml" w14:paraId="683C7493" wp14:textId="77777777">
      <w:pPr>
        <w:pStyle w:val="Heading1"/>
      </w:pPr>
      <w:r>
        <w:t>Start of Article 16</w:t>
      </w:r>
    </w:p>
    <w:p xmlns:wp14="http://schemas.microsoft.com/office/word/2010/wordml" w14:paraId="2C04E944" wp14:textId="77777777">
      <w:pPr>
        <w:pStyle w:val="Heading1"/>
      </w:pPr>
      <w:r>
        <w:t>Document ID J000000020150808eb8800015</w:t>
      </w:r>
    </w:p>
    <w:p xmlns:wp14="http://schemas.microsoft.com/office/word/2010/wordml" w14:paraId="4FC71877" wp14:textId="77777777">
      <w:r>
        <w:t>But how can mere expectations change the brain's response to pain? Over the past decade, research in many labs has revealed the central role played in this process by opioids and cannabinoids -- chemicals routinely produced by our own brains. This evolutionary development goes back at least 450 million years to bony fish.</w:t>
      </w:r>
      <w:r>
        <w:br/>
      </w:r>
      <w:r>
        <w:br/>
      </w:r>
      <w:r>
        <w:t>Structurally, these homegrown opioids resemble the opium derived from poppies, and homegrown cannabinoids resemble marijuana-derived cannabis. Both have docking sites on specific nerve cells, fitting as a key would into a lock. Through these receptors, the molecules change the way a nerve cell behaves -- and hence how we feel.</w:t>
      </w:r>
      <w:r>
        <w:br/>
      </w:r>
      <w:r>
        <w:br/>
      </w:r>
      <w:r>
        <w:t>Humans and other animals can get high from opium and its derivatives only because brains are normally wired with receptors for brain-generated opioids. If it weren't for our cannabinoid receptors, smoking pot would be like smoking oregano. Counterbalancing the advantages of our brain-generated opioids and cannabinoids is the grim fact that our receptors allow for addiction to external sources, such as heroin and cannabis.</w:t>
      </w:r>
      <w:r>
        <w:br/>
      </w:r>
      <w:r>
        <w:br/>
      </w:r>
      <w:r>
        <w:t>The opioids and cannabinoids we make act very similarly to morphine when it comes to dulling pain transmitted by pain-sensitive neurons. Imaging studies show that when a person's pain ebbs, the pattern of brain changes is much the same whether it happens in response to a genuine analgesic such as morphine or to a placebo treatment. In both cases, multiple brain networks are affected, including structures known to regulate stress, fear, learning based on rewards and how we experience pain.</w:t>
      </w:r>
      <w:r>
        <w:br/>
      </w:r>
      <w:r>
        <w:br/>
      </w:r>
      <w:r>
        <w:t>Placebos trigger the release of these chemicals under two conditions. One involves a social situation, such as reassurances from an admired or trusted physician. A subject expects a beneficial effect because of his deep-seated beliefs, his feelings and social attitudes. Just nibbling on snap beans with the hope of reducing joint pain is unlikely to do the trick.</w:t>
      </w:r>
      <w:r>
        <w:br/>
      </w:r>
      <w:r>
        <w:br/>
      </w:r>
      <w:r>
        <w:t>Alternatively, a patient whose pain is diminished by morphine may, after repeated morphine injections, respond equally well to a placebo injection. This is called experience-dependent learning. In this case, the brain's reward system has learned to expect pain reduction following an injection, and that expectation drives down the brain activities that sustain pain. Rats and dogs likewise have been found to display a placebo response that depends on such associations.</w:t>
      </w:r>
      <w:r>
        <w:br/>
      </w:r>
      <w:r>
        <w:br/>
      </w:r>
      <w:r>
        <w:t>But we still don't understand well the precise mechanisms that produce an uptick in homegrown opioid and cannabinoid action in anticipation of a therapeutic benefit. And not everyone responds to placebos.</w:t>
      </w:r>
      <w:r>
        <w:br/>
      </w:r>
      <w:r>
        <w:br/>
      </w:r>
      <w:r>
        <w:t>Why not? In a 2013 paper in the journal Neuropsychoparmacology, Marta Pecina and Jon-Kar Zubieta at the University of Michigan and colleagues showed that people who have demonstrated physiological and psychological resilience in the face of stress, disease and injury also tend to respond well to placebos. A follow-up study by the researchers pointed to genetic factors. About half the population carries a genetic variant that results in more cannabinoids lingering in the body. But genes probably only partly explain the heightened effect of placebos.</w:t>
      </w:r>
      <w:r>
        <w:br/>
      </w:r>
      <w:r>
        <w:br/>
      </w:r>
      <w:r>
        <w:t>So yes, a patient's placebo response is entirely in his head: He has a brain wired to exploit its own chemical helpers when it creates them in eager anticipation of relief.</w:t>
      </w:r>
      <w:r>
        <w:br/>
      </w:r>
      <w:r>
        <w:br/>
      </w:r>
      <w:r>
        <w:t>License this article from Dow Jones Reprint Service</w:t>
      </w:r>
    </w:p>
    <w:p xmlns:wp14="http://schemas.microsoft.com/office/word/2010/wordml" w14:paraId="1598B80D" wp14:textId="77777777">
      <w:pPr>
        <w:pStyle w:val="Heading1"/>
      </w:pPr>
      <w:r>
        <w:t>End of Article 16</w:t>
      </w:r>
    </w:p>
    <w:p xmlns:wp14="http://schemas.microsoft.com/office/word/2010/wordml" w14:paraId="45FB0818" wp14:textId="77777777">
      <w:r>
        <w:br w:type="page"/>
      </w:r>
    </w:p>
    <w:p xmlns:wp14="http://schemas.microsoft.com/office/word/2010/wordml" w14:paraId="080DA12C" wp14:textId="77777777">
      <w:pPr>
        <w:pStyle w:val="Heading1"/>
      </w:pPr>
      <w:r>
        <w:t>Start of Article 17</w:t>
      </w:r>
    </w:p>
    <w:p xmlns:wp14="http://schemas.microsoft.com/office/word/2010/wordml" w14:paraId="1FB90EF1" wp14:textId="77777777">
      <w:pPr>
        <w:pStyle w:val="Heading1"/>
      </w:pPr>
      <w:r>
        <w:t>Document ID BIWK000020150619eb6o000wo</w:t>
      </w:r>
    </w:p>
    <w:p xmlns:wp14="http://schemas.microsoft.com/office/word/2010/wordml" w14:paraId="11D24C2D" wp14:textId="77777777">
      <w:r>
        <w:t>News editors obtained the following quote from the background information supplied by the inventors: "The present invention in general relates to natural stilbenoids. More specifically, the present invention relates to situin modulating stilbenoids, in specific orally bioavailable SIRT-1 enhancing compounds (i) 3,5-dimethoxy-3,4'-dihydroxystilbene and (ii) 2,3',5',6-tetrahydroxy-trans-stilbene, and compositions thereof. The present invention also discusses the novel enhanced anti-acne properties of 3,5-dimethoxy-3,4'-dihydroxystilbene and compositions thereof.</w:t>
      </w:r>
      <w:r>
        <w:br/>
      </w:r>
      <w:r>
        <w:br/>
      </w:r>
      <w:r>
        <w:t>"SIRT1 is a member of the sirtuin family of NAD.sup.+-dependent deacetylases. SIRT1 is an enzyme which deacetylates proteins that contribute to cellular regulation (reaction to stressors, longevity). These enzymes have evolved to catalyze a unique reaction in which deacetylation of a lysine residue in a substrate protein is coupled to the consumption of NAD. The following prior art references discuss the biological nature and activity of SIRT1.</w:t>
      </w:r>
      <w:r>
        <w:br/>
      </w:r>
      <w:r>
        <w:br/>
      </w:r>
      <w:r>
        <w:t>"I. Frye, R. A. Characterization of five human cDNAs with homology to the yeast SIR2 gene: Sir2-like proteins (sirtuins) metabolize NAD and may have protein ADP-ribosyltransferase activity. Biochem Biophys Res Commun 260, 273-9 (1999); II. Frye, R. A. Phylogenetic classification of prokaryotic and eukaryotic Sir2-like proteins. Biochem Biophys Res Commun 273, 793-8 (2000); III. Imai, S., Armstrong, C. M., Kaeberlein, M. &amp; Guarente, L. Transcriptional silencing and longevity protein Sir2 is an NAD-dependent histone deacetylase. Nature 403, 795-800 (2000)].</w:t>
      </w:r>
      <w:r>
        <w:br/>
      </w:r>
      <w:r>
        <w:br/>
      </w:r>
      <w:r>
        <w:t>"The modulation of the activities of cellular protein substrates including PGC-1.alpha., NCoR, p300, NFkB, FOXO, and p53 has been attributed to the biological effects of the enzyme on mitochondrial biogenesis, metabolism in muscle and adipose tissue, and cellular survival. Activation of SIRT1 protein results in improvement of insulin sensitivity, lower glucose levels; Thus SIRT1 inhibition has direct bearing on diabetic control, SIRT1 activation results in the increase in the number of mitochondria and improvement of their function. Increase in mitochondrial number has direct attributes to longevity of the cell. SIRT1 activation is related to decreased adipocity and tolerance to exercise. Thus SIRT1 activation has application in weight control and control of obesity. References include: 1. Bouras, T. et al. SIRT1 deacetylation and repression of p300 involves lysine residues 1020/1024 within the cell cycle regulatory domain 1. J Biol Chem 280, 10264-76 (2005); 2. Brunet, A. et al. Stress-dependent regulation of FOXO transcription factors by the SIRT1 deacetylase. Science 303, 2011-5 (2004); 3. Luo, 3. et al. Negative control of p53 by Sir2alpha promotes cell survival under stress. Cell 107, 137-48 (2001); 4. Motta, M. C. et al. Mammalian SIRT1 represses fork head transcription factors. Cell 116, 551-63 (2004); 5. Nemoto, S., Fergusson, M. M. &amp; Finkel, T. SIRT1 functionally interacts with the metabolic regulator and transcriptional co-activator PGC-1 {alpha}. J Biol Chem 280, 16456-60 (2005); 6. Picard, F. et al. Sirt1 promotes fat mobilization in white adipocytes by repressing PPAR-gamma. Nature 429, 771-6 (2004); 7. Rodgers, 3. T. et al. Nutrient control of glucose homeostasis through a complex of PGC-1alpha and SIRT1. Nature 434, 113-8 (2005); 8. Van der Horst, A. et al. FOXO4 is acetylated upon peroxide stress and deacetylated by the longevity protein hSir2(SIRT1). I Biol Chem 279, 28873-9 (2004); 9. Vaziri, H. et al. hSIR2 (SIRT1) functions as an NAD-dependent p53 deacetylase. Cell 107, 149-59 (2001); 10. Yeung, F. et al. Modulation of NF-kappaB-dependent transcription and cell survival by the SIRT1 deacetylase. Embo 3 23, 2369-80 (2004). 11. Elliot, P. J.; lirousek, J.; Sirtuins, Novel targets for metabolic diseases, Current Opinion in Investigational drugs, 9(4), 371-8 (2008)</w:t>
      </w:r>
      <w:r>
        <w:br/>
      </w:r>
      <w:r>
        <w:br/>
      </w:r>
      <w:r>
        <w:t>"The ability of resveratrol to modulate sirtuin gene and protein expression has been well documented. Some important prior art in this regard include: I. The protective action of resveratrol in upregulating the SIRT1-AMPK (AMP-activated kinase) signaling system in preventing alcohol induced fatty liver in ethanol-fed mice is documented in Am J Physiol Gastrointest Liver Physiol. 2008 October; 295(4):G833-42. II. Pharmacological preconditioning by resveratrol in part is directed towards the compound's ability to activate SIRT1 in 1: Med Hypotheses. Aug. 9, 2008. III. The ability of resveratrol to elevate glucose uptake in muscle cells through a mechanism involving sirtuins and AMP-kinase and possibly stimulation of GLUT4 transporter intrinsic activity has been implicated in Biochem Biophys Res Commun. Sep. 12, 2008; 374(1):117-22.</w:t>
      </w:r>
      <w:r>
        <w:br/>
      </w:r>
      <w:r>
        <w:br/>
      </w:r>
      <w:r>
        <w:t>"Similarly, the ability of resveratrol to inhibit Propionibacterium acnes has been documented in 3 Antimicrob Chemother. 2007 June; 59(6):1182-4.</w:t>
      </w:r>
      <w:r>
        <w:br/>
      </w:r>
      <w:r>
        <w:br/>
      </w:r>
      <w:r>
        <w:t>"The principle objective of the present invention is to evaluate the bioavailability and sirtuin modulating ability of 3,5-dimethoxy-3,4'-dihydroxystilbene which are analogs of 3,5-dimethoxy-4'-hydroxystilbene (pterostilbene) which in turn are natural analogs of resveratrol. The invention also aims to evaluate the bioavailability and sirtuin modulating ability of 2,3',5',6-tetrahydroxy-trans-stilbene (gnetol).</w:t>
      </w:r>
      <w:r>
        <w:br/>
      </w:r>
      <w:r>
        <w:br/>
      </w:r>
      <w:r>
        <w:t>"It is also another objective of the present invention to evaluate 3,5-dimethoxy-3,4'-dihydroxystilbene (3-hydroxypterostilbene) for its potential to inhibit Propionibacterium acnes and cosmeceutical applications thereof.</w:t>
      </w:r>
      <w:r>
        <w:br/>
      </w:r>
      <w:r>
        <w:br/>
      </w:r>
      <w:r>
        <w:t>"The present invention fulfills the aforesaid objectives and provides further related advantages."</w:t>
      </w:r>
      <w:r>
        <w:br/>
      </w:r>
      <w:r>
        <w:br/>
      </w:r>
      <w:r>
        <w:t>As a supplement to the background information on this patent, NewsRx correspondents also obtained the inventors' summary information for this patent: "The present invention discloses a novel composition comprising an orally bioavailable sirtuin modulating compound 3,5-dimethoxy-3,4'-dihydroxystilbene, said composition enhancing the SIRT1 polypeptide activity more effectively than resveratrol (3,4',5-trihydroxy-trans-stilbene) or its natural methoxylated derivative 3,5-dimethoxy-4'-hydroxystilbene (pterostilbene). The invention also discloses a novel composition comprising an orally bioavailable sirtuin modulating compound comprising 2,3',5',6-tetrahydroxy-trans-stilbene (gnetol), said composition enhancing the SIRT1 polypeptide activity more effectively than resveratrol (3,4',5-trihydroxy-trans-stilbene), its natural methoxylated derivative 3,5-dimethoxy-4'-hydroxystilbene (pterostilbene) or pterostilbene analog namely 3,5-dimethoxy-3,4'-dihydroxystilbene. In addition, the invention also discloses an anti-acne composition comprising pterostilbene analog 3,5-dimethoxy-3,4'-dihydroxystilbene, said analog inhibiting the growth of Propionibacterium acnes more effectively than resveratrol (3,4',5-trihydroxy-trans-stilbene). The advantages of the present invention may be summarized as follows. 1. A novel sirtuin modulating composition comprising orally bioavailable 3,5-dimethoxy-3,4'-dihydroxystilbene, said composition enhancing the SIRT1 polypeptide activity more effectively than resveratrol (3,4',5-trihydroxy-trans-stilbene) or its natural methoxylated derivative 3,5-dimethoxy-4'-hydroxystilbene (pterostilbene). 2. A novel sirtuin modulating composition comprising orally bioavailable 2,3',5',6-tetrahydroxy-trans-stilbene (gnetol) enhancing the SIRT1 polypeptide activity more effectively than resveratrol (3,4',5-trihydroxy-trans-stilbene), its natural methoxylated derivative 3,5-dimethoxy-4'-hydroxystilbene (pterostilbene) or pterostilbene analog namely 3,5-dimethoxy-3,4'-dihydroxystilbene. 3. An anti-acne composition comprising pterostilbene analog 3,5-dimethoxy-3,4'-dihydroxystilbene, said analog inhibiting the growth of Propionibacterium acnes more effectively than resveratrol (3,4',5-trihydroxy-trans-stilbene). Other features and advantages of the present invention will become apparent from the following more detailed description, taken in conjunction with the accompanying drawings, which illustrate, by way of example, the principle of the invention."</w:t>
      </w:r>
      <w:r>
        <w:br/>
      </w:r>
      <w:r>
        <w:br/>
      </w:r>
      <w:r>
        <w:t>For additional information on this patent, see: Majeed, Muhammed; Reinhardt, Jeffrey; Nagabhushanam, Kalyanam; Thomas, Samuel Manoharan; Jayaraman, Krishnamani. Orally Bioavailable Stilbenoids--Compositions and Therapeutic Applications. U.S. Patent Number 9050284, filed February 9, 2009, and published online on June 9, 2015. Patent URL: http://patft.uspto.gov/netacgi/nph-Parser?Sect1=PTO1&amp;Sect2=HITOFF&amp;d=PALL&amp;p=1&amp;u=%2Fnetahtml%2FPTO%2Fsrchnum.htm&amp;r=1&amp;f=G&amp;l=50&amp;s1=9050284.PN.&amp;OS=PN/9050284RS=PN/9050284</w:t>
      </w:r>
      <w:r>
        <w:br/>
      </w:r>
      <w:r>
        <w:br/>
      </w:r>
      <w:r>
        <w:t>Keywords for this news article include: Kinase, Stilbenes, Hydrocarbons, Therapeutics, Actinobacteria, Actinomycetales, Sami Labs Limited, Gram-Positive Rods, Propionibacteriaceae, Benzylidene Compounds, Enzymes and Coenzymes, Gram-Positive Bacteria, Propionibacterium acnes, Gram-Positive Asporogenous Rods.</w:t>
      </w:r>
      <w:r>
        <w:br/>
      </w:r>
      <w:r>
        <w:br/>
      </w:r>
      <w:r>
        <w:t>Our reports deliver fact-based news of research and discoveries from around the world. Copyright 2015, NewsRx LLC</w:t>
      </w:r>
    </w:p>
    <w:p xmlns:wp14="http://schemas.microsoft.com/office/word/2010/wordml" w14:paraId="27A8C906" wp14:textId="77777777">
      <w:pPr>
        <w:pStyle w:val="Heading1"/>
      </w:pPr>
      <w:r>
        <w:t>End of Article 17</w:t>
      </w:r>
    </w:p>
    <w:p xmlns:wp14="http://schemas.microsoft.com/office/word/2010/wordml" w14:paraId="049F31CB" wp14:textId="77777777">
      <w:r>
        <w:br w:type="page"/>
      </w:r>
    </w:p>
    <w:p xmlns:wp14="http://schemas.microsoft.com/office/word/2010/wordml" w14:paraId="35676AA4" wp14:textId="77777777">
      <w:pPr>
        <w:pStyle w:val="Heading1"/>
      </w:pPr>
      <w:r>
        <w:t>Start of Article 18</w:t>
      </w:r>
    </w:p>
    <w:p xmlns:wp14="http://schemas.microsoft.com/office/word/2010/wordml" w14:paraId="37A698C4" wp14:textId="77777777">
      <w:pPr>
        <w:pStyle w:val="Heading1"/>
      </w:pPr>
      <w:r>
        <w:t>Document ID CTRW000020150619eb6m000g9</w:t>
      </w:r>
    </w:p>
    <w:p xmlns:wp14="http://schemas.microsoft.com/office/word/2010/wordml" w14:paraId="503EDA0C" wp14:textId="77777777">
      <w:r>
        <w:t>The news reporters obtained a quote from the research from Weill Cornell Medical College, "We developed an image-processing algorithm for the detection and quantification of lung comets. Quantification measures included comet number (comet count) and the fraction of the ultrasound beams with comet findings (comet fraction). We used this algorithm in a pilot study in 20 stable dialysis outpatients to identify associations between ultrasound comets and clinical parameters including blood pressure (BP), percent blood volume reduction on dialysis (%BV), ejection fraction (EF), and ultrafiltration on dialysis (UF). Positive findings included associations with lung comet measurements with pre-dialysis Diastolic BP (r = 0.534, p = 0.015), subject age (r = -0.446, p = 0.049), and a combination of EF and end dialysis %BV reduction (r = -0.585, p = 0.028). Comet fraction and comet count were closely correlated due to the inherent relationship between these two metrics (r = 0.973, p&lt; 0.001). Negative findings included ultrasound comets that did not change from beginning to end of dialysis (p = 0.756), and were not significantly correlated with single dialysis treatment UF (p = 0.522), subject body weight (p = 0.208), or BMI (p = 0.358). Ultrasound signal processing methods may help quantify lung ultrasound comets."</w:t>
      </w:r>
      <w:r>
        <w:br/>
      </w:r>
      <w:r>
        <w:br/>
      </w:r>
      <w:r>
        <w:t>According to the news reporters, the research concluded: "Additional findings include algorithmic lung comet measurement that did not change significantly during single dialysis sessions in these stable outpatients, but were associated with cardiovascular and fluid status parameters."</w:t>
      </w:r>
      <w:r>
        <w:br/>
      </w:r>
      <w:r>
        <w:br/>
      </w:r>
      <w:r>
        <w:t>For more information on this research see: Quantitative Lung Ultrasound Comet Measurement: Method and Initial Clinical Results. Blood Purification, 2015;39(1-3):37-44. Blood Purification can be contacted at: Karger, Allschwilerstrasse 10, Ch-4009 Basel, Switzerland. (Karger - www.karger.com/; Blood Purification -</w:t>
      </w:r>
      <w:r>
        <w:br/>
      </w:r>
      <w:r>
        <w:br/>
      </w:r>
      <w:r>
        <w:t>content.karger.com/ProdukteDB/produkte.asp?Aktion=JournalHome&amp;ProduktNr=223997)</w:t>
      </w:r>
      <w:r>
        <w:br/>
      </w:r>
      <w:r>
        <w:br/>
      </w:r>
      <w:r>
        <w:t>Our news correspondents report that additional information may be obtained by contacting W.F. Weitzel, Weill Cornell Med College, Dept. of Radiol, New York, NY, United States. Additional authors for this research include J. Hamilton, X.L. Wang, J.L. Bull, A. Vollmer, A. Bowman, J. Rubin, G.H. Kruger, J. Gao, M. Heung and P. Rao.</w:t>
      </w:r>
      <w:r>
        <w:br/>
      </w:r>
      <w:r>
        <w:br/>
      </w:r>
      <w:r>
        <w:t>Keywords for this news article include: New York City, United States, Clinical Trial Research, North and Central America</w:t>
      </w:r>
      <w:r>
        <w:br/>
      </w:r>
      <w:r>
        <w:br/>
      </w:r>
      <w:r>
        <w:t>Our reports deliver fact-based news of research and discoveries from around the world. Copyright 2015, NewsRx LLC</w:t>
      </w:r>
    </w:p>
    <w:p xmlns:wp14="http://schemas.microsoft.com/office/word/2010/wordml" w14:paraId="1CAA193A" wp14:textId="77777777">
      <w:pPr>
        <w:pStyle w:val="Heading1"/>
      </w:pPr>
      <w:r>
        <w:t>End of Article 18</w:t>
      </w:r>
    </w:p>
    <w:p xmlns:wp14="http://schemas.microsoft.com/office/word/2010/wordml" w14:paraId="53128261" wp14:textId="77777777">
      <w:r>
        <w:br w:type="page"/>
      </w:r>
    </w:p>
    <w:p xmlns:wp14="http://schemas.microsoft.com/office/word/2010/wordml" w14:paraId="07DDDC5C" wp14:textId="77777777">
      <w:pPr>
        <w:pStyle w:val="Heading1"/>
      </w:pPr>
      <w:r>
        <w:t>Start of Article 19</w:t>
      </w:r>
    </w:p>
    <w:p xmlns:wp14="http://schemas.microsoft.com/office/word/2010/wordml" w14:paraId="3CFD0297" wp14:textId="77777777">
      <w:pPr>
        <w:pStyle w:val="Heading1"/>
      </w:pPr>
      <w:r>
        <w:t>Document ID ATPHAM0020151030ebat0006f</w:t>
      </w:r>
    </w:p>
    <w:p xmlns:wp14="http://schemas.microsoft.com/office/word/2010/wordml" w14:paraId="7B24B337" wp14:textId="77777777">
      <w:r>
        <w:t>Its consolidated revenue climbed 13.6% on-year, surging from Rs 16.8 billion to Rs 19.09 billion.</w:t>
      </w:r>
      <w:r>
        <w:br/>
      </w:r>
      <w:r>
        <w:br/>
      </w:r>
      <w:r>
        <w:t>Sales for the formulation business in India increased 27%, standing at Rs 6.09 billion, up from Rs 4.78 in the same quarter of the previous fiscal.</w:t>
      </w:r>
      <w:r>
        <w:br/>
      </w:r>
      <w:r>
        <w:br/>
      </w:r>
      <w:r>
        <w:t>Its revenue from Glenmark Pharmaceuticals Inc. USA leaped 18% during the period from Rs 5.08 billion to Rs 5.98 billion.</w:t>
      </w:r>
      <w:r>
        <w:br/>
      </w:r>
      <w:r>
        <w:br/>
      </w:r>
      <w:r>
        <w:t>According to Glenn Saldanha, chairman and managing director of the company, the drug maker has registered good growth in general in the second quarter of the current financial year due to strong business in India, Europe and the United States.</w:t>
      </w:r>
      <w:r>
        <w:br/>
      </w:r>
      <w:r>
        <w:br/>
      </w:r>
      <w:r>
        <w:t>The devaluation of currencies across emerging economies especially in Russia and Brazil had a negative effect on its operation, he noted, adding that they expected the businesses in the United States, Europe and India to continue as driving force for the company.</w:t>
      </w:r>
    </w:p>
    <w:p xmlns:wp14="http://schemas.microsoft.com/office/word/2010/wordml" w14:paraId="33BA6BBB" wp14:textId="77777777">
      <w:pPr>
        <w:pStyle w:val="Heading1"/>
      </w:pPr>
      <w:r>
        <w:t>End of Article 19</w:t>
      </w:r>
    </w:p>
    <w:p xmlns:wp14="http://schemas.microsoft.com/office/word/2010/wordml" w14:paraId="62486C05" wp14:textId="77777777">
      <w:r>
        <w:br w:type="page"/>
      </w:r>
    </w:p>
    <w:p xmlns:wp14="http://schemas.microsoft.com/office/word/2010/wordml" w14:paraId="5ABD0470" wp14:textId="77777777">
      <w:pPr>
        <w:pStyle w:val="Heading1"/>
      </w:pPr>
      <w:r>
        <w:t>Start of Article 20</w:t>
      </w:r>
    </w:p>
    <w:p xmlns:wp14="http://schemas.microsoft.com/office/word/2010/wordml" w14:paraId="262894B0" wp14:textId="77777777">
      <w:pPr>
        <w:pStyle w:val="Heading1"/>
      </w:pPr>
      <w:r>
        <w:t>Document ID HNFRDSNT20150502eb35000qq</w:t>
      </w:r>
    </w:p>
    <w:p xmlns:wp14="http://schemas.microsoft.com/office/word/2010/wordml" w14:paraId="360479F7" wp14:textId="77777777">
      <w:r>
        <w:t>Contrave combines two drugs, naltrexone and bupropion. These drugs are already approved for other uses. Naltrexone is used to help kick alcohol and narcotic addiction. Bupropion is used to treat depression and seasonal affective disorder. Many people also take bupropion to stop smoking. Neither naltrexone nor bupropion by itself has been approved for weight loss.</w:t>
      </w:r>
      <w:r>
        <w:br/>
      </w:r>
      <w:r>
        <w:br/>
      </w:r>
      <w:r>
        <w:t>Why should the combination of these drugs help with weight loss? It's likely that the drugs act on impulse, reward and/or hunger centers in the brain to decrease appetite and dampen the reflex to seek food for comfort.</w:t>
      </w:r>
      <w:r>
        <w:br/>
      </w:r>
      <w:r>
        <w:br/>
      </w:r>
      <w:r>
        <w:t>Not everyone who is overweight needs a weight loss drug. Contrave is approved for adults who are obese and for certain people who are overweight. Obese is defined as a body mass index, or BMI, of 30 or higher. Overweight adults have a BMI between 25 and 30. Overweight adults should only take Contrave if they also have at least one other weight-related condition, such as high blood pressure or Type 2 diabetes. If you don't know your BMI, you can look it up on the BMI table I've put on my website, AskDoctorK.com.</w:t>
      </w:r>
      <w:r>
        <w:br/>
      </w:r>
      <w:r>
        <w:br/>
      </w:r>
      <w:r>
        <w:t>The FDA approved Contrave based on the results of several clinical trials that included 4,500 overweight and obese men and women. All were treated for one year.</w:t>
      </w:r>
      <w:r>
        <w:br/>
      </w:r>
      <w:r>
        <w:br/>
      </w:r>
      <w:r>
        <w:t>In one trial of people without diabetes, 42 percent of those who took Contrave lost at least 5 percent of their body weight, compared with 17 percent of those who took a placebo. In a trial of people with diabetes, 36 percent of those taking Contrave lost at least 5 percent of their body weight, compared with 18 percent of those taking a placebo.</w:t>
      </w:r>
      <w:r>
        <w:br/>
      </w:r>
      <w:r>
        <w:br/>
      </w:r>
      <w:r>
        <w:t>Like any drug, Contrave can cause unwanted, sometimes serious, side effects. Used alone, bupropion has been linked to suicidal thoughts, as well as seizures. And naltrexone use has been linked to seizures. I think the drug should be avoided by anyone who:</w:t>
      </w:r>
      <w:r>
        <w:br/>
      </w:r>
      <w:r>
        <w:br/>
      </w:r>
      <w:r>
        <w:t>Has had seizures in the past Has had an eating disorder (bulimia or anorexia nervosa) Is taking an opioid pain medicine or a medicine to treat addiction to opioids Is taking an antidepressant medicine called an MAOI Is pregnant</w:t>
      </w:r>
      <w:r>
        <w:br/>
      </w:r>
      <w:r>
        <w:br/>
      </w:r>
      <w:r>
        <w:t>I am reluctant to get enthusiastic about a new medicine until some time has passed. The 4,500 people who participated in studies is a pretty large number. However, it is a very small fraction of the total number who are likely to be prescribed the medicine. Rare but serious side effects could have been missed in the early studies.</w:t>
      </w:r>
      <w:r>
        <w:br/>
      </w:r>
      <w:r>
        <w:br/>
      </w:r>
      <w:r>
        <w:t>Also, about half of the people in the studies saw no benefit. If you take the medicine for 12 weeks and see no benefit, it's wise to talk to your doctor about stopping it.</w:t>
      </w:r>
    </w:p>
    <w:p xmlns:wp14="http://schemas.microsoft.com/office/word/2010/wordml" w14:paraId="75DF0169" wp14:textId="77777777">
      <w:pPr>
        <w:pStyle w:val="Heading1"/>
      </w:pPr>
      <w:r>
        <w:t>End of Article 20</w:t>
      </w:r>
    </w:p>
    <w:p xmlns:wp14="http://schemas.microsoft.com/office/word/2010/wordml" w14:paraId="4101652C" wp14:textId="77777777">
      <w:r>
        <w:br w:type="page"/>
      </w:r>
    </w:p>
    <w:p xmlns:wp14="http://schemas.microsoft.com/office/word/2010/wordml" w14:paraId="6A7A9B8C" wp14:textId="77777777">
      <w:pPr>
        <w:pStyle w:val="Heading1"/>
      </w:pPr>
      <w:r>
        <w:t>Start of Article 21</w:t>
      </w:r>
    </w:p>
    <w:p xmlns:wp14="http://schemas.microsoft.com/office/word/2010/wordml" w14:paraId="597989A0" wp14:textId="77777777">
      <w:pPr>
        <w:pStyle w:val="Heading1"/>
      </w:pPr>
      <w:r>
        <w:t>Document ID DRGW000020150206eb2d0000g</w:t>
      </w:r>
    </w:p>
    <w:p xmlns:wp14="http://schemas.microsoft.com/office/word/2010/wordml" w14:paraId="2BCB5B29" wp14:textId="77777777">
      <w:r>
        <w:t>"The Power To Make" and Core Values</w:t>
      </w:r>
      <w:r>
        <w:br/>
      </w:r>
      <w:r>
        <w:br/>
      </w:r>
      <w:r>
        <w:t>"The Power To Make" serves as both Althea's purpose and its tagline, becoming central to its brand. Althea's partner-centric reputation is highly regarded in the contract manufacturing space and Althea commits to further delivering on this promise to its clients.</w:t>
      </w:r>
      <w:r>
        <w:br/>
      </w:r>
      <w:r>
        <w:br/>
      </w:r>
      <w:r>
        <w:t>David Enloe , Althea's President and CEO says, "Over the past several months, we spent a lot of time with clients understanding the true value we bring to their biopharmaceutical programs. This research really drove home the importance of what we now call the "get it factor". Althea's entire team truly understands our clients' needs, and strives to constantly consider those needs and challenges as our own."</w:t>
      </w:r>
      <w:r>
        <w:br/>
      </w:r>
      <w:r>
        <w:br/>
      </w:r>
      <w:r>
        <w:t>"This extensive research yielded our purpose statement: "The Power To Make" - therapeutics that improve the quality of life, our clients successful, and a real difference in people's lives. This has always been our purpose and core value; now, we are capturing that quality in an explicit and concise way. This purpose statement binds us to our clients in a dedicated and deeply-valued manner."</w:t>
      </w:r>
      <w:r>
        <w:br/>
      </w:r>
      <w:r>
        <w:br/>
      </w:r>
      <w:r>
        <w:t>Updated Logo and Modernized Website</w:t>
      </w:r>
      <w:r>
        <w:br/>
      </w:r>
      <w:r>
        <w:br/>
      </w:r>
      <w:r>
        <w:t>In conjunction with the new tagline, Althea redesigned its logo to provide consistency, clarity, and ease of use for Althea's practices and clients around the world. Also, Althea completely redesigned its entire website in order to provide a better user experience. Althea rebuilt the web structure, imagery, and technical content providing much faster navigation speed, mobile device access, and easy to find regulatory and service capability resources for clients.</w:t>
      </w:r>
      <w:r>
        <w:br/>
      </w:r>
      <w:r>
        <w:br/>
      </w:r>
      <w:r>
        <w:t>Jennifer Cannon, Ph.D., Althea Director of Marketing, states, "Our brand name, logo, and website are important indicators of who we are, our promise to our clients, and what we stand for. We're taking the opportunity to strengthen and modernize our representation in the market. Our image now mirrors the great work we do for our clients, ourselves, and the patients we serve."</w:t>
      </w:r>
      <w:r>
        <w:br/>
      </w:r>
      <w:r>
        <w:br/>
      </w:r>
      <w:r>
        <w:t>Keywords for this news article include: Ajinomoto Althea Inc.</w:t>
      </w:r>
      <w:r>
        <w:br/>
      </w:r>
      <w:r>
        <w:br/>
      </w:r>
      <w:r>
        <w:t>Our reports deliver fact-based news of research and discoveries from around the world. Copyright 2015, NewsRx LLC</w:t>
      </w:r>
    </w:p>
    <w:p xmlns:wp14="http://schemas.microsoft.com/office/word/2010/wordml" w14:paraId="4DF1E517" wp14:textId="77777777">
      <w:pPr>
        <w:pStyle w:val="Heading1"/>
      </w:pPr>
      <w:r>
        <w:t>End of Article 21</w:t>
      </w:r>
    </w:p>
    <w:p xmlns:wp14="http://schemas.microsoft.com/office/word/2010/wordml" w14:paraId="4B99056E" wp14:textId="77777777">
      <w:r>
        <w:br w:type="page"/>
      </w:r>
    </w:p>
    <w:p xmlns:wp14="http://schemas.microsoft.com/office/word/2010/wordml" w14:paraId="7079CD0E" wp14:textId="77777777">
      <w:pPr>
        <w:pStyle w:val="Heading1"/>
      </w:pPr>
      <w:r>
        <w:t>Start of Article 22</w:t>
      </w:r>
    </w:p>
    <w:p xmlns:wp14="http://schemas.microsoft.com/office/word/2010/wordml" w14:paraId="69CE161A" wp14:textId="77777777">
      <w:pPr>
        <w:pStyle w:val="Heading1"/>
      </w:pPr>
      <w:r>
        <w:t>Document ID DJDN000020150507eb57001nu</w:t>
      </w:r>
    </w:p>
    <w:p xmlns:wp14="http://schemas.microsoft.com/office/word/2010/wordml" w14:paraId="43577A04" wp14:textId="77777777">
      <w:r>
        <w:t>In February the company, which recently acquired medical company CareFusion, cut its full-year outlook, citing currency fluctuations, and on Thursday further reduced its profit estimate for the standalone business. Becton now expects to report per-share earnings of $6.43 to $6.50, down from earlier guidance of $6.50 to $6.57. On a currency-adjusted basis, the company said, it hasn't changed its earnings forecast. Sales will decline 1.5% but grow 5% when foreign exchange effects are stripped out, Becton said. The affirmed adjusted revenue growth estimate translates to $8.9 billion.</w:t>
      </w:r>
      <w:r>
        <w:br/>
      </w:r>
      <w:r>
        <w:br/>
      </w:r>
      <w:r>
        <w:t>Including CareFusion, Becton expects adjusted per-share profit of $7 to $7.10 this year on 4.5% organic revenue growth.</w:t>
      </w:r>
      <w:r>
        <w:br/>
      </w:r>
      <w:r>
        <w:br/>
      </w:r>
      <w:r>
        <w:t>Analysts, according to Thomson Reuters, are projecting adjusted full-year earnings of $7.07 and revenue of $10.4 billion.</w:t>
      </w:r>
      <w:r>
        <w:br/>
      </w:r>
      <w:r>
        <w:br/>
      </w:r>
      <w:r>
        <w:t>The New Jersey-based company closed the $12.2 billion acquisition in March. The deal was a move to provide a fuller range of supplies, and also the tools hospitals need to cope with health insurers, who are pressing them to curb spending and provide more cost-effective care. Becton sells things like catheters that nurses use to administer drugs, while CareFusion has been making the machines that pump the drugs into the catheters.</w:t>
      </w:r>
      <w:r>
        <w:br/>
      </w:r>
      <w:r>
        <w:br/>
      </w:r>
      <w:r>
        <w:t>"We look forward to the future with confidence as we integrate the acquisition of CareFusion," Becton Chief Executive Vincent Forlenza said Thursday.</w:t>
      </w:r>
      <w:r>
        <w:br/>
      </w:r>
      <w:r>
        <w:br/>
      </w:r>
      <w:r>
        <w:t>In the latest quarter, foreign exchange fluctuations shaved 10 cents per share off of the company's bottom line. In 2014, the company generated 60% of its sales abroad. International revenue during the latest period fell 4.7% to $1.2 billion. On a currency-adjusted basis, international sales rose 5.2%. The company noted softness in Japan due to the impact of the timing of government funding as well as softness in emerging markets, particularly in China and Brazil.</w:t>
      </w:r>
      <w:r>
        <w:br/>
      </w:r>
      <w:r>
        <w:br/>
      </w:r>
      <w:r>
        <w:t>In all for the fiscal second quarter, Becton reported a profit of $216 million, or $1.08 a share, down from year-earlier earnings of $287 million, or $1.45 a share. Excluding items like costs associated with the CareFusion acquisition, per-share profit rose to 1.61 from $1.59.</w:t>
      </w:r>
      <w:r>
        <w:br/>
      </w:r>
      <w:r>
        <w:br/>
      </w:r>
      <w:r>
        <w:t>Revenue decreased 1% to $2.1 billion.</w:t>
      </w:r>
      <w:r>
        <w:br/>
      </w:r>
      <w:r>
        <w:br/>
      </w:r>
      <w:r>
        <w:t>Analysts, according to Thomson Reuters, expected $1.53 in earnings per share and $2 billion in sales.</w:t>
      </w:r>
      <w:r>
        <w:br/>
      </w:r>
      <w:r>
        <w:br/>
      </w:r>
      <w:r>
        <w:t>In the company's medical division, which accounted for more than half of the Becton's overall revenue last year, sales slid 0.9% to $1.1 billion. A 6.2% drop in pharmaceutical systems sales weighed on the segment. On a currency-adjusted basis, medical segment revenue rose 5.4%.</w:t>
      </w:r>
      <w:r>
        <w:br/>
      </w:r>
      <w:r>
        <w:br/>
      </w:r>
      <w:r>
        <w:t>Sales in Becton's life sciences business declined 1.1% to $945 million but rose 4.4% before currency effects. The company noted that the segment was negatively impacted by the timing of government funding in Japan. Within the unit, diagnostic and biosciences revenue rose 7.5% and 7.7%, respectively.</w:t>
      </w:r>
      <w:r>
        <w:br/>
      </w:r>
      <w:r>
        <w:br/>
      </w:r>
      <w:r>
        <w:t>Shares in the company, up about 1% this year, were inactive in pre-market trading.</w:t>
      </w:r>
      <w:r>
        <w:br/>
      </w:r>
      <w:r>
        <w:br/>
      </w:r>
      <w:r>
        <w:t>Write to Lisa Beilfuss at lisa.beilfuss@wsj.com</w:t>
      </w:r>
      <w:r>
        <w:br/>
      </w:r>
      <w:r>
        <w:br/>
      </w:r>
      <w:r>
        <w:t>(END) Dow Jones Newswires</w:t>
      </w:r>
      <w:r>
        <w:br/>
      </w:r>
      <w:r>
        <w:br/>
      </w:r>
      <w:r>
        <w:t>May 07, 2015 07:06 ET (11:06 GMT)</w:t>
      </w:r>
    </w:p>
    <w:p xmlns:wp14="http://schemas.microsoft.com/office/word/2010/wordml" w14:paraId="176727E4" wp14:textId="77777777">
      <w:pPr>
        <w:pStyle w:val="Heading1"/>
      </w:pPr>
      <w:r>
        <w:t>End of Article 22</w:t>
      </w:r>
    </w:p>
    <w:p xmlns:wp14="http://schemas.microsoft.com/office/word/2010/wordml" w14:paraId="1299C43A" wp14:textId="77777777">
      <w:r>
        <w:br w:type="page"/>
      </w:r>
    </w:p>
    <w:p xmlns:wp14="http://schemas.microsoft.com/office/word/2010/wordml" w14:paraId="38D0FAF8" wp14:textId="77777777">
      <w:pPr>
        <w:pStyle w:val="Heading1"/>
      </w:pPr>
      <w:r>
        <w:t>Start of Article 23</w:t>
      </w:r>
    </w:p>
    <w:p xmlns:wp14="http://schemas.microsoft.com/office/word/2010/wordml" w14:paraId="2FC8023A" wp14:textId="77777777">
      <w:pPr>
        <w:pStyle w:val="Heading1"/>
      </w:pPr>
      <w:r>
        <w:t>Document ID DJDN000020151228ebcs00258</w:t>
      </w:r>
    </w:p>
    <w:p xmlns:wp14="http://schemas.microsoft.com/office/word/2010/wordml" w14:paraId="6C0C4D20" wp14:textId="77777777">
      <w:r>
        <w:t>ALAMEDA, Calif., Dec. 28, 2015</w:t>
      </w:r>
      <w:r>
        <w:br/>
      </w:r>
      <w:r>
        <w:br/>
      </w:r>
      <w:r>
        <w:t xml:space="preserve">ALAMEDA, Calif., Dec. 28, 2015 /PRNewswire/ -- Penumbra, Inc. (NYSE: PEN), a global interventional therapies company, today announced that its management team is scheduled to present at the 34(th) Annual J.P. Morgan 2016 Healthcare Conference in San Francisco, CA at the Westin St. Francis Hotel. </w:t>
      </w:r>
      <w:r>
        <w:br/>
      </w:r>
      <w:r>
        <w:br/>
      </w:r>
      <w:r>
        <w:br/>
      </w:r>
      <w:r>
        <w:t xml:space="preserve"> </w:t>
      </w:r>
      <w:r>
        <w:br/>
      </w:r>
      <w:r>
        <w:t xml:space="preserve">Event:  34(th) Annual J.P. Morgan 2016 Healthcare Conference </w:t>
      </w:r>
      <w:r>
        <w:br/>
      </w:r>
      <w:r>
        <w:t xml:space="preserve">Date:   Tuesday, January 12, 2016 </w:t>
      </w:r>
      <w:r>
        <w:br/>
      </w:r>
      <w:r>
        <w:t xml:space="preserve">Time:   11:00 am PT / 2:00 pm ET </w:t>
      </w:r>
      <w:r>
        <w:br/>
      </w:r>
      <w:r>
        <w:t xml:space="preserve"> </w:t>
      </w:r>
      <w:r>
        <w:br/>
      </w:r>
      <w:r>
        <w:br/>
      </w:r>
      <w:r>
        <w:t>A webcast of the presentation can be accessed on the "Investors" section of the Company's website at: www.penumbrainc.com. The webcast will be available on the Company's website for two weeks following the event.</w:t>
      </w:r>
      <w:r>
        <w:br/>
      </w:r>
      <w:r>
        <w:br/>
      </w:r>
      <w:r>
        <w:t>About Penumbra</w:t>
      </w:r>
      <w:r>
        <w:br/>
      </w:r>
      <w:r>
        <w:br/>
      </w:r>
      <w:r>
        <w:t>Penumbra, Inc., headquartered in Alameda, California is a global interventional therapies company that designs, develops, manufactures and markets innovative medical devices. The company has a broad portfolio of products that address challenging medical conditions and significant clinical needs across two major markets, neuro and peripheral vascular. Penumbra sells its products to hospitals primarily through its direct sales organization in the U.S., most of Europe, Canada and Australia, and through distributors in select international markets. Penumbra and the Penumbra logo are trademarks of Penumbra, Inc.</w:t>
      </w:r>
      <w:r>
        <w:br/>
      </w:r>
      <w:r>
        <w:br/>
      </w:r>
      <w:r>
        <w:t>Sara Thompson</w:t>
      </w:r>
      <w:r>
        <w:br/>
      </w:r>
      <w:r>
        <w:br/>
      </w:r>
      <w:r>
        <w:t>Head of Investor Relations</w:t>
      </w:r>
      <w:r>
        <w:br/>
      </w:r>
      <w:r>
        <w:br/>
      </w:r>
      <w:r>
        <w:t>Penumbra, Inc.</w:t>
      </w:r>
      <w:r>
        <w:br/>
      </w:r>
      <w:r>
        <w:br/>
      </w:r>
      <w:r>
        <w:t>510 995 2455</w:t>
      </w:r>
      <w:r>
        <w:br/>
      </w:r>
      <w:r>
        <w:br/>
      </w:r>
      <w:r>
        <w:t>investors@penumbrainc.com</w:t>
      </w:r>
      <w:r>
        <w:br/>
      </w:r>
      <w:r>
        <w:br/>
      </w:r>
      <w:r>
        <w:t>To view the original version on PR Newswire, visit:http://www.prnewswire.com/news-releases/penumbra-inc-to-present-at-the-34th-annual-jp-morgan-2016-healthcare-conference-300196994.html</w:t>
      </w:r>
      <w:r>
        <w:br/>
      </w:r>
      <w:r>
        <w:br/>
      </w:r>
      <w:r>
        <w:t>SOURCE Penumbra, Inc.</w:t>
      </w:r>
      <w:r>
        <w:br/>
      </w:r>
      <w:r>
        <w:br/>
      </w:r>
      <w:r>
        <w:t>/Web site: http://www.penumbrainc.com</w:t>
      </w:r>
      <w:r>
        <w:br/>
      </w:r>
      <w:r>
        <w:br/>
      </w:r>
      <w:r>
        <w:t>(END) Dow Jones Newswires</w:t>
      </w:r>
      <w:r>
        <w:br/>
      </w:r>
      <w:r>
        <w:br/>
      </w:r>
      <w:r>
        <w:t>December 28, 2015 16:30 ET (21:30 GMT)</w:t>
      </w:r>
    </w:p>
    <w:p xmlns:wp14="http://schemas.microsoft.com/office/word/2010/wordml" w14:paraId="6736FD64" wp14:textId="77777777">
      <w:pPr>
        <w:pStyle w:val="Heading1"/>
      </w:pPr>
      <w:r>
        <w:t>End of Article 23</w:t>
      </w:r>
    </w:p>
    <w:p xmlns:wp14="http://schemas.microsoft.com/office/word/2010/wordml" w14:paraId="4DDBEF00" wp14:textId="77777777">
      <w:r>
        <w:br w:type="page"/>
      </w:r>
    </w:p>
    <w:p xmlns:wp14="http://schemas.microsoft.com/office/word/2010/wordml" w14:paraId="4708C50D" wp14:textId="77777777">
      <w:pPr>
        <w:pStyle w:val="Heading1"/>
      </w:pPr>
      <w:r>
        <w:t>Start of Article 24</w:t>
      </w:r>
    </w:p>
    <w:p xmlns:wp14="http://schemas.microsoft.com/office/word/2010/wordml" w14:paraId="7124E736" wp14:textId="77777777">
      <w:pPr>
        <w:pStyle w:val="Heading1"/>
      </w:pPr>
      <w:r>
        <w:t>Document ID DJDN000020151012ebac0001t</w:t>
      </w:r>
    </w:p>
    <w:p xmlns:wp14="http://schemas.microsoft.com/office/word/2010/wordml" w14:paraId="7EB7E506" wp14:textId="77777777">
      <w:r>
        <w:t>PR Newswire</w:t>
      </w:r>
      <w:r>
        <w:br/>
      </w:r>
      <w:r>
        <w:br/>
      </w:r>
      <w:r>
        <w:t>INDIANAPOLIS and SHANGHAI, Oct. 11, 2015</w:t>
      </w:r>
      <w:r>
        <w:br/>
      </w:r>
      <w:r>
        <w:br/>
      </w:r>
      <w:r>
        <w:t>INDIANAPOLIS and SHANGHAI, Oct. 11, 2015 /PRNewswire/ -- Eli Lilly and Company (NYSE:LLY) and Innovent Biologics, Inc. (Innovent) today announced an expansion of their drug development collaboration, already one of the largest in China between a multi-national and domestic biopharmaceutical company.</w:t>
      </w:r>
      <w:r>
        <w:br/>
      </w:r>
      <w:r>
        <w:br/>
      </w:r>
      <w:r>
        <w:t xml:space="preserve">Below are details of the expanded agreement: </w:t>
      </w:r>
      <w:r>
        <w:br/>
      </w:r>
      <w:r>
        <w:br/>
      </w:r>
      <w:r>
        <w:br/>
      </w:r>
      <w:r>
        <w:t xml:space="preserve">   -- The companies will collaborate to support the development and potential </w:t>
      </w:r>
      <w:r>
        <w:br/>
      </w:r>
      <w:r>
        <w:t xml:space="preserve">      commercialization of up to three anti-PD-1 based bispecific antibodies </w:t>
      </w:r>
      <w:r>
        <w:br/>
      </w:r>
      <w:r>
        <w:t xml:space="preserve">      for cancer treatments over the next decade, both inside and outside of </w:t>
      </w:r>
      <w:r>
        <w:br/>
      </w:r>
      <w:r>
        <w:t xml:space="preserve">      China. </w:t>
      </w:r>
      <w:r>
        <w:br/>
      </w:r>
      <w:r>
        <w:t xml:space="preserve"> </w:t>
      </w:r>
      <w:r>
        <w:br/>
      </w:r>
      <w:r>
        <w:t xml:space="preserve">   -- Under the previous agreement, Lilly will exercise its rights to develop, </w:t>
      </w:r>
      <w:r>
        <w:br/>
      </w:r>
      <w:r>
        <w:t xml:space="preserve">      manufacture and commercialize these potential cancer treatments outside </w:t>
      </w:r>
      <w:r>
        <w:br/>
      </w:r>
      <w:r>
        <w:t xml:space="preserve">      of China. </w:t>
      </w:r>
      <w:r>
        <w:br/>
      </w:r>
      <w:r>
        <w:t xml:space="preserve"> </w:t>
      </w:r>
      <w:r>
        <w:br/>
      </w:r>
      <w:r>
        <w:t xml:space="preserve">   -- Innovent will now have the rights to develop, manufacture and </w:t>
      </w:r>
      <w:r>
        <w:br/>
      </w:r>
      <w:r>
        <w:t xml:space="preserve">      commercialize these potential cancer treatments for China, subject to a </w:t>
      </w:r>
      <w:r>
        <w:br/>
      </w:r>
      <w:r>
        <w:t xml:space="preserve">      Lilly opt-in right for co-development and commercialization. </w:t>
      </w:r>
      <w:r>
        <w:br/>
      </w:r>
      <w:r>
        <w:br/>
      </w:r>
      <w:r>
        <w:t>Under the terms of the expanded agreement, Innovent could receive additional milestones totaling more than $1 billion if the products reach certain development, regulatory and sales milestones, both inside and outside of China. Sales royalties and other payments would occur on certain products if commercialized outside China. Further financial terms were not disclosed.</w:t>
      </w:r>
      <w:r>
        <w:br/>
      </w:r>
      <w:r>
        <w:br/>
      </w:r>
      <w:r>
        <w:t>Lilly will create the three preclinical anti-PD-1 based bispecific antibodies using an antibody sequence contributed by Innovent.</w:t>
      </w:r>
      <w:r>
        <w:br/>
      </w:r>
      <w:r>
        <w:br/>
      </w:r>
      <w:r>
        <w:t>"We believe that combination therapy in immuno-oncology has the potential to transform the way cancer is treated," said Greg Plowman, M.D., Ph.D., vice president of oncology research at Lilly. "We are pleased to be expanding our collaboration with Innovent to further the development of potential therapies for those fighting cancer in China and around the world."</w:t>
      </w:r>
      <w:r>
        <w:br/>
      </w:r>
      <w:r>
        <w:br/>
      </w:r>
      <w:r>
        <w:t>Michael Yu, Ph.D., co-founder, president and CEO of Innovent, stated, "We are honored that Lilly is so quickly expanding our relationship and that Lilly is trusting Innovent to develop and manufacture their newly created bispecific antibodies for China. We are excited to be at the forefront of immuno-oncology drug development and to benefit from Lilly's deep experience in bispecific antibodies."</w:t>
      </w:r>
      <w:r>
        <w:br/>
      </w:r>
      <w:r>
        <w:br/>
      </w:r>
      <w:r>
        <w:t>About Eli Lilly and Company</w:t>
      </w:r>
      <w:r>
        <w:br/>
      </w:r>
      <w:r>
        <w:br/>
      </w:r>
      <w:r>
        <w:t>Lilly is a global healthcare leader that unites caring with discovery to make life better for people around the world. We were founded more than a century ago by a man committed to creating high-quality medicines that meet real needs, and today we remain true to that mission in all our work. Across the globe, Lilly employees work to discover and bring life-changing medicines to those who need them, improve the understanding and management of disease, and give back to communities through philanthropy and volunteerism. To learn more about Lilly, please visit us at www.lilly.com and http://newsroom.lilly.com/social-channels.</w:t>
      </w:r>
      <w:r>
        <w:br/>
      </w:r>
      <w:r>
        <w:br/>
      </w:r>
      <w:r>
        <w:t>About Innovent Biologics, Inc.</w:t>
      </w:r>
      <w:r>
        <w:br/>
      </w:r>
      <w:r>
        <w:br/>
      </w:r>
      <w:r>
        <w:t>Innovent Biologics, Inc. is a leading biopharmaceutical company in China focused on the discovery, development and manufacturing of complex, high-end biologics for both the Asian and global markets that meet EMA and FDA/cGMP standards. Innovent has an expanding biologics pipeline focused on oncology, inflammatory diseases and ophthalmology. Innovent's strategy is to advance its internal pipeline of proprietary biologic drugs and establish in/out-licensing agreements with global pharmaceutical/biotech companies. Because of its location and emphasis on quality, Innovent is able to leverage China's cost-efficient environment without compromising its world-class quality standards. To learn more about Innovent, please visit www.innoventbio.com.</w:t>
      </w:r>
      <w:r>
        <w:br/>
      </w:r>
      <w:r>
        <w:br/>
      </w:r>
      <w:r>
        <w:t>This press release contains forward-looking statements about the development and commercialization collaboration between Innovent Biologics and Lilly and reflects Lilly's current beliefs. However, there are substantial risks and uncertainties in the process of drug research, development and commercialization. There is no guarantee that the collaboration will yield successful results or that either company will achieve the anticipated benefits. For further discussion of these and other risks and uncertainties, see Lilly's most recent 10-K and 10-Q filings with the United States Securities and Exchange Commission. Lilly undertakes no duty to update forward-looking statements.</w:t>
      </w:r>
      <w:r>
        <w:br/>
      </w:r>
      <w:r>
        <w:br/>
      </w:r>
      <w:r>
        <w:t>C-LLY</w:t>
      </w:r>
      <w:r>
        <w:br/>
      </w:r>
      <w:r>
        <w:br/>
      </w:r>
      <w:r>
        <w:t>Refer to:</w:t>
      </w:r>
      <w:r>
        <w:br/>
      </w:r>
      <w:r>
        <w:br/>
      </w:r>
      <w:r>
        <w:t>+1-317-277-6524; lauren_zierke@lilly.com; Lauren Zierke (Lilly U.S.)</w:t>
      </w:r>
      <w:r>
        <w:br/>
      </w:r>
      <w:r>
        <w:br/>
      </w:r>
      <w:r>
        <w:t>+1-212-375-2694; amielach@tiberend.com; Andrew Mielach (Tiberend Strategic Advisors, Inc./Innovent U.S)</w:t>
      </w:r>
      <w:r>
        <w:br/>
      </w:r>
      <w:r>
        <w:br/>
      </w:r>
      <w:r>
        <w:t>Logo- http://photos.prnewswire.com/prnh/20031219/LLYLOGO</w:t>
      </w:r>
      <w:r>
        <w:br/>
      </w:r>
      <w:r>
        <w:br/>
      </w:r>
      <w:r>
        <w:t>Logo- http://photos.prnewswire.com/prnh/20150319/183207LOGO</w:t>
      </w:r>
      <w:r>
        <w:br/>
      </w:r>
      <w:r>
        <w:br/>
      </w:r>
      <w:r>
        <w:t>To view the original version on PR Newswire, visit:http://www.prnewswire.com/news-releases/lilly-and-innovent-biologics-expand-their-strategic-alliance-to-include-immuno-oncology-bispecific-antibodies-in-china-and-globally-300157687.html</w:t>
      </w:r>
      <w:r>
        <w:br/>
      </w:r>
      <w:r>
        <w:br/>
      </w:r>
      <w:r>
        <w:t>SOURCE Eli Lilly and Company</w:t>
      </w:r>
      <w:r>
        <w:br/>
      </w:r>
      <w:r>
        <w:br/>
      </w:r>
      <w:r>
        <w:t>/Web site: http://www.lilly.com</w:t>
      </w:r>
      <w:r>
        <w:br/>
      </w:r>
      <w:r>
        <w:br/>
      </w:r>
      <w:r>
        <w:t>(END) Dow Jones Newswires</w:t>
      </w:r>
      <w:r>
        <w:br/>
      </w:r>
      <w:r>
        <w:br/>
      </w:r>
      <w:r>
        <w:t>October 11, 2015 22:00 ET (02:00 GMT)</w:t>
      </w:r>
    </w:p>
    <w:p xmlns:wp14="http://schemas.microsoft.com/office/word/2010/wordml" w14:paraId="0093D89C" wp14:textId="77777777">
      <w:pPr>
        <w:pStyle w:val="Heading1"/>
      </w:pPr>
      <w:r>
        <w:t>End of Article 24</w:t>
      </w:r>
    </w:p>
    <w:p xmlns:wp14="http://schemas.microsoft.com/office/word/2010/wordml" w14:paraId="3461D779" wp14:textId="77777777">
      <w:r>
        <w:br w:type="page"/>
      </w:r>
    </w:p>
    <w:p xmlns:wp14="http://schemas.microsoft.com/office/word/2010/wordml" w14:paraId="63A52234" wp14:textId="77777777">
      <w:pPr>
        <w:pStyle w:val="Heading1"/>
      </w:pPr>
      <w:r>
        <w:t>Start of Article 25</w:t>
      </w:r>
    </w:p>
    <w:p xmlns:wp14="http://schemas.microsoft.com/office/word/2010/wordml" w14:paraId="6ED55DE8" wp14:textId="77777777">
      <w:pPr>
        <w:pStyle w:val="Heading1"/>
      </w:pPr>
      <w:r>
        <w:t>Document ID MDST000020150213eb2m000us</w:t>
      </w:r>
    </w:p>
    <w:p xmlns:wp14="http://schemas.microsoft.com/office/word/2010/wordml" w14:paraId="137C5EBC" wp14:textId="77777777">
      <w:r>
        <w:t>The international trademark goods and services class codes for this trademark application are 009 and 010.</w:t>
      </w:r>
      <w:r>
        <w:br/>
      </w:r>
      <w:r>
        <w:br/>
      </w:r>
      <w:r>
        <w:t>As submitted by the applicant, this trademark application relates to the following goods and services:</w:t>
      </w:r>
      <w:r>
        <w:br/>
      </w:r>
      <w:r>
        <w:br/>
      </w:r>
      <w:r>
        <w:t>• Electric cables; clinician computer programs used in programming, monitoring, and controlling an implantable pulse generator; handheld remote control units for controlling the implantable pulse generator; programming software for the clinician programmers and handheld remote control units, namely, for programming the stimulation parameters used by the implantable pulse generator;</w:t>
      </w:r>
      <w:r>
        <w:br/>
      </w:r>
      <w:r>
        <w:br/>
      </w:r>
      <w:r>
        <w:t>• Implantable neurostimulation systems, namely, an implantable pulse generator for providing controlled electrical stimulation pulses, leads and electrode arrays used with the implantable pulse generator, and accessories used therewith, namely, an external trial stimulator, a handheld programmer for use with the implantable pulse generator, a clinician programmer for use with the handheld programmer, the implantable pulse generator and trial stimulator.</w:t>
      </w:r>
      <w:r>
        <w:br/>
      </w:r>
      <w:r>
        <w:br/>
      </w:r>
      <w:r>
        <w:t>The owner/registrar information for this application is: Luke Dohmen, Boston Scientific, One Scimed Place, Maple Grove MN 55311.</w:t>
      </w:r>
      <w:r>
        <w:br/>
      </w:r>
      <w:r>
        <w:br/>
      </w:r>
      <w:r>
        <w:t>Keywords for this news article include: Trademarks, Boston Scientific, Biotechnology Companies.</w:t>
      </w:r>
      <w:r>
        <w:br/>
      </w:r>
      <w:r>
        <w:br/>
      </w:r>
      <w:r>
        <w:t>Our reports deliver fact-based news of research and discoveries from around the world. Copyright 2015, NewsRx LLC</w:t>
      </w:r>
    </w:p>
    <w:p xmlns:wp14="http://schemas.microsoft.com/office/word/2010/wordml" w14:paraId="72E99226" wp14:textId="77777777">
      <w:pPr>
        <w:pStyle w:val="Heading1"/>
      </w:pPr>
      <w:r>
        <w:t>End of Article 25</w:t>
      </w:r>
    </w:p>
    <w:p xmlns:wp14="http://schemas.microsoft.com/office/word/2010/wordml" w14:paraId="3CF2D8B6" wp14:textId="77777777">
      <w:r>
        <w:br w:type="page"/>
      </w: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7738FE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d021af2b-2614-4658-9d5b-4cca6ff121d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05B44046-7012-47D3-9319-0056DF9B49C6}"/>
</file>

<file path=customXml/itemProps3.xml><?xml version="1.0" encoding="utf-8"?>
<ds:datastoreItem xmlns:ds="http://schemas.openxmlformats.org/officeDocument/2006/customXml" ds:itemID="{8C328401-1A47-443C-831E-645CA019AA5B}"/>
</file>

<file path=customXml/itemProps4.xml><?xml version="1.0" encoding="utf-8"?>
<ds:datastoreItem xmlns:ds="http://schemas.openxmlformats.org/officeDocument/2006/customXml" ds:itemID="{13D16A82-A3A0-44D1-BC83-60651C323B5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Office Word</ap:Application>
  <ap:DocSecurity>0</ap:DocSecurity>
  <ap:ScaleCrop>false</ap:ScaleCrop>
  <ap:Manager/>
  <ap:Company/>
  <ap:SharedDoc>false</ap:SharedDoc>
  <ap:HyperlinkBase/>
  <ap:HyperlinksChanged>false</ap:HyperlinksChanged>
  <ap:AppVersion>00.0001</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Halewicz, Victoria (vh5dg)</cp:lastModifiedBy>
  <cp:revision>2</cp:revision>
  <dcterms:created xsi:type="dcterms:W3CDTF">2013-12-23T23:15:00Z</dcterms:created>
  <dcterms:modified xsi:type="dcterms:W3CDTF">2019-07-24T15:35:27Z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ies>
</file>