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FLYWAL0020150623eb6n0019g</w:t>
      </w:r>
    </w:p>
    <w:p>
      <w:r>
        <w:t xml:space="preserve"> Additional data showed that AZD2811 delivers prolonged exposure to active drug while having the potential to adapt the dosing regimen, potentially achieving an improved therapeutic index. In addition, using mass spectrometric imaging, AZD2811 was shown to accumulate in tumors and achieve prolonged tumor drug exposure. This represents the first time distribution of nanoparticles in tumors has been demonstrated. Previously, preclinical tumor model data were presented showing that AZD2811 minimizes the bone marrow toxicity seen with the parent compound, which has limited the clinical utility of Aurora B kinase inhibitors as a class. BIND and AstraZeneca expect to enroll the first patient in a phase 1 clinical trial with AZD2811 in the fourth quarter of 2015. Under terms of the collaboration, AstraZeneca is responsible for clinical development and commercialization and BIND is responsible for conducting clinical manufacturing through at least the end of phase 2 clinical trials. </w:t>
      </w:r>
    </w:p>
    <w:p>
      <w:pPr>
        <w:pStyle w:val="Heading1"/>
      </w:pPr>
      <w:r>
        <w:t>End of Article 1</w:t>
      </w:r>
    </w:p>
    <w:p>
      <w:r>
        <w:br w:type="page"/>
      </w:r>
    </w:p>
    <w:p>
      <w:pPr>
        <w:pStyle w:val="Heading1"/>
      </w:pPr>
      <w:r>
        <w:t>Start of Article 2</w:t>
      </w:r>
    </w:p>
    <w:p>
      <w:pPr>
        <w:pStyle w:val="Heading1"/>
      </w:pPr>
      <w:r>
        <w:t>Document ID CNEWAS0020151020ebak001s0</w:t>
      </w:r>
    </w:p>
    <w:p>
      <w:r>
        <w:t>Subway said customers would be able to start buying chicken raised without antibiotics at its more than 27,000 fast-food restaurants starting in March. The company did not state when antibiotic-free turkey would become available.</w:t>
        <w:br/>
        <w:br/>
        <w:t>By 2018 it expects to shift all chicken and turkey supplies to antibiotic-free meats. The company said that within six years after that, it would begin serving pork and beef only from animals raised without antibiotics.</w:t>
        <w:br/>
        <w:br/>
        <w:t>"A change like this will take some time, particularly since the supply of beef raised without antibiotics in the U.S. is extremely limited and cattle take significantly longer to raise," said Dennis Clabby, executive vice president of Subway's independent purchasing cooperative. "But, we are working diligently with our suppliers to make it happen."</w:t>
        <w:br/>
        <w:br/>
        <w:t>Subway's plan is one of the most aggressive by the food sector to reduce use of antibiotics in meat production. The Natural Resources Defense Council and U.S. Public Interest Research Group said they and other groups were about to deliver a petition with nearly 300,000 signatures calling for a concrete timeline for such action.</w:t>
        <w:br/>
        <w:br/>
        <w:t>Subway said in an emailed response for comment that Tuesday's announcement was "the culmination of several months of intensive work with our suppliers."</w:t>
        <w:br/>
        <w:br/>
        <w:t>Public health experts and federal regulators have long been concerned that routine feeding of antibiotics to animals could lead to antibiotic-resistant superbugs, a health hazard for humans. Finding enough protein raised in the United States without such drugs has been a challenge for food companies.</w:t>
        <w:br/>
        <w:br/>
        <w:t>McDonald's Corp has said it plans to buy only chicken raised without antibiotics important to human medicine by 2017 for its U.S. restaurants. Dunkin' Donuts will prohibit suppliers from using medically important antibiotics or antimicrobials in healthy animals, but has given no timeline.</w:t>
        <w:br/>
        <w:br/>
        <w:t>(Reporting by P.J. Huffstutter; editing by David Gregorio) - Reuters</w:t>
      </w:r>
    </w:p>
    <w:p>
      <w:pPr>
        <w:pStyle w:val="Heading1"/>
      </w:pPr>
      <w:r>
        <w:t>End of Article 2</w:t>
      </w:r>
    </w:p>
    <w:p>
      <w:r>
        <w:br w:type="page"/>
      </w:r>
    </w:p>
    <w:p>
      <w:pPr>
        <w:pStyle w:val="Heading1"/>
      </w:pPr>
      <w:r>
        <w:t>Start of Article 3</w:t>
      </w:r>
    </w:p>
    <w:p>
      <w:pPr>
        <w:pStyle w:val="Heading1"/>
      </w:pPr>
      <w:r>
        <w:t>Document ID OKLD000020151215ebc9000b6</w:t>
      </w:r>
    </w:p>
    <w:p>
      <w:r>
        <w:t>Once or twice a week, she goes to the Peninsula Wellness Centre in Mountain View to stand neck-high in a closetlike tank while a fog of liquid nitrogen gas billows around her underwear-clad body. The fog takes the temperature in the tank down to 230 to 250 degrees below zero Fahrenheit -- colder than any natural place on Earth.</w:t>
        <w:br/>
        <w:br/>
        <w:t>The technique is called whole-body cryotherapy, and yes, it may be coming to a spa, sports medicine clinic or wellness center near you.</w:t>
        <w:br/>
        <w:br/>
        <w:t>Depending on whom you talk to, cryotherapy is either the latest fad, boasting a range of yet-to-be proven benefits -- while boosting the interests of a largely unregulated industry -- or, it's a cutting-edge therapy that can genuinely help people such as Toy resume active, normal lives. It has also become de rigueur for a growing number of elite athletes -- LeBron James, Kobe Bryant and, most recently, members of the Green Bay Packers. These pros, as well as celebrities such as Daniel Craig prepping for his latest James Bond outing, use it to reduce the aches and inflammation caused by tough workouts so they can recover quickly, exercise harder and boost performance.</w:t>
        <w:br/>
        <w:br/>
        <w:t>"This is a supercharged ice bath," says Landan Laurusaitis, a personal trainer, former college football lineman, and co-founder of the recently opened Performist cryotherapy studio in Palo Alto. "I've done a lot of ice baths, and they work wonders on your recovery, but it's not pleasant. This only takes three minutes. It basically gives you all the impact of an ice bath in a fraction of the time."</w:t>
        <w:br/>
        <w:br/>
        <w:t>Laurusaitis adds that hard-driving tech workers have begun to drop in at The Performist, looking for an endorphin rush from a quick chill in the studio's $75,000 tank. That boost, they say, allows them to keep working late into the evening.</w:t>
        <w:br/>
        <w:br/>
        <w:t>Toy was skeptical of the treatment's purported benefits and worried that getting into the tank would be as much of a shock to her system as jumping into the Arctic Ocean.</w:t>
        <w:br/>
        <w:br/>
        <w:t>But, she says, "I would walk through fire if it would take away the pain."</w:t>
        <w:br/>
        <w:br/>
        <w:t>As it turned out, her treatment left her feeling briefly chilled, but it was tolerable, as if she stepped outside on a cold winter morning. She also noticed tingling in the areas of her body affected by pain, but the tingling quickly went away -- as did the pain.</w:t>
        <w:br/>
        <w:br/>
        <w:t>"It was amazing," she says. "I felt immediately better."</w:t>
        <w:br/>
        <w:br/>
        <w:t>She has since returned for about 40 treatments. The downside is that the treatments, ranging from $40 to $65, depending on the package, aren't covered by insurance. While she wishes the therapy were not so expensive, she thinks it's worth it.</w:t>
        <w:br/>
        <w:br/>
        <w:t>The concept of cryotherapy is nothing new. Applying cold packs to injured joints or muscles to reduce blood flow, swelling and inflammation has long been standard practice among medical practitioners. And, as Laurusaitis said, soaking in ice baths after intense exercise is routine among professional and college athletes.</w:t>
        <w:br/>
        <w:br/>
        <w:t>One of Laurusaitis' personal training clients, Mountain View-reared professional volleyball player Diane Copenhagen, 29, recently tried the cryotherapy tank for the first time and liked it much better than a 20- to 30-minute soak in an ice bath. "This is an easy and fast way to help your body recover and recuperate," Copenhagen says.</w:t>
        <w:br/>
        <w:br/>
        <w:t>The first cryotherapy tank was built in Japan for patients with rheumatoid arthritis. The treatment spread to Europe in the 1980s and the United States in the past decade. While most users these days are professional and recreational athletes, the treatment also is used to treat symptoms of arthritis, autoimmune diseases, multiple sclerosis and other neurological disorders and depression.</w:t>
        <w:br/>
        <w:br/>
        <w:t>Chiropractor Chris Watson, owner of the Peninsula Wellness Centre, also touts cryotherapy's potential for improving skin tone and helping weight loss; a single session reportedly burns anywhere from 500 to 800 calories.</w:t>
        <w:br/>
        <w:br/>
        <w:t>The medical and scientific communities are far more reserved in their assessments, saying liquid nitrogen has been used medically for procedures such as wart removal. But so far, there is little research to show that cryotherapy offers physiological benefits, either for weight loss or for reducing muscle soreness and recovery time for athletic training.</w:t>
        <w:br/>
        <w:br/>
        <w:t>"I remember how oxygen rooms were popping up a few years ago and a lot of athletes were using them, but the studies never really panned out," says Michael Fredericson, a professor of orthopedic surgery and expert in sports medicine at Stanford University Medical Center. "I don't know if cryotherapy will end up the same way, with the therapy getting going commercially before there is really any science behind it. I'm not saying it's bad, but we don't really know."</w:t>
        <w:br/>
        <w:br/>
        <w:t>Joseph Costello, senior research associate in the department of sport and exercise science at the University of Portsmouth in England and one of the world's leading researchers on cryotherapy, suggests a placebo effect might be in play for some people. If anything, he says, cryotherapy offers benefits similar to cooling off skin and muscle with ice packs or ice baths, which don't cost as much.</w:t>
        <w:br/>
        <w:br/>
        <w:t>And given that cryotherapy exposes people to extreme temperatures, he said it's imperative for more research to be done on its long-term safety.</w:t>
        <w:br/>
        <w:br/>
        <w:t>Indeed, safety concerns arose after a 24-year-old Las Vegas spa employee was found dead in a cryotherapy chamber in October. Reports say she was using the nitrogen-filling machine alone after the center closed and died of asphyxia due to a lack of oxygen.</w:t>
        <w:br/>
        <w:br/>
        <w:t>Cryotherapy is not regulated by the FDA or by most states, including California. The woman's death prompted Nevada health authorities to issue safety guidelines, which recommend that pregnant women or people with certain health conditions -- including high blood pressure or a history of strokes and seizures -- avoid it and that centers make sure employees are properly trained in using the machines.</w:t>
        <w:br/>
        <w:br/>
        <w:t>Watson, of the Wellness Centre, and Stephen Evans, another co-founder of The Performist, say client safety is their No. 1 concern. New clients fill out health questionnaires and have their blood pressure checked, they say. And in contrast to the apparent practices in the Las Vegas case, an employee is always present when someone uses their chambers, they say. Of the about 1,000 people who have visited the Wellness Centre over the past year, Watson says, "We haven't had one incident."</w:t>
        <w:br/>
        <w:br/>
        <w:t>To prevent potential frostbite, both centers require people to don thermal socks and gloves to protect feet and hands. They also make sure people don't go in with moist skin. Back in 2011, American sprinter Justin Gatlin said he suffered frostbite while entering a chamber wearing socks sweaty from a previous workout, according to the New York Times.</w:t>
        <w:br/>
        <w:br/>
        <w:t>Concerns about frostbite and inconclusive information on the treatment's athletic benefits made Michael Mendenhall, 53, of Palo Alto, wary at first. But he gave it a try because he wants to compete as a master swimmer and needs to keep up a rigorous training schedule. After a week of daily sessions, he has yet to experience frostbite. Moreover, he's noticed a marked decrease in recovery time from the workouts, from one or two days to several hours. "I just feel really good, more alert," he says.</w:t>
        <w:br/>
        <w:br/>
        <w:t>While Evans agrees that more research needs to be done, he says there's enough evidence to show "this isn't a quack thing."</w:t>
        <w:br/>
        <w:br/>
        <w:t>He himself hits the chamber daily to improve his training for marathons and CrossFit competitions.</w:t>
        <w:br/>
        <w:br/>
        <w:t>"We have people in here every day," he says, "and we have yet to find anyone who doesn't get anything out of it."</w:t>
      </w:r>
    </w:p>
    <w:p>
      <w:pPr>
        <w:pStyle w:val="Heading1"/>
      </w:pPr>
      <w:r>
        <w:t>End of Article 3</w:t>
      </w:r>
    </w:p>
    <w:p>
      <w:r>
        <w:br w:type="page"/>
      </w:r>
    </w:p>
    <w:p>
      <w:pPr>
        <w:pStyle w:val="Heading1"/>
      </w:pPr>
      <w:r>
        <w:t>Start of Article 4</w:t>
      </w:r>
    </w:p>
    <w:p>
      <w:pPr>
        <w:pStyle w:val="Heading1"/>
      </w:pPr>
      <w:r>
        <w:t>Document ID DATMON0020150114eb1c003gl</w:t>
      </w:r>
    </w:p>
    <w:p>
      <w:r>
        <w:t>Merit purchased the operating assets and product lines of Universal Medical Instruments Corporation in 1997. In the same year, it purchased the operating assets and product lines of the Angleton, Texas division of Mallinckrodt. Also in the same year, the company's Merit Medical OEM division was launched.</w:t>
        <w:br/>
        <w:br/>
        <w:t>In 1998, the company purchased the entire stake in Merit Sensor Systems (formerly known as Sentir), a California-based manufacturer of silicon sensors.</w:t>
        <w:br/>
        <w:br/>
        <w:t>In 1999, the company purchased the assets of Electo Catheter Corp., also known as Elecath.</w:t>
        <w:br/>
        <w:br/>
        <w:t>The company signed two agreements for the provision of inflation devices and fluid management products to Broadline, in 2002. In the same year, Merit marketed two new products, the One Step centesis catheter and the Inject8 Palm Pad syringe.</w:t>
        <w:br/>
        <w:br/>
        <w:t>In 2003, Merit introduced a new safety procedural kit for vascular access.</w:t>
        <w:br/>
        <w:br/>
        <w:t>The company signed a supplier agreement with Novation, the supply company of VHA, and the University HealthSystem Consortium, in 2004. In the same year, it acquired MedSource Packaging Concepts (Medsource), a Virginia-based manufacturer and marketer of disposable products used primarily in cardiology and radiology procedures.</w:t>
        <w:br/>
        <w:br/>
        <w:t>In 2005, Merit acquired all of the assets of Sub-Q, a manufacturer of vascular and biopsy closure devices.</w:t>
        <w:br/>
        <w:br/>
        <w:t>The company acquired the capital stock of MCTec Holding, a Dutch corporation engaged in the business of coating wires and tubings for medical devices, from British Columbia-based Angiotech Pharmaceuticals, in 2006. In the same year, Merit introduced a safety product called the TriplePlay and the Resolve drainage catheter. Later in the same year, Merit purchased a hemostasis valve product line from Millimed A/S and Millimed Holdings, Inc. and a safety scalpel product line from Hypoguard USA, Inc. and Medisys PLC.</w:t>
        <w:br/>
        <w:br/>
        <w:t>In 2007, Merit introduced a safety product called the ShortStop Advantage. In the same year, the company acquired the ProGuide chronic dialysis catheter product line from Datascope Corp. Further, it entered into an exclusive distribution agreement with Milamy Partners for the KanguruWeb Abdominal Retraction System in the same year. Further in 2007, the company acquired technology from Lightek Corporation for flexible radiopaque plastic laminate composition and acquired the exclusive distribution rights for an offering of micro catheters from GMA Co., located in Shizuoka Prefecture, Japan. In the same year, Merit entered into a non-binding term sheet with Micrus Endovascular Corporation (Micrus) to purchase certain cardiac and peripheral catheter platform assets and technology from Micrus.</w:t>
        <w:br/>
        <w:br/>
        <w:t>In 2008, Merit introduced the Slip-Not, a suture retention device, Prelude Short Sheath, The M.A.K.-NV, an introducer set used primarily in drainage procedures, the GrandStand, a safety product and the Merit HD8 hemostasis valve, designed for use during interventional procedures.</w:t>
        <w:br/>
        <w:br/>
        <w:t>Merit signed a definitive agreement in 2009 to acquire the assets of Alveolus, a producer of non-vascular interventional stents used for esophageal, tracheobronchial and biliary stenting procedures. Also in 2009, Merit completed a three-part deal with Vysera Biomedical Limited (Vysera) located in Galway, Ireland, which gave Merit access to certain intellectual property and know-how for valve technology, opportunities to commercialize certain biomaterial technology and equity ownership in Vysera.</w:t>
        <w:br/>
        <w:br/>
        <w:t>The company acquired BioSphere Medical, a developer and marketer of embolotherapeutic products for the treatment of uterine fibroids, hypervascularized tumors, and arteriovenous malformations, in 2010.</w:t>
        <w:br/>
        <w:br/>
        <w:t>The company acquired Medigroup, Inc., a manufacturer of peritoneal dialysis catheters, in 2012. In the same year, Merit acquired Thomas Medical Products, a unit of GE Healthcare, for approximately $167 million.</w:t>
        <w:br/>
        <w:br/>
        <w:t>In 2013, Merit received CE Marking (Conformite Europeenne) in the European Union to market its line of Embosphere Microspheres for embolization of the prostate gland for relief of symptoms related to Benign Prostatic Hyperplasia (BPH). Merit started a hypotube manufacturing Center of Excellence in Galway, Ireland in 2013. Also in the same year, the company acquired SAFEGUARD Pressure Assisted Device and AIR-BAND Radial Compression Device from Datascope Corp. Also in 2013, Merit acquired the assets of Radial Assist including the RAD BOARD, RAD BOARDXTRA, RAD TRAC, and RAD REST devices. Merit acquired a license agreement to sell Hepasphere products, used in treatment of primary and metastatic liver cancer, in China in 2013.</w:t>
        <w:br/>
        <w:br/>
        <w:t>In January 2014, Ronald A Frost was appointed as the Chief Operating Officer at the company.</w:t>
        <w:br/>
        <w:br/>
        <w:t>In October 2014, the company announced the unveiling of its new ThinkRadial website and educational initiative at thinkradial.com website, a global platform to educate and share information about radial access among healthcare professionals.</w:t>
      </w:r>
    </w:p>
    <w:p>
      <w:pPr>
        <w:pStyle w:val="Heading1"/>
      </w:pPr>
      <w:r>
        <w:t>End of Article 4</w:t>
      </w:r>
    </w:p>
    <w:p>
      <w:r>
        <w:br w:type="page"/>
      </w:r>
    </w:p>
    <w:p>
      <w:pPr>
        <w:pStyle w:val="Heading1"/>
      </w:pPr>
      <w:r>
        <w:t>Start of Article 5</w:t>
      </w:r>
    </w:p>
    <w:p>
      <w:pPr>
        <w:pStyle w:val="Heading1"/>
      </w:pPr>
      <w:r>
        <w:t>Document ID HAMW000020150820eb8k000bg</w:t>
      </w:r>
    </w:p>
    <w:p>
      <w:r>
        <w:t>"Hollister Incorporated is honored to be the only awarded Signature Supplier of neonatal and pediatric ostomy products for NOVAKIDS," explained Chad Ruston, General Manager, Ostomy Sales. "Our company is proud to provide quality pediatric ostomy products that deliver clinical value and educational support to young patients."</w:t>
        <w:br/>
        <w:br/>
        <w:t>Diverse portfolio of pediatric products</w:t>
        <w:br/>
        <w:br/>
        <w:t>The Hollister Incorporated portfolio of one- and two-piece products, along with a range of educational materials and patient services, are designed to help promote positive outcomes for preemies, infants, toddlers and adolescents. The Hollister Pouchkins pediatric pouching system, for example, is designed to provide small children and their caregivers with a sense of security during what can be a stressful time.</w:t>
        <w:br/>
        <w:br/>
        <w:t>Education and support services for as long as needed Additionally, Hollister Incorporated offers a variety of education options, like Shadow Buddies. These instructional dolls are specially made for children who have had or will have ostomy surgery. They are a great teaching tool to help with education and care giving.</w:t>
        <w:br/>
        <w:br/>
        <w:t>Keywords for this news article include: Pediatrics, Hollister Incorporated.</w:t>
        <w:br/>
        <w:br/>
        <w:t>Our reports deliver fact-based news of research and discoveries from around the world. Copyright 2015, NewsRx LLC</w:t>
      </w:r>
    </w:p>
    <w:p>
      <w:pPr>
        <w:pStyle w:val="Heading1"/>
      </w:pPr>
      <w:r>
        <w:t>End of Article 5</w:t>
      </w:r>
    </w:p>
    <w:p>
      <w:r>
        <w:br w:type="page"/>
      </w:r>
    </w:p>
    <w:p>
      <w:pPr>
        <w:pStyle w:val="Heading1"/>
      </w:pPr>
      <w:r>
        <w:t>Start of Article 6</w:t>
      </w:r>
    </w:p>
    <w:p>
      <w:pPr>
        <w:pStyle w:val="Heading1"/>
      </w:pPr>
      <w:r>
        <w:t>Document ID PZON000020150803eb830005r</w:t>
      </w:r>
    </w:p>
    <w:p>
      <w:r>
        <w:t>In addition, management will host a conference call to discuss the quarterly results and provide an update on corporate activities.</w:t>
        <w:br/>
        <w:br/>
        <w:t>Conference call details are as follows:</w:t>
        <w:br/>
        <w:br/>
        <w:br/>
        <w:t xml:space="preserve"> </w:t>
        <w:br/>
        <w:t xml:space="preserve">Date:                August 10, 2015 </w:t>
        <w:br/>
        <w:t xml:space="preserve">Time:                4:45 pm US Eastern Time (ET) </w:t>
        <w:br/>
        <w:t xml:space="preserve">Dial-in number:      (877) 212-6076 (Domestic) or (707) 287--9331 </w:t>
        <w:br/>
        <w:t xml:space="preserve">                     (International) </w:t>
        <w:br/>
        <w:t xml:space="preserve">Via web:             www.novavax.com, "Investors"/ "Events" </w:t>
        <w:br/>
        <w:t xml:space="preserve"> </w:t>
        <w:br/>
        <w:br/>
        <w:t>Conference call replay:</w:t>
        <w:br/>
        <w:br/>
        <w:br/>
        <w:t xml:space="preserve"> </w:t>
        <w:br/>
        <w:t xml:space="preserve">                      Starting at 7:30 pm ET on August 10, 2015 until midnight </w:t>
        <w:br/>
        <w:t xml:space="preserve">Dates:                                     August 17, 2015 </w:t>
        <w:br/>
        <w:t xml:space="preserve">                            (855) 859-2056 (Domestic) or (404) 537-3406 </w:t>
        <w:br/>
        <w:t xml:space="preserve">Dial-in number:                           (International) </w:t>
        <w:br/>
        <w:t xml:space="preserve">Passcode:                                                             97557844 </w:t>
        <w:br/>
        <w:t xml:space="preserve">Via web:              www.novavax.com, "Investors"/ "Events" </w:t>
        <w:br/>
        <w:t xml:space="preserve"> </w:t>
        <w:br/>
        <w:br/>
        <w:t>About Novavax</w:t>
        <w:br/>
        <w:br/>
        <w:t>Novavax, Inc. (Nasdaq:NVAX) is a clinical-stage vaccine company committed to delivering novel products to prevent a broad range of infectious diseases. Its recombinant nanoparticles and Matrix-M(TM) adjuvant technology are the foundation for ground-breaking innovation that improves global health through safe and effective vaccines. Additional information about Novavax is available on the company's website, www.novavax.com.</w:t>
        <w:br/>
        <w:br/>
        <w:br/>
        <w:t xml:space="preserve">Contact: </w:t>
        <w:br/>
        <w:t xml:space="preserve"> </w:t>
        <w:br/>
        <w:t xml:space="preserve">Novavax, Inc. </w:t>
        <w:br/>
        <w:t xml:space="preserve"> </w:t>
        <w:br/>
        <w:t xml:space="preserve">Barclay A. Phillips </w:t>
        <w:br/>
        <w:t xml:space="preserve">SVP, Chief Financial Officer and Treasurer </w:t>
        <w:br/>
        <w:t xml:space="preserve"> </w:t>
        <w:br/>
        <w:t xml:space="preserve">Andrea N. Flynn, Ph.D. </w:t>
        <w:br/>
        <w:t xml:space="preserve">Senior Manager, Investor Relations </w:t>
        <w:br/>
        <w:t xml:space="preserve"> </w:t>
        <w:br/>
        <w:t xml:space="preserve">ir@novavax.com </w:t>
        <w:br/>
        <w:t xml:space="preserve">240-268-2000 </w:t>
        <w:br/>
        <w:t xml:space="preserve"> </w:t>
        <w:br/>
        <w:t xml:space="preserve">Russo Partners, LLC </w:t>
        <w:br/>
        <w:t xml:space="preserve"> </w:t>
        <w:br/>
        <w:t xml:space="preserve">David Schull </w:t>
        <w:br/>
        <w:t xml:space="preserve">Todd Davenport, Ph.D. </w:t>
        <w:br/>
        <w:t xml:space="preserve"> </w:t>
        <w:br/>
        <w:t xml:space="preserve">david.schull@russopartnersllc.com </w:t>
        <w:br/>
        <w:t xml:space="preserve">todd.davenport@russopartnersllc.com </w:t>
        <w:br/>
        <w:t xml:space="preserve">212-845-4271 </w:t>
      </w:r>
    </w:p>
    <w:p>
      <w:pPr>
        <w:pStyle w:val="Heading1"/>
      </w:pPr>
      <w:r>
        <w:t>End of Article 6</w:t>
      </w:r>
    </w:p>
    <w:p>
      <w:r>
        <w:br w:type="page"/>
      </w:r>
    </w:p>
    <w:p>
      <w:pPr>
        <w:pStyle w:val="Heading1"/>
      </w:pPr>
      <w:r>
        <w:t>Start of Article 7</w:t>
      </w:r>
    </w:p>
    <w:p>
      <w:pPr>
        <w:pStyle w:val="Heading1"/>
      </w:pPr>
      <w:r>
        <w:t>Document ID BOSBJO0020150508eb580002u</w:t>
      </w:r>
    </w:p>
    <w:p>
      <w:r>
        <w:t>Initial reaction, leading to articles posted by  the Associated Press and  Reuters this morning, was that the FDA was questioning whether lumacaftor actually provided any benefit to patients over the approved drug (also by Vertex) which will be used in conjunction with another drug, called Kalydeco. Indeed, the articled led to a pre-market drop of 3 percent in Vertex's stock price.</w:t>
        <w:br/>
        <w:br/>
        <w:t>However, the stock quickly regained the losses and by 10:30 a.m. was up 3 percent as analysts weighed in to say the documents actually appear to support approval of the drug. In particular, RBC Capital analyst Michael Yee  said in a research note this morning that "we believe the FDA is just trying to ask the panel 'if' the evidence is enough to show that combo (of lumacaftor and Kalydeco) benefit is significantly better or proven better than (Kalydeco) alone," but says studies show that the combination "definitely" is better than either drug alone.</w:t>
        <w:br/>
        <w:br/>
        <w:t>"Importantly, we think this is unlikely to block approval as Vertex has run major Phase 3 studies showing statistically significant, clinically meaningful differences...," he wrote. "It's possible that VRTX would have to do some "follow-up" studies to show it's "better" than mono but this is unlikely to block approval."</w:t>
        <w:br/>
        <w:br/>
        <w:t>If anything, the market's reaction this morning underscores the attention being paid to approval of the drug, which will play a critical role in the future of the state's second-largest biotech firm. If approved, the drug will expand the number of patients able to be treated by Vertex drugs from around 2,000 in the U.S. to more than 10,000, as lumacaftor works in a far more common gene mutation thjat Kalydeco is approved for.</w:t>
        <w:br/>
        <w:br/>
        <w:t>Did you find this article useful? Why not subscribe to Boston Business Journal for more articles and leads? Visit bizjournals.com/subscribe or call 1-866-853-3661.</w:t>
      </w:r>
    </w:p>
    <w:p>
      <w:pPr>
        <w:pStyle w:val="Heading1"/>
      </w:pPr>
      <w:r>
        <w:t>End of Article 7</w:t>
      </w:r>
    </w:p>
    <w:p>
      <w:r>
        <w:br w:type="page"/>
      </w:r>
    </w:p>
    <w:p>
      <w:pPr>
        <w:pStyle w:val="Heading1"/>
      </w:pPr>
      <w:r>
        <w:t>Start of Article 8</w:t>
      </w:r>
    </w:p>
    <w:p>
      <w:pPr>
        <w:pStyle w:val="Heading1"/>
      </w:pPr>
      <w:r>
        <w:t>Document ID LBA0000020151106ebb600nel</w:t>
      </w:r>
    </w:p>
    <w:p>
      <w:r>
        <w:t xml:space="preserve">Sugammadex is already approved in more than 75 countries and sold in more than 50 countries. (Reporting by Natalie Grover and Samantha Kareen Nair in Bengaluru; Editing by Kirti Pandey) </w:t>
      </w:r>
    </w:p>
    <w:p>
      <w:pPr>
        <w:pStyle w:val="Heading1"/>
      </w:pPr>
      <w:r>
        <w:t>End of Article 8</w:t>
      </w:r>
    </w:p>
    <w:p>
      <w:r>
        <w:br w:type="page"/>
      </w:r>
    </w:p>
    <w:p>
      <w:pPr>
        <w:pStyle w:val="Heading1"/>
      </w:pPr>
      <w:r>
        <w:t>Start of Article 9</w:t>
      </w:r>
    </w:p>
    <w:p>
      <w:pPr>
        <w:pStyle w:val="Heading1"/>
      </w:pPr>
      <w:r>
        <w:t>Document ID SFBJO00020150408eb4700001</w:t>
      </w:r>
    </w:p>
    <w:p>
      <w:r>
        <w:t>This latest new drug application, or NDA, filing seeks approval of two doses of F/TAF for adults and children age 12 and older in combination with other HIV antiretroviral drugs. The filing is backed by a late-stage trial that indicated that F/TAF could fight off the AIDS virus at a dose less than one-tenth that of Gilead's Viread, which features an earlier version of tenofovir at 300 milligrams.</w:t>
        <w:br/>
        <w:br/>
        <w:t>The study, with HIV patients who hadn't received antiretroviral drugs previously, pitted F/TAF against Stribild, which includes that earlier version of tenofovir, and found that F/TAF was at least equal in efficacy to Stribild and had fewer kidney and bone side effects than Stribild.</w:t>
        <w:br/>
        <w:br/>
        <w:t>Other trials tested F/TAF in adult HIV patients who switched drug regimens, treatment-naive adolescents and adults with mild-to-moderate kidney impairment.</w:t>
        <w:br/>
        <w:br/>
        <w:t>The earlier version of tenofovir also is used in Gilead's other HIV-fighting combination drugs — Truvada, Atripla, Complera and Stribild — so F/TAF could serve as the centerpiece for a whole new set of drug combos.</w:t>
        <w:br/>
        <w:br/>
        <w:t>"Gilead has a long history of innovating HIV treatments, and with F/TAF we have the potential to further optimize therapies for HIV patients who face a lifetime of antiretroviral treatment," Gilead Chief Scientific Officer Norbert Bischofberger said in a press release Tuesday. "With its high antiviral efficacy and favorable safety profile, F/TAF may offer an improved backbone for a new generation of HIV regimens."</w:t>
        <w:br/>
        <w:br/>
        <w:t>Gilead, led by CEO John Martin, and partner Janssen Sciences Ireland UC are working on two other experimental once-daily, single-tablet regimens containing F/TAF. One of those combines F/TAF with Janssen's rilpivirine; the other combines F/TAF, cobicistat and Janssen's darunavir.</w:t>
        <w:br/>
        <w:br/>
        <w:t>Did you find this article useful? Why not subscribe to San Francisco Business Times for more articles and leads? Visit bizjournals.com/subscribe or call 1-866-853-3661.</w:t>
      </w:r>
    </w:p>
    <w:p>
      <w:pPr>
        <w:pStyle w:val="Heading1"/>
      </w:pPr>
      <w:r>
        <w:t>End of Article 9</w:t>
      </w:r>
    </w:p>
    <w:p>
      <w:r>
        <w:br w:type="page"/>
      </w:r>
    </w:p>
    <w:p>
      <w:pPr>
        <w:pStyle w:val="Heading1"/>
      </w:pPr>
      <w:r>
        <w:t>Start of Article 10</w:t>
      </w:r>
    </w:p>
    <w:p>
      <w:pPr>
        <w:pStyle w:val="Heading1"/>
      </w:pPr>
      <w:r>
        <w:t>Document ID GLOMCP0020151103ebb30004l</w:t>
      </w:r>
    </w:p>
    <w:p>
      <w:r>
        <w:t>Alexza Pharmaceuticals, Inc. (Alexza), formerly Alexza Molecular Delivery Corp., is a specialty pharmaceutical company. The company carries out the research and development and commercializes novel proprietary products used for the acute treatment of central nervous system diseases. The company develops all its products based on its own proprietary technology, Staccato system. The company’s only lead product Adasuve (Staccato loxapine) is indicated for the treatment of agitation associated with schizophrenia or bipolar disorder. Its only product candidate AZ-002 (Staccato alprazolam) is being developed for the treatment of acute repetitive seizures, which are called as cluster seizures or ARS. Alexza is headquartered at Mountain View in California, the US.</w:t>
        <w:br/>
        <w:br/>
        <w:t>The company focus on developing and commercializing the innovative, cost- effective novel proprietary products based on its Staccato system, that address significant unmet medical needs in the treatment of acute and intermittent conditions. It also aims to maintain its existing partnerships and to enter new collaborative agreements to fuel its services. This is indicated by its partnership and collaboration agreements with Grupo Ferrer and Teva for specific expertise to maximize the value of its product candidate. The company also plans to enter into strategic alliances with other pharmaceutical companies, to combine its Staccato system with their proprietary compounds.</w:t>
        <w:br/>
        <w:br/>
        <w:t>The company reported revenues of (US Dollars) US$5.6 million for the fiscal year ended December 2014 (FY2014), a decrease of 88.4% over FY2013. The operating loss of the company was US$37.5 million in FY2014, compared to an operating profit of US$1.8 million in FY2013. The net loss of the company was US$36.7 million in FY2014, compared to a net loss of US$39.6 million in FY2013.</w:t>
        <w:br/>
        <w:br/>
        <w:t>The company reported revenues of US$1.9 million for the second quarter ended June 2015, compared to a revenue of US$0.7 million the previous quarter.</w:t>
        <w:br/>
        <w:br/>
        <w:t>Note</w:t>
        <w:br/>
        <w:br/>
        <w:t>Note : GlobalData uses a range of research techniques to gather and verify its information and analysis. These include primary research, in-house knowledge and expertise, proprietary databases, and secondary sources such as company websites, annual reports, SEC filings and press releases. Disclaimer: No part of this publication may be reproduced, stored in a retrieval system or transmitted in any form by any means, electronic, mechanical, photocopying, recording or otherwise, without the prior permission of the publisher, GlobalData. The facts of this report are believed to be correct at the time of publication but cannot be guaranteed. Please note that the findings, conclusions and recommendations that GlobalData delivers will be based on information gathered in good faith from both primary and secondary sources, whose accuracy we are not always in a position to guarantee. As such GlobalData can accept no liability whatever for actions taken based on any information that may subsequently prove to be incorrect.</w:t>
      </w:r>
    </w:p>
    <w:p>
      <w:pPr>
        <w:pStyle w:val="Heading1"/>
      </w:pPr>
      <w:r>
        <w:t>End of Article 10</w:t>
      </w:r>
    </w:p>
    <w:p>
      <w:r>
        <w:br w:type="page"/>
      </w:r>
    </w:p>
    <w:p>
      <w:pPr>
        <w:pStyle w:val="Heading1"/>
      </w:pPr>
      <w:r>
        <w:t>Start of Article 11</w:t>
      </w:r>
    </w:p>
    <w:p>
      <w:pPr>
        <w:pStyle w:val="Heading1"/>
      </w:pPr>
      <w:r>
        <w:t>Document ID APRS000020151119ebbj00acv</w:t>
      </w:r>
    </w:p>
    <w:p>
      <w:r>
        <w:t>The shares closed at $2.07 Wednesday and finished the trading day at $10.30, up about five-fold.</w:t>
        <w:br/>
        <w:br/>
        <w:t>In January KaloBios said a drug it was developing to treat lung infections in cystic fibrosis patients had failed in clinical testing. Its shares plunged 70 percent after that announcement and continued to decline after that. This month it said it would eliminate most of its jobs, leaving it with just 11 employees as it looked for strategic options. Last Friday, the company said it would wind down its operations.</w:t>
        <w:br/>
        <w:br/>
        <w:t>KaloBios said it is talking to Shkreli about ways to continue operating. The South San Francisco, California company owns several drug candidates, including potential treatments for leukemia and blood cancers.</w:t>
        <w:br/>
        <w:br/>
        <w:t>Shkreli is a former hedge fund manager and the head of privately-held Turing Pharmaceuticals. Turing was criticized in September for buying the rights to a parasitic infection treatment called Daraprim, then raising its price to $750 per pill from $13.50 a pill. Daraprim has been on the market for more than 60 years and it did not have any competition when Turing bought it. Turing has said it will lower the price, although that hasn't happened yet. The company said it capped copayments for patients at $10. In October a San Diego company later said it would make a version of Daraprim available for about $1 a pill.</w:t>
        <w:br/>
        <w:br/>
        <w:t>Shkreli and Turing Pharmaceuticals did not immediately respond to a request for comment.</w:t>
        <w:br/>
        <w:br/>
        <w:t>Turing was not the first company to buy an old, inexpensive medicine and hike the price. The uproar over its actions and similar moves by other companies helped start government investigations, proposals by politicians to fight "price gouging," heavy media scrutiny and a drop in stock prices for biotech companies.</w:t>
      </w:r>
    </w:p>
    <w:p>
      <w:pPr>
        <w:pStyle w:val="Heading1"/>
      </w:pPr>
      <w:r>
        <w:t>End of Article 11</w:t>
      </w:r>
    </w:p>
    <w:p>
      <w:r>
        <w:br w:type="page"/>
      </w:r>
    </w:p>
    <w:p>
      <w:pPr>
        <w:pStyle w:val="Heading1"/>
      </w:pPr>
      <w:r>
        <w:t>Start of Article 12</w:t>
      </w:r>
    </w:p>
    <w:p>
      <w:pPr>
        <w:pStyle w:val="Heading1"/>
      </w:pPr>
      <w:r>
        <w:t>Document ID HAMW000020150508eb5f0049t</w:t>
      </w:r>
    </w:p>
    <w:p>
      <w:r>
        <w:t>The serial number for this application is 71631618.</w:t>
        <w:br/>
        <w:br/>
        <w:t>As submitted by the applicant, this trademark application relates to the following goods and services: Pharmaceutical preparation consisting essentially of a mixed culture of lactobacillus acidophilus and lactobacillus bulgaricus for oral administration for the treatment of intestinal disorders.</w:t>
        <w:br/>
        <w:br/>
        <w:t>The owner/registrar information for this application is: James J. Murtha, Associate Chief Intelle, Becton Dickinson, 1 Becton Drive, MC 090, FRANKLIN LAKES NJ 07417-1880.</w:t>
        <w:br/>
        <w:br/>
        <w:t>Keywords for this news article include: Trademarks, Becton Dickinson.</w:t>
        <w:br/>
        <w:br/>
        <w:t>Our reports deliver fact-based news of research and discoveries from around the world. Copyright 2015, NewsRx LLC</w:t>
      </w:r>
    </w:p>
    <w:p>
      <w:pPr>
        <w:pStyle w:val="Heading1"/>
      </w:pPr>
      <w:r>
        <w:t>End of Article 12</w:t>
      </w:r>
    </w:p>
    <w:p>
      <w:r>
        <w:br w:type="page"/>
      </w:r>
    </w:p>
    <w:p>
      <w:pPr>
        <w:pStyle w:val="Heading1"/>
      </w:pPr>
      <w:r>
        <w:t>Start of Article 13</w:t>
      </w:r>
    </w:p>
    <w:p>
      <w:pPr>
        <w:pStyle w:val="Heading1"/>
      </w:pPr>
      <w:r>
        <w:t>Document ID CHPR000020150713eb770001c</w:t>
      </w:r>
    </w:p>
    <w:p>
      <w:r>
        <w:t xml:space="preserve"> Their flexible construction allows them to conform easily to complex shapes and irregular surfaces, making them easy to install. They also maintain their performance over multiple open and close cycles during production and maintenance. Original Source: WL Gore, 2015. Found on website: http://www.specialchem4adhesives.com.</w:t>
        <w:br/>
        <w:br/>
        <w:t>SpecialChem Adhesives and Sealants Formulation</w:t>
        <w:br/>
        <w:br/>
        <w:t>Website: http://www.specialchem4adhesives.com</w:t>
      </w:r>
    </w:p>
    <w:p>
      <w:pPr>
        <w:pStyle w:val="Heading1"/>
      </w:pPr>
      <w:r>
        <w:t>End of Article 13</w:t>
      </w:r>
    </w:p>
    <w:p>
      <w:r>
        <w:br w:type="page"/>
      </w:r>
    </w:p>
    <w:p>
      <w:pPr>
        <w:pStyle w:val="Heading1"/>
      </w:pPr>
      <w:r>
        <w:t>Start of Article 14</w:t>
      </w:r>
    </w:p>
    <w:p>
      <w:pPr>
        <w:pStyle w:val="Heading1"/>
      </w:pPr>
      <w:r>
        <w:t>Document ID ATPHAM0020150121eb1l000e1</w:t>
      </w:r>
    </w:p>
    <w:p>
      <w:r>
        <w:t>Dr. Linda Marban, Chief Executive Officer of Capricor Therapeutics, Eduardo Marban, M.D., Ph.D., Capricor's Scientific Advisory Board Chairman and the Director of the Cedars-Sinai Heart Institute, and Debra Miller, Co-Founder and Chief Executive Officer of CureDuchenne will discuss research to treat heart disease associated with Duchenne muscular dystrophy and their plans to advance clinical research for the treatment of Duchenne. Heart failure is the leading cause of death in patients with Duchenne. Positive pre-clinical data for cardiosphere-derived cells (CDCs) on Duchenne muscular dystrophy cardiomyopathy was recently presented at the Annual American Heart Association Scientific Sessions. CureDuchenne has invested in Capricor to support the development of its planned clinical program for Duchenne. The discussants will follow the presentation with a question and answer session.</w:t>
        <w:br/>
        <w:br/>
        <w:t>To join the webinar please call (844) 337-8088 and enter conference ID number 65477372. To view the presentation, you may register online at: (https://cc.readytalk.com/cc/s/registrations/new?cid=1s7482dtk3s).</w:t>
        <w:br/>
        <w:br/>
        <w:t>Source: Capricor Therapeutics</w:t>
      </w:r>
    </w:p>
    <w:p>
      <w:pPr>
        <w:pStyle w:val="Heading1"/>
      </w:pPr>
      <w:r>
        <w:t>End of Article 14</w:t>
      </w:r>
    </w:p>
    <w:p>
      <w:r>
        <w:br w:type="page"/>
      </w:r>
    </w:p>
    <w:p>
      <w:pPr>
        <w:pStyle w:val="Heading1"/>
      </w:pPr>
      <w:r>
        <w:t>Start of Article 15</w:t>
      </w:r>
    </w:p>
    <w:p>
      <w:pPr>
        <w:pStyle w:val="Heading1"/>
      </w:pPr>
      <w:r>
        <w:t>Document ID BWR0000020150609eb69000gh</w:t>
      </w:r>
    </w:p>
    <w:p>
      <w:r>
        <w:t>Intel Capital, Intel Corporation's global investment organization, today announced the Intel Capital Diversity Fund, which will invest in technology startups run by women and underrepresented minorities. Also unveiled were the fund's first investments in four companies led by inspiring trailblazers. The largest of its kind, the fund totals approximately $125 million, and investments will cover a broad spectrum of innovative industries.</w:t>
        <w:br/>
        <w:br/>
        <w:t>"We believe that a diverse and inclusive workplace is fundamental to delivering business results," said Intel CEO Brian Krzanich. "Our goal with this new fund is to meaningfully support a technology startup workforce more reflective of society, and ultimately to benefit Intel and the broader economy through its success."</w:t>
        <w:br/>
        <w:br/>
        <w:t>Today's news follows the January announcement of Intel's Diversity in Technology initiative, designed to encourage more diversity at Intel and within the technology industry at large. Intel has declared its intent to achieve full representation of women and underrepresented minorities in its U.S. workforce by 2020.</w:t>
        <w:br/>
        <w:br/>
        <w:t>"We are proud to take a leading role toward broader participation in technology entrepreneurship and employment," said Lisa M. Lambert, managing director and vice president of Intel Capital, who is leading the Intel Capital Diversity Fund. "With this new fund, Intel Capital is committed to investing in the best talent from a myriad of backgrounds to cultivate brilliant innovations that serve the needs of a diverse public."</w:t>
        <w:br/>
        <w:br/>
        <w:t>Only 15 percent of venture capital-funded companies in the United States have a woman on the executive team, according to a recent Babson College report, and companies with a woman CEO receive only 3 percent of total venture capital dollars.(1) Furthermore, less than 1 percent of the founders of Silicon Valley companies are African American or Latino; nearly 100 percent of funded founders are white or Asian, according to industry surveys.(2)</w:t>
        <w:br/>
        <w:br/>
        <w:t>The Intel Capital Diversity Fund launches with investments in four companies, which will gain access to Intel Capital's business development programs, global network, technology expertise and brand capital.</w:t>
        <w:br/>
        <w:br/>
        <w:br/>
        <w:t xml:space="preserve">   -- Brit + Co* (San Francisco) unlocks creativity by educating, inspiring and </w:t>
        <w:br/>
        <w:t xml:space="preserve">      supporting women and girls. A media and e-commerce platform, its online </w:t>
        <w:br/>
        <w:t xml:space="preserve">      classes and all-in-one kits let makers learn everything from calligraphy </w:t>
        <w:br/>
        <w:t xml:space="preserve">      to building gadgets with Intel Galileo boards. </w:t>
        <w:br/>
        <w:t xml:space="preserve"> </w:t>
        <w:br/>
        <w:t xml:space="preserve">   -- CareCloud* (Miami) is the leading provider of cloud-based practice </w:t>
        <w:br/>
        <w:t xml:space="preserve">      management, electronic health record (EHR), and medical billing software </w:t>
        <w:br/>
        <w:t xml:space="preserve">      and services for medical groups. Intel and CareCloud have jointly </w:t>
        <w:br/>
        <w:t xml:space="preserve">      authored a whitepaper on cloud computing in healthcare. </w:t>
        <w:br/>
        <w:t xml:space="preserve"> </w:t>
        <w:br/>
        <w:t xml:space="preserve">   -- Mark One* (San Francisco) uses the Intel(R) Curie(TM) hardware module to </w:t>
        <w:br/>
        <w:t xml:space="preserve">      create a smart cup that automatically recognizes any beverage its user </w:t>
        <w:br/>
        <w:t xml:space="preserve">      pours into it, displays its nutritional content, and syncs all drinking </w:t>
        <w:br/>
        <w:t xml:space="preserve">      habits to the user's smartphone. </w:t>
        <w:br/>
        <w:t xml:space="preserve"> </w:t>
        <w:br/>
        <w:t xml:space="preserve">   -- Venafi* (Salt Lake City) is the Immune System for the Internet(TM). </w:t>
        <w:br/>
        <w:t xml:space="preserve">      Venafi protects the foundational element of all </w:t>
        <w:br/>
        <w:t xml:space="preserve">      cybersecurity--cryptographic keys and digital certificates--so they can't </w:t>
        <w:br/>
        <w:t xml:space="preserve">      be misused. Venafi constantly assesses which keys and certificates are </w:t>
        <w:br/>
        <w:t xml:space="preserve">      trusted, protects those that should be trusted, and fixes or blocks those </w:t>
        <w:br/>
        <w:t xml:space="preserve">      that are not. With Venafi's key and certificate security solution, Intel </w:t>
        <w:br/>
        <w:t xml:space="preserve">      can continue to bring market-leading security and datacenter technology </w:t>
        <w:br/>
        <w:t xml:space="preserve">      to market. </w:t>
        <w:br/>
        <w:br/>
        <w:t>For more information about the Intel Capital Diversity Fund, please visit www.intelcapital.com.</w:t>
        <w:br/>
        <w:br/>
        <w:t>About Intel Capital</w:t>
        <w:br/>
        <w:br/>
        <w:t>Intel Capital, Intel's global investment organization, makes equity investments in innovative technology start-ups and companies worldwide. Intel Capital invests in a broad range of companies offering hardware, software, and services targeting enterprise, mobility, consumer Internet, digital media and semiconductor manufacturing. Since 1991, Intel Capital has invested more than US$11.4 billion in over 1,400 companies in 57 countries. In that timeframe, 211 portfolio companies have gone public on various exchanges around the world, and 369 were acquired or participated in a merger. For more information on what makes Intel Capital one of the world's most powerful venture capital firms, visit www.intelcapital.com or follow @Intelcapital.</w:t>
        <w:br/>
        <w:br/>
        <w:t>About Intel</w:t>
        <w:br/>
        <w:br/>
        <w:t>Intel (NASDAQ: INTC) is a world leader in computing innovation. The company designs and builds the essential technologies that serve as the foundation for the world's computing devices. As a leader in corporate responsibility and sustainability, Intel also manufactures the world's first commercially available "conflict-free" microprocessors. Additional information about Intel is available at newsroom.intel.com and blogs.intel.com.</w:t>
        <w:br/>
        <w:br/>
        <w:t>(1) Babson College Diana Report, Women Entrepreneurs 2014: Bridging the Gender Gap in Venture Capital, September 2014.</w:t>
        <w:br/>
        <w:br/>
        <w:t>(2) CB Insights, Venture Capital Human Capital Report, January-June 2010.</w:t>
        <w:br/>
        <w:br/>
        <w:t>Intel, the Intel logo and Curie are trademarks of Intel Corporation in the United States and other countries.</w:t>
        <w:br/>
        <w:br/>
        <w:t>*Other names and brands may be claimed as the property of others.</w:t>
        <w:br/>
        <w:br/>
        <w:t>View source version on businesswire.com: http://www.businesswire.com/news/home/20150609006407/en/</w:t>
      </w:r>
    </w:p>
    <w:p>
      <w:pPr>
        <w:pStyle w:val="Heading1"/>
      </w:pPr>
      <w:r>
        <w:t>End of Article 15</w:t>
      </w:r>
    </w:p>
    <w:p>
      <w:r>
        <w:br w:type="page"/>
      </w:r>
    </w:p>
    <w:p>
      <w:pPr>
        <w:pStyle w:val="Heading1"/>
      </w:pPr>
      <w:r>
        <w:t>Start of Article 16</w:t>
      </w:r>
    </w:p>
    <w:p>
      <w:pPr>
        <w:pStyle w:val="Heading1"/>
      </w:pPr>
      <w:r>
        <w:t>Document ID HAMW000020151002eba20010j</w:t>
      </w:r>
    </w:p>
    <w:p>
      <w:r>
        <w:t>The international trademark goods and services class code for this trademark application is 009.</w:t>
        <w:br/>
        <w:br/>
        <w:t>As submitted by the applicant, this trademark application relates to the following goods and services: Computer software for maintaining a database of blood test results from a blood glucose monitor for use by individuals with diabetes.</w:t>
        <w:br/>
        <w:br/>
        <w:t>The owner/registrar information for this application is: D. Michael Young, Roche Diagnostics Operations, 9115 Hague Road, Indianapolis IN 46250.</w:t>
        <w:br/>
        <w:br/>
        <w:t>Keywords for this news article include: Trademarks, Roche Diagnostics Operations.</w:t>
        <w:br/>
        <w:br/>
        <w:t>Our reports deliver fact-based news of research and discoveries from around the world. Copyright 2015, NewsRx LLC</w:t>
      </w:r>
    </w:p>
    <w:p>
      <w:pPr>
        <w:pStyle w:val="Heading1"/>
      </w:pPr>
      <w:r>
        <w:t>End of Article 16</w:t>
      </w:r>
    </w:p>
    <w:p>
      <w:r>
        <w:br w:type="page"/>
      </w:r>
    </w:p>
    <w:p>
      <w:pPr>
        <w:pStyle w:val="Heading1"/>
      </w:pPr>
      <w:r>
        <w:t>Start of Article 17</w:t>
      </w:r>
    </w:p>
    <w:p>
      <w:pPr>
        <w:pStyle w:val="Heading1"/>
      </w:pPr>
      <w:r>
        <w:t>Document ID WDAN000020150828eb8s0001w</w:t>
      </w:r>
    </w:p>
    <w:p>
      <w:r>
        <w:t>Significance: The FDA decision means that this is the third drug containing empagliflozin to be approved in the United States. Eli Lilly's and Boehringer Ingelhim's Jardiance (empagliflozin) and Glyxambi (empagliflozin + linagliptin) already have market approval, while metformin is a well-established type 2 diabetes treatment. Empagliflozin seeks to prevent glucose re-absorption in the kidney, thereby removing excessive glucose in the urine. This supports metformin's mechanism of action, which is reduced glucose absorption in the intestines and production in the liver. Synjardy gained market approval in the EU in June 2015 (see Germany - Europe: 1 June 2015: ).</w:t>
      </w:r>
    </w:p>
    <w:p>
      <w:pPr>
        <w:pStyle w:val="Heading1"/>
      </w:pPr>
      <w:r>
        <w:t>End of Article 17</w:t>
      </w:r>
    </w:p>
    <w:p>
      <w:r>
        <w:br w:type="page"/>
      </w:r>
    </w:p>
    <w:p>
      <w:pPr>
        <w:pStyle w:val="Heading1"/>
      </w:pPr>
      <w:r>
        <w:t>Start of Article 18</w:t>
      </w:r>
    </w:p>
    <w:p>
      <w:pPr>
        <w:pStyle w:val="Heading1"/>
      </w:pPr>
      <w:r>
        <w:t>Document ID PRESSA0020150727eb7r003mm</w:t>
      </w:r>
    </w:p>
    <w:p>
      <w:r>
        <w:t xml:space="preserve">Initial patients in the study were enrolled in Rotterdam and Milan where MANTA 18F devices were successfully deployed achieving immediate hemostasis following transcatheter aortic valve replacement (TAVR) with excellent clinical, angiographic and hemodynamic (Duplex Ultrasound) results. The MANTA devices were deployed in less than one minute, without pain or discomfort for the patients. None of the patients experienced any complications associated with the device.  </w:t>
        <w:br/>
        <w:br/>
        <w:t>MANTA closes femoral arterial punctures made during cardiac catheterization procedures such as transcatheter aortic valve replacement (TAVR), endovascular treatment of abdominal aortic aneurysms (AAA), ventricular assist (VAD), and balloon aortic valvuloplasty (BAV). These procedures are the fastest growing segment of the cardiovascular market but the growth is limited by the lack of a safe and reliable large-bore percutaneous closure device. MANTA was purposely designed to address the complexities of closing large holes in high-pressure vessels utilizing novel closure technology. MANTA's fail-safe deployment closes large punctures in less than 60 seconds, providing immediate hemostasis in order to reduce complications associated with large bore closure. The potential worldwide market for large bore vascular closure device exceeds $650 million.</w:t>
        <w:br/>
        <w:br/>
        <w:t>Cases were conducted by Nicholas Van Mieghem, MD, PhD, Medical Director of the Department of Interventional Cardiology at the Thoraxcenter, Erasmus Medical Center, who commented that MANTA, "is a revolutionary device that will transform how we close cases," and Antonio Colombo, MD, Director of the Invasive Cardiology Department at San Raffaele Scientific Institute and Columbus Hospital, who commented that the MANTA device "is a nice step [toward] making large bore closure a simple and reliable procedure."</w:t>
        <w:br/>
        <w:br/>
        <w:t>Closure of large bore femoral access sites has been associated with significant morbidity including long time to achieve hemostasis, extended OR time, need for a vascular surgeon in the catheterization lab, delayed ambulation, higher rate of complications and higher total cost of care. Dr. Gary Roubin, MD, PhD, Essential Medical CMO, commented on this most recent experience; "The deployment of the devices was flawless, and both clinicians found the MANTA to be intuitive, easy-to-use and efficacious. Including our First-in-man studies, we have now enrolled 19 patients to date with rapid hemostasis and no major complications.  We look forward to enrolling other centers in Hamburg and Vancouver shortly."</w:t>
        <w:br/>
        <w:br/>
        <w:t>In other recent news, the Company has now enrolled 23 patients to date in a post-market-follow-up study (PMFU) in Germany utilizing its X-Seal™ small-bore closure device. This study is a 50-patient PMFU study as a requirement for X-Seal CE Mark approval. Commercialization of X-Seal is expected through a strategic partner once the PMFU study is completed.</w:t>
        <w:br/>
        <w:br/>
        <w:t xml:space="preserve">About Essential Medical   </w:t>
        <w:br/>
        <w:br/>
        <w:t>Essential Medical, Inc., is a privately held company focused on transforming the large bore vascular closure market by delivering products that meet the unmet need for closure without complications. The company was founded in 2010 by Greg Walters, a senior product development executive with 20 years' experience creating innovative cardiovascular products, and Dr. Gary Roubin, MD, PhD, a coronary and carotid stenting pioneer.</w:t>
        <w:br/>
        <w:br/>
        <w:t>Contact:</w:t>
        <w:br/>
        <w:br/>
        <w:t>Greg Walters</w:t>
        <w:br/>
        <w:br/>
        <w:t>greg@essmedclosure.com</w:t>
        <w:br/>
        <w:br/>
        <w:t>http://www.essmedclosure.com</w:t>
      </w:r>
    </w:p>
    <w:p>
      <w:pPr>
        <w:pStyle w:val="Heading1"/>
      </w:pPr>
      <w:r>
        <w:t>End of Article 18</w:t>
      </w:r>
    </w:p>
    <w:p>
      <w:r>
        <w:br w:type="page"/>
      </w:r>
    </w:p>
    <w:p>
      <w:pPr>
        <w:pStyle w:val="Heading1"/>
      </w:pPr>
      <w:r>
        <w:t>Start of Article 19</w:t>
      </w:r>
    </w:p>
    <w:p>
      <w:pPr>
        <w:pStyle w:val="Heading1"/>
      </w:pPr>
      <w:r>
        <w:t>Document ID DJDN000020151012ebac0024y</w:t>
      </w:r>
    </w:p>
    <w:p>
      <w:r>
        <w:t>October 12, 2015 13:39 ET (17:39 GMT)</w:t>
      </w:r>
    </w:p>
    <w:p>
      <w:pPr>
        <w:pStyle w:val="Heading1"/>
      </w:pPr>
      <w:r>
        <w:t>End of Article 19</w:t>
      </w:r>
    </w:p>
    <w:p>
      <w:r>
        <w:br w:type="page"/>
      </w:r>
    </w:p>
    <w:p>
      <w:pPr>
        <w:pStyle w:val="Heading1"/>
      </w:pPr>
      <w:r>
        <w:t>Start of Article 20</w:t>
      </w:r>
    </w:p>
    <w:p>
      <w:pPr>
        <w:pStyle w:val="Heading1"/>
      </w:pPr>
      <w:r>
        <w:t>Document ID ATPHAM0020150602eb5t00030</w:t>
      </w:r>
    </w:p>
    <w:p>
      <w:r>
        <w:t>As previously announced on May 6, 2015, Alexion and Synageva entered into a definitive agreement pursuant to which Alexion would acquire Synageva for consideration of $115 in cash and 0.6581 Alexion shares, for each share of Synageva, implying a total per share value of $230 based on the nine day volume-weighted average closing price of Alexion stock through May 5, 2015. Termination of the HSR Act waiting period satisfies one of the conditions to closing of the proposed transaction. The closing of the transaction remains subject to other customary closing conditions, including the effectiveness of Alexion's Registration Statement on Form S-4, which was initially filed with the SEC on May 22, 2015, and the tender of a majority of the outstanding shares of Synageva common stock. Subject to the satisfaction of the other conditions to closing, the transaction is expected to close in mid-2015.</w:t>
        <w:br/>
        <w:br/>
        <w:t>Source: Alexion Pharmaceuticals</w:t>
      </w:r>
    </w:p>
    <w:p>
      <w:pPr>
        <w:pStyle w:val="Heading1"/>
      </w:pPr>
      <w:r>
        <w:t>End of Article 20</w:t>
      </w:r>
    </w:p>
    <w:p>
      <w:r>
        <w:br w:type="page"/>
      </w:r>
    </w:p>
    <w:p>
      <w:pPr>
        <w:pStyle w:val="Heading1"/>
      </w:pPr>
      <w:r>
        <w:t>Start of Article 21</w:t>
      </w:r>
    </w:p>
    <w:p>
      <w:pPr>
        <w:pStyle w:val="Heading1"/>
      </w:pPr>
      <w:r>
        <w:t>Document ID POLGOV0020150313eb3j001nc</w:t>
      </w:r>
    </w:p>
    <w:p>
      <w:r>
        <w:t>Reporters obtained the following quote from the background information supplied by the inventors: "Absorption of poorly soluble drugs is a major obstacle in pharmaceutical development. For ionizable compounds, salt formation is often used to improve solubility. This approach, however, may not work for compounds that precipitate at lower pH, such as gastric pH. There is therefore an existing need in the pharmaceutical development arts for compositions which provide improved dissolution profiles of drugs. BRIEF DESCRIPTION OF THE FIGURES</w:t>
        <w:br/>
        <w:br/>
        <w:t>"FIG. 1 shows dissolution profiles of formulations containing various amounts of crystallization inhibitor for EXAMPLE 1.</w:t>
        <w:br/>
        <w:br/>
        <w:t>"FIG. 2 shows dissolution profiles of formulations containing a pH modifier and a crystallization inhibitor for EXAMPLE 1.</w:t>
        <w:br/>
        <w:br/>
        <w:t>"FIG. 3 shows dissolution profiles of formulations containing a pH modifier and a crystallization inhibitor for 5,5-diphenylhydantoin, sodium salt.</w:t>
        <w:br/>
        <w:br/>
        <w:t>"FIG. 4 shows dissolution profiles of formulations containing a pH modifier and a crystallization inhibitor for potassium mefenamate."</w:t>
        <w:br/>
        <w:br/>
        <w:t>In addition to obtaining background information on this patent application, VerticalNews editors also obtained the inventors' summary information for this patent application: "Accordingly, one embodiment of this invention comprises compositions comprising an ionizable drug or a salt thereof, a crystallization inhibitor and a pH modifier, said composition providing a measurable improvement in dissolution rate of the ionizable drug.</w:t>
        <w:br/>
        <w:br/>
        <w:t>"Another embodiment of this invention comprises compositions comprising an ionizable drug or a salt thereof, a crystallization inhibitor and a pH modifier, said composition providing a reduced variability in dissolution.</w:t>
        <w:br/>
        <w:br/>
        <w:t>"Another embodiment comprises compositions comprising a salt of an ionizable drug, a crystallization inhibitor and a pH modifier, said composition providing a measurable improvement in dissolution rate of the ionizable drug.</w:t>
        <w:br/>
        <w:br/>
        <w:t>"Still another embodiment comprises compositions comprising 1-(6-amino-3,5-difluoropyridin-2-yl)-8-chloro-6-fluoro-7-(3-hydroxyazetid- in-1-yl)-4-oxo-1,4-dihydroquinoline-3-carboxylic acid or a salt thereof, a crystallization inhibitor and a pH modifier, said composition providing a measurable improvement in dissolution rate of the ionizable drug.</w:t>
        <w:br/>
        <w:br/>
        <w:t>"Still another embodiment comprises compositions comprising the megluamine salt of 1-(6-amino-3,5-difluoropyridin-2-yl)-8-chloro-6-fluoro-7-(3-hydroxyazetid- in-1-yl)-4-oxo-1,4-dihydroquinoline-3-carboxylic acid, a crystallization inhibitor and a pH modifier, said composition providing a measurable improvement in dissolution rate of the ionizable drug.</w:t>
        <w:br/>
        <w:br/>
        <w:t>"Another embodiment comprises a method for treating disease in a patient comprising administering thereto a composition comprising an ionizable drug or a salt thereof, a crystallization inhibitor and a pH modifier, said composition providing a measurable improvement in dissolution rate of the ionizable drug.</w:t>
        <w:br/>
        <w:br/>
        <w:t>"Another embodiment comprises a method for treating disease in a patient comprising administering thereto a composition comprising an ionizable drug or a salt thereof, a crystallization inhibitor and a pH modifier, said composition providing a reduced variability in dissolution.</w:t>
        <w:br/>
        <w:br/>
        <w:t>"Another embodiment comprises a method for treating disease in a patient comprising administering thereto a composition comprising an ionizable drug, a crystallization inhibitor and a pH modifier, said composition providing a measurable improvement in dissolution rate of the ionizable drug.</w:t>
        <w:br/>
        <w:br/>
        <w:t>"Another embodiment comprises a method for treating disease in a patient comprising administering thereto a composition comprising 1-(6-amino-3,5-difluoropyridin-2-yl)-8-chloro-6-fluoro-7-(3-hydroxyazetid- in-1-yl)-4-oxo-1,4-dihydroquinoline-3-carboxylic acid or a salt thereof, a crystallization inhibitor and a pH modifier, said composition providing a measurable improvement in dissolution rate of the ionizable drug.</w:t>
        <w:br/>
        <w:br/>
        <w:t>"Another embodiment comprises a method for treating disease in a patient comprising administering thereto a composition comprising the megluamine salt of 1-(6-amino-3,5-difluoropyridin-2-yl)-8-chloro-6-fluoro-7-(3-hydroxyazetid- in-1-yl)-4-oxo-1,4-dihydroquinoline-3-carboxylic acid, a crystallization inhibitor and a pH modifier, said composition providing a measurable improvement in dissolution rate of the ionizable drug."</w:t>
        <w:br/>
        <w:br/>
        <w:t>For more information, see this patent application: WU, Huailiang; ZHANG, Geoff G.Z. Pharmaceutical Composition Having Improved Dissolution Profiles for Poorly Soluble Drugs. Filed October 31, 2014 and posted March 5, 2015. Patent URL: http://appft.uspto.gov/netacgi/nph-Parser?Sect1=PTO2&amp;Sect2=HITOFF&amp;u=%2Fnetahtml%2FPTO%2Fsearch-adv.html&amp;r=1776&amp;p=36&amp;f=G&amp;l=50&amp;d=PG01&amp;S1=20150226.PD.&amp;OS=PD/20150226&amp;RS=PD/20150226</w:t>
        <w:br/>
        <w:br/>
        <w:t>Keywords for this news article include: Patents, Carboxylic Acids, Organic Chemicals.</w:t>
        <w:br/>
        <w:br/>
        <w:t>Our reports deliver fact-based news of research and discoveries from around the world. Copyright 2015, NewsRx LLC</w:t>
      </w:r>
    </w:p>
    <w:p>
      <w:pPr>
        <w:pStyle w:val="Heading1"/>
      </w:pPr>
      <w:r>
        <w:t>End of Article 21</w:t>
      </w:r>
    </w:p>
    <w:p>
      <w:r>
        <w:br w:type="page"/>
      </w:r>
    </w:p>
    <w:p>
      <w:pPr>
        <w:pStyle w:val="Heading1"/>
      </w:pPr>
      <w:r>
        <w:t>Start of Article 22</w:t>
      </w:r>
    </w:p>
    <w:p>
      <w:pPr>
        <w:pStyle w:val="Heading1"/>
      </w:pPr>
      <w:r>
        <w:t>Document ID KHALEJ0020151106ebb50005q</w:t>
      </w:r>
    </w:p>
    <w:p>
      <w:r>
        <w:t>Phentolamine will be the third product previously marketed by Bedford Laboratories to be launched by Hikma in the United States, and is the first Bedford product to be approved from Hikma s Portuguese facility. Phentolamine is also currently on the FDA s Drug Shortages list.</w:t>
        <w:br/>
        <w:br/>
        <w:t>Said Darwazah, Chairman and CEO of Hikma said, We are making good progress with the transfer of the Bedford products to our manufacturing facilities, leveraging our strong R&amp;D, regulatory and manufacturing capabilities. We are very pleased to be launching phentolamine in the US market and remain committed to prioritising the re-introduction of Bedford products for patients in need.</w:t>
      </w:r>
    </w:p>
    <w:p>
      <w:pPr>
        <w:pStyle w:val="Heading1"/>
      </w:pPr>
      <w:r>
        <w:t>End of Article 22</w:t>
      </w:r>
    </w:p>
    <w:p>
      <w:r>
        <w:br w:type="page"/>
      </w:r>
    </w:p>
    <w:p>
      <w:pPr>
        <w:pStyle w:val="Heading1"/>
      </w:pPr>
      <w:r>
        <w:t>Start of Article 23</w:t>
      </w:r>
    </w:p>
    <w:p>
      <w:pPr>
        <w:pStyle w:val="Heading1"/>
      </w:pPr>
      <w:r>
        <w:t>Document ID ATTOPN0020150823eb8l00006</w:t>
      </w:r>
    </w:p>
    <w:p>
      <w:r>
        <w:t>However, some say that the approval is not a progress, but a dangerous way to medicalize asexuality. An FDA panel voted in June in favor of the sale of flibanserin, but a network of sexual activists, led by the Asexual Visibility and Education Network (AVEN), have come up with a petition urging the FDA to retract the approval.</w:t>
        <w:br/>
        <w:br/>
        <w:t>On Change.org, they argue that the drug poses the risk of turning a sexual orientation into a health condition. The approval for the drug, made by Sprout Pharmaceuticals, has surprised Sara Parker, who runs TheAsexualityBlog.com.</w:t>
        <w:br/>
        <w:br/>
        <w:t>She says the agency was forced to approve the drug because of the mounting pressure from grassroots groups that had begun criticizing the agency that not approving the drug was nothing, but a clear reflection of it being gender bias.</w:t>
        <w:br/>
        <w:br/>
        <w:t>"I feel like it perpetuates the mentality that sexuality and sexual desire is normal or mandatory in some way", she said.</w:t>
      </w:r>
    </w:p>
    <w:p>
      <w:pPr>
        <w:pStyle w:val="Heading1"/>
      </w:pPr>
      <w:r>
        <w:t>End of Article 23</w:t>
      </w:r>
    </w:p>
    <w:p>
      <w:r>
        <w:br w:type="page"/>
      </w:r>
    </w:p>
    <w:p>
      <w:pPr>
        <w:pStyle w:val="Heading1"/>
      </w:pPr>
      <w:r>
        <w:t>Start of Article 24</w:t>
      </w:r>
    </w:p>
    <w:p>
      <w:pPr>
        <w:pStyle w:val="Heading1"/>
      </w:pPr>
      <w:r>
        <w:t>Document ID ATPHAM0020150501eb4u0000r</w:t>
      </w:r>
    </w:p>
    <w:p>
      <w:r>
        <w:t>"The launch of the Protege MRI system provides physicians with a solution that offers the benefits of future therapy upgrades as they are approved without the need for a future surgery," said Robert Levy, M.D., Ph.D., director of the Marcus Neuroscience Institute in Boca Raton, Florida. "The Protege MRI system is an innovative technology advancement that optimizes chronic pain care without compromising a patient's potential need for future head and extremity MRI scans."</w:t>
        <w:br/>
        <w:br/>
        <w:t>Chronic pain affects more than 100 million Americans, an incidence rate which outpaces heart disease, cancer and diabetes combined. In total, the condition costs the American population 515 million workdays annually and generates upwards of 40 million visits to physicians each year.</w:t>
        <w:br/>
        <w:br/>
        <w:t>SCS therapy can offer proven, meaningful chronic pain relief for many patients while improving quality of life and reducing or even eliminating a patient's use of pain medication. Yet for some patients battling chronic pain, the possible need for future MRI scans has acted as a barrier to SCS therapy.</w:t>
        <w:br/>
        <w:br/>
        <w:t>"With the approval of the Protege MRI system, St. Jude Medical has helped remove a barrier for some patients who may benefit from SCS therapy, while preserving the ability of those patients to access future technology and therapy advancements wirelessly through upgradeable technology," said Eric S. Fain, M.D., group president of St. Jude Medical. "Going forward, patients implanted with a Protege MRI system than will not only have the ability to access future upgrades, but will also have the ability to undergo head and extremity MRI scans."</w:t>
        <w:br/>
        <w:br/>
        <w:t>In addition to the approval of the Protege MRI system, St. Jude Medical also plans to seek updated labeling in key markets around the world for several existing products, including their flagship Penta paddle lead, in order to allow more patients the ability to safely undergo MRI scans. St. Jude Medical also plans to submit testing data supporting full-body MRI conditional scan labeling for future SCS systems.</w:t>
        <w:br/>
        <w:br/>
        <w:t>Source: St. Jude Medical</w:t>
      </w:r>
    </w:p>
    <w:p>
      <w:pPr>
        <w:pStyle w:val="Heading1"/>
      </w:pPr>
      <w:r>
        <w:t>End of Article 24</w:t>
      </w:r>
    </w:p>
    <w:p>
      <w:r>
        <w:br w:type="page"/>
      </w:r>
    </w:p>
    <w:p>
      <w:pPr>
        <w:pStyle w:val="Heading1"/>
      </w:pPr>
      <w:r>
        <w:t>Start of Article 25</w:t>
      </w:r>
    </w:p>
    <w:p>
      <w:pPr>
        <w:pStyle w:val="Heading1"/>
      </w:pPr>
      <w:r>
        <w:t>Document ID DJDN000020150512eb5c001xe</w:t>
      </w:r>
    </w:p>
    <w:p>
      <w:r>
        <w:t>PR Newswire</w:t>
        <w:br/>
        <w:br/>
        <w:t>TORONTO, May 12, 2015</w:t>
        <w:br/>
        <w:br/>
        <w:t>TORONTO, May 12, 2015 /PRNewswire/ -- Axxess Pharma Inc. (OTC: AXXE) a specialty pharmaceutical and nutritional supplements company, through its wholly-owned subsidiary AllStar Health Brands USA, Inc. is pleased to announce, they have signed a contract with AVT, Inc., a North American builder and provider of vending machines. AVT currently has vending machines in several major chain stores and fitness centers throughout the United States and Canada.</w:t>
        <w:br/>
        <w:br/>
        <w:t>Under the current contract, Axxess Pharma entered into a Pilot Sales program where their Tapout products are now being sold in AVT's vending machines within two large North American fitness chain centers. The fitness chain centers are globally recognized. The all-natural products sold, are the Tapout RTD's (Ready to Drink) Protein Shakes and Pain Relief Towelettes.</w:t>
        <w:br/>
        <w:br/>
        <w:t>The pilot program was initiated on April 27, 2015 and is currently generating strong sales within the two fitness centers. Axxess Pharma anticipates sales will remain strong and lead to the North American roll-out into all of the chains 300 plus fitness centers across North America.</w:t>
        <w:br/>
        <w:br/>
        <w:t>The RTD's are great tasting, pre-made shakes with the added benefit of comprising L-Carnitine. This gives the RTD's a unique combination of high protein intake and fat-burning, even when customers are not working out.</w:t>
        <w:br/>
        <w:br/>
        <w:t>Both the RTD's and the Pain Relief Towelettes are a perfect synergy for the large North American fitness chain and its exercise enthusiasts. The availability of these Tapout products inside the fitness centers, allow their clientele to quickly regenerate their bodies after their exercise routines.</w:t>
        <w:br/>
        <w:br/>
        <w:t>James Winsor, CEO of AVT, Inc., stated "AVT is proud to be the manufacturing partner on this pilot program. Our team is especially enthusiastic, as many are not only working on the system, but they are also consumers of the Tapout products." Mr. Winsor further stated, "They love the Tapout protein drinks, and are truly autographing their workmanship with pride."</w:t>
        <w:br/>
        <w:br/>
        <w:t>Dr. Daniel Bagi, President of Axxess Pharma stated "We are extremely fortunate to enter into a pilot program with this globally recognized fitness chain. They are well-known for their quality facilities and focus on the health and wellness of their clientele." Dr. Bagi further stated, "Our Ready to Drink protein shakes and Pain Relief Towelettes are selling extremely well. Based on the pilot program generating strong sales within the fitness center, we are now preparing for the North American roll-out into all of their 300 plus fitness centers."</w:t>
        <w:br/>
        <w:br/>
        <w:t>About Axxess Pharma Inc.:</w:t>
        <w:br/>
        <w:br/>
        <w:t>Axxess Pharma Inc. is a Nevada Corporation operating through its wholly-owned Canadian Subsidiary: Axxess Pharma Canada Inc., headquartered in Toronto. Axxess is a specialty Health Care Products Company dedicated to improving health and quality of life by offering select medicines, nutritional supplements and over the counter remedies all across the Americas. Axxess's goal is to bring additional products to the market and provide new, innovative options for better health spanning areas such as high cholesterol, blood pressure, acute pain, - to optimal health management through improved nutritional supplements.</w:t>
        <w:br/>
        <w:br/>
        <w:t>About Authentic Brands Group, LLC</w:t>
        <w:br/>
        <w:br/>
        <w:t>Authentic Brands Group owns a global portfolio of iconic fashion, sports, celebrity, media and entertainment brands. In conjunction with Leonard Green &amp; Partners, ABG's mandate is to acquire, develop, and elevate long-term value in consumer, celebrity, and media brands. Headquartered in New York City, ABG's mission is to further enhance brand equity through partnering with best-in-class licensees and retailers. ABG's global portfolio of world-renowned brands includes Marilyn Monroe(R), Mini Marilyn(R), Muhammad Ali(R), Michael Jackson(R) (managed brand), Elvis Presley(R), Jones New York(R), Juicy Couture(R), Judith Leiber(R), Adrienne Vittadini(R), Taryn Rose(R), Hickey Freeman(R), Hart Schaffner Marx(R), Palm Beach(R), Misook(R), Prince(R), Spyder(R), Airwalk(R), Above The Rim(R), Vision Street Wear(R), Hind(R), Ektelon(R), Viking(R), Bobby Jones(R), TapouT(R), Sportcraft(R).</w:t>
        <w:br/>
        <w:br/>
        <w:t>www.abg-nyc.com.</w:t>
        <w:br/>
        <w:br/>
        <w:t>For more information, please visit https://tapoutmusclerecovery.com, or contact Investor Relations at +1(973) 351-3868.</w:t>
        <w:br/>
        <w:br/>
        <w:t>To view all Axxess Pharma social media sites, please click any of the following links:</w:t>
        <w:br/>
        <w:br/>
        <w:t>http://facebook.com/tapoutmusclerecovery, http://twitter.com/tapoutmusclerec, http://instagram.com/tapoutmusclerecovery.</w:t>
        <w:br/>
        <w:br/>
        <w:t>Safe Harbor Statement:</w:t>
        <w:br/>
        <w:br/>
        <w:t>Statements about the Company's future expectations and all other statements in this press release other than historical facts, are "forward-looking statements" within the meaning of Section 27A of the Securities Act of 1933, Section 21E of the Securities Exchange Act of 1934, and as that term is defined in the Private Securities Litigation Reform Act of 1995. The Company intends that such forward-looking statements be subject to the safe harbors created thereby.</w:t>
        <w:br/>
        <w:br/>
        <w:t>The above information contains information relating to the Company that is based on the beliefs of the Company and/or its management, as well as assumptions made by any information currently available to the Company or its management. When used in this document, the words "anticipate," "estimate," "expect," "intend," "plans," "projects," and similar expressions, as they relate to the Company or its management, are intended to identify forward-looking statements. Such statements reflect the current view of the Company regarding future events and are subject to certain risks, uncertainties and assumptions, including the risks and uncertainties noted. Should one or more of these risks or uncertainties materialize, or should underlying assumptions prove to be incorrect, actual results may vary materially from those described herein as anticipated, believed, estimated, expected, intended or projected. In each instance, forward-looking information should be considered in light of the accompanying meaningful cautionary statements herein. Factors that could cause results to differ include, but are not limited to, successful performance of internal plans, the impact of competitive services and pricing and general economic risks and uncertainties.</w:t>
        <w:br/>
        <w:br/>
        <w:t>Contact:</w:t>
        <w:br/>
        <w:br/>
        <w:t>Investor Relations</w:t>
        <w:br/>
        <w:br/>
        <w:t>Taylor Capitol, Inc.</w:t>
        <w:br/>
        <w:br/>
        <w:t>Stephen Taylor</w:t>
        <w:br/>
        <w:br/>
        <w:t>+1(973) 351-3868</w:t>
        <w:br/>
        <w:br/>
        <w:t>STEPHTAYL9@AOL.COM</w:t>
        <w:br/>
        <w:br/>
        <w:t>www.TheStockAlerts.com</w:t>
        <w:br/>
        <w:br/>
        <w:t>To view the original version on PR Newswire, visit:http://www.prnewswire.com/news-releases/axxess-pharmas-all-natural-tapout-products-now-available-in-large-north-american-fitness-chain-300081685.html</w:t>
        <w:br/>
        <w:br/>
        <w:t>SOURCE Axxess Pharma, Inc</w:t>
        <w:br/>
        <w:br/>
        <w:t>/Web site: http://www.TheStockAlerts.com</w:t>
        <w:br/>
        <w:br/>
        <w:t>(END) Dow Jones Newswires</w:t>
        <w:br/>
        <w:br/>
        <w:t>May 12, 2015 08:00 ET (12:00 GMT)</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599BD7C-2FFF-44B7-87F0-69461A7CAACF}"/>
</file>

<file path=customXml/itemProps3.xml><?xml version="1.0" encoding="utf-8"?>
<ds:datastoreItem xmlns:ds="http://schemas.openxmlformats.org/officeDocument/2006/customXml" ds:itemID="{00BAF8F7-98C7-4F49-9D1D-A66FFCDA5384}"/>
</file>

<file path=customXml/itemProps4.xml><?xml version="1.0" encoding="utf-8"?>
<ds:datastoreItem xmlns:ds="http://schemas.openxmlformats.org/officeDocument/2006/customXml" ds:itemID="{57221CFF-72BA-4962-8742-C0FED856DC9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