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CHPR000020151123ebbc0000k</w:t>
      </w:r>
    </w:p>
    <w:p>
      <w:r>
        <w:t xml:space="preserve"> Original Source: Innovus Pharmaceuticals Inc, 2015. Found on website: http://www.marketwired.com.</w:t>
        <w:br/>
        <w:br/>
        <w:t>Marketwired</w:t>
        <w:br/>
        <w:br/>
        <w:t>Website: http://www.marketwired.com</w:t>
      </w:r>
    </w:p>
    <w:p>
      <w:pPr>
        <w:pStyle w:val="Heading1"/>
      </w:pPr>
      <w:r>
        <w:t>End of Article 1</w:t>
      </w:r>
    </w:p>
    <w:p>
      <w:r>
        <w:br w:type="page"/>
      </w:r>
    </w:p>
    <w:p>
      <w:pPr>
        <w:pStyle w:val="Heading1"/>
      </w:pPr>
      <w:r>
        <w:t>Start of Article 2</w:t>
      </w:r>
    </w:p>
    <w:p>
      <w:pPr>
        <w:pStyle w:val="Heading1"/>
      </w:pPr>
      <w:r>
        <w:t>Document ID DJDN000020150615eb6f003t8</w:t>
      </w:r>
    </w:p>
    <w:p>
      <w:r>
        <w:t>Shares of Aerie Pharmaceuticals, down 54% over the past three months, jumped 43% to $18.93 in after-hours trading as the trial's new endpoints were seen as being easier to achieve.</w:t>
        <w:br/>
        <w:br/>
        <w:t>Adding to the stock gains was the need for some investors to cover their short positions. About 20% of the stock's float was sold short, meaning those shares profit when the stock price falls.</w:t>
        <w:br/>
        <w:br/>
        <w:t>Aerie's glaucoma treatment, called Rhopressa, is a once-a-day eye drop that targets the diseased tissue responsible for the elevated intraocular pressures that result in glaucoma.</w:t>
        <w:br/>
        <w:br/>
        <w:t>Under the pact with the FDA, Aerie is changing its primary endpoint to include patients with baseline intraocular pressures ranging from above 20 millimeters of mercury to below 25 millimeters of mercury.</w:t>
        <w:br/>
        <w:br/>
        <w:t>The new range is the same as an earlier trial of Rhopressa, in which the drug showed it was at least equally effective as a current glaucoma treatment.</w:t>
        <w:br/>
        <w:br/>
        <w:t>Aerie said the new endpoint range wouldn't require additional patients for the current trial.</w:t>
        <w:br/>
        <w:br/>
        <w:t>Previously, the trial's range included patients with baseline intraocular pressures ranging from above 20 millimeters of mercury to below 27 millimeters of mercury. Aerie said the previous range will now represent a secondary endpoint range for the trial.</w:t>
        <w:br/>
        <w:br/>
        <w:t>The company said three-month efficacy results from the current trial are expected by the third quarter.</w:t>
        <w:br/>
        <w:br/>
        <w:t>Additionally, Aerie said it expected to start another late-stage trial for Rhopressa in the third quarter.</w:t>
        <w:br/>
        <w:br/>
        <w:t>Write to Cassandra Jaramillo at Cassandra.Jaramillo@wsj.com</w:t>
        <w:br/>
        <w:br/>
        <w:t>(END) Dow Jones Newswires</w:t>
        <w:br/>
        <w:br/>
        <w:t>June 15, 2015 18:33 ET (22:33 GMT)</w:t>
      </w:r>
    </w:p>
    <w:p>
      <w:pPr>
        <w:pStyle w:val="Heading1"/>
      </w:pPr>
      <w:r>
        <w:t>End of Article 2</w:t>
      </w:r>
    </w:p>
    <w:p>
      <w:r>
        <w:br w:type="page"/>
      </w:r>
    </w:p>
    <w:p>
      <w:pPr>
        <w:pStyle w:val="Heading1"/>
      </w:pPr>
      <w:r>
        <w:t>Start of Article 3</w:t>
      </w:r>
    </w:p>
    <w:p>
      <w:pPr>
        <w:pStyle w:val="Heading1"/>
      </w:pPr>
      <w:r>
        <w:t>Document ID PCWI000020150815eb8f0002y</w:t>
      </w:r>
    </w:p>
    <w:p>
      <w:r>
        <w:t>The Food and Drug Administration has approved the powerful narcotic painkiller OxyContin for children as young as 11. While doctors who treat young cancer patients hailed the approval, others expressed concern that prescribing OxyContin to children could put them at risk for addiction.</w:t>
        <w:br/>
        <w:br/>
        <w:t>OxyContin, an extended-release version of the painkiller oxycodone, has gained notoriety in recent years because of its frequent abuse. People addicted to painkillers crush the pills so that they can be snorted or injected, producing a powerful high.</w:t>
        <w:br/>
        <w:br/>
        <w:t>In 2010, Purdue Pharma reformulated OxyContin to make it more difficult to abuse.</w:t>
        <w:br/>
        <w:br/>
        <w:t>The FDA notes that children generally have many fewer options for pain relief than adults. Because of that problem, the FDA asked Purdue to perform studies to see if the drug could be used safely in children, ages 11 to 16, with pain caused by cancer, trauma or major surgery, said Sharon Hertz, a physician with the FDA's Center for Drug Evaluation and Research, in an interview on the agency's website.</w:t>
        <w:br/>
        <w:br/>
        <w:t>The FDA approved OxyContin for children this age who need "daily, round-the-clock, long-term" pain relief for which there is no alternative, Hertz said.</w:t>
        <w:br/>
        <w:br/>
        <w:t>"Children are not treated with opioids very often and usually it's only for a limited period of time with close supervision by health care professionals," Hertz said. "Fewer daily doses may free patients for physical therapy appointments, allow them to go home from the hospital sooner and may help them to sleep through the night without waking up."</w:t>
        <w:br/>
        <w:br/>
        <w:t>Children at the end of life aren't at risk of addiction.</w:t>
        <w:br/>
        <w:br/>
        <w:t>Having additional long-acting painkillers "is going to be tremendously helpful for treating children with cancer pain or pain at the end of life," said Justin Baker, pediatric oncologist and hospice and palliative medicine doctor at St. Jude Children's Research Hospital.</w:t>
        <w:br/>
        <w:br/>
        <w:t>But prescribing OxyContin to youngsters with short-term medical needs could put them at risk for developing an addiction that haunts them long after they leave the hospital, said Andrew Kolodny, director of Physicians for Responsible Opioid Prescribing. Teens are at higher risk of addiction than adults because the brain doesn't mature until about age 25.</w:t>
        <w:br/>
        <w:br/>
        <w:t>It "is going to be tremendously helpful for treating children with cancer pain or pain at the end of life."</w:t>
        <w:br/>
        <w:br/>
        <w:t>Justin Baker, pediatric oncologist and hospice and palliative medicine doctor at St. Jude Children's Research Hospital</w:t>
      </w:r>
    </w:p>
    <w:p>
      <w:pPr>
        <w:pStyle w:val="Heading1"/>
      </w:pPr>
      <w:r>
        <w:t>End of Article 3</w:t>
      </w:r>
    </w:p>
    <w:p>
      <w:r>
        <w:br w:type="page"/>
      </w:r>
    </w:p>
    <w:p>
      <w:pPr>
        <w:pStyle w:val="Heading1"/>
      </w:pPr>
      <w:r>
        <w:t>Start of Article 4</w:t>
      </w:r>
    </w:p>
    <w:p>
      <w:pPr>
        <w:pStyle w:val="Heading1"/>
      </w:pPr>
      <w:r>
        <w:t>Document ID PZON000020150630eb6u0003c</w:t>
      </w:r>
    </w:p>
    <w:p>
      <w:r>
        <w:t>EASTERN DISTRICT OF PENNSYLVANIA</w:t>
        <w:br/>
        <w:br/>
        <w:t>Frater v. Hemispherx Biopharma, Inc., et al.</w:t>
        <w:br/>
        <w:br/>
        <w:t>No. 2:12-CV-07152 WY</w:t>
        <w:br/>
        <w:br/>
        <w:t>SUMMARY NOTICE OF PENDENCY OF CLASS ACTION AND PROPOSED</w:t>
        <w:br/>
        <w:br/>
        <w:t>SETTLEMENT, SETTLEMENT FAIRNESS HEARING, AND MOTION FOR AWARD</w:t>
        <w:br/>
        <w:br/>
        <w:t>OF ATTORNEYS' FEES AND REIMBURSEMENT OF LITIGATION EXPENSES</w:t>
        <w:br/>
        <w:br/>
        <w:t>TO: All persons and entities who purchased or otherwise acquired Hemispherx Biopharma, Inc. ("Hemispherx") common stock trading under ticker symbol HEB from March 14, 2012 through and including December 20, 2012, both dates inclusive (the "Class Period"). EXCLUDED FROM THE CLASS ARE DEFENDANTS, THE OFFICERS AND DIRECTORS OF HEMISPHERX, AND THEIR FAMILIES AND AFFILIATES.</w:t>
        <w:br/>
        <w:br/>
        <w:t>NEW YORK, June 30, 2015 (GLOBE NEWSWIRE) -- YOU ARE HEREBY NOTIFIED, pursuant to Rule 23 of the Federal Rules of Civil Procedure and an Order of the United States District Court for the Eastern District of Pennsylvania, that a hearing will be held on July 22, 2015 at 9:30 a.m., before the Honorable William H. Yohn Jr. United States District Judge, at the courthouse for the United States District Court for the Eastern District of Pennsylvania, 601 Market Street, Philadelphia, PA 19106, to determine, among other things, whether: (1) a Settlement Class should be certified for purposes of the Settlement and whether Lead Plaintiff and its counsel have adequately represented the Class Members; (2) the proposed Settlement of the Class's claims against the Defendants for $2,750,000.00 should be approved as fair, reasonable and adequate; (3) the proposed Plan of Allocation is fair, just, reasonable, and adequate; (4) the Court should permanently enjoin the assertion of any claims that arise from or relate to the subject matter of the above-captioned class action ("the Action"); (5) the Action should be dismissed with prejudice against the Defendants as set forth in the Stipulation of Settlement filed with the Court; (6) the application by Lead Counsel for an award of attorneys' fees and expenses should be approved; and (7) an application for reimbursement of reasonable costs and expenses of Lead Plaintiff Member Marc Verheyen should be granted.</w:t>
        <w:br/>
        <w:br/>
        <w:t>If you purchased or otherwise acquired Hemispherx common stock trading under ticker symbol HEB during the Class Period, your rights may be affected by this Action and the Settlement thereof. If you have not received the detailed Notice of Pendency of Class Action and Proposed Settlement, Settlement Fairness Hearing, and Motion for Award of Attorneys' Fees and Reimbursement of Litigation Expenses (the "Notice") and Proof of Claim and Release Form, you may obtain them free of charge by contacting the Claims Administrator, by mail at: Hemispherx Securities Settlement Administrator, PO Box 30172 College Station, TX 77842-3172; by telephone at 866-374-7219; by e-mail at Info@HemispherxSettlement.com; or by visiting the website at: www.HemispherxSettlement.com.</w:t>
        <w:br/>
        <w:br/>
        <w:t>If you are a member of the Class and wish to share in the Settlement money, you must submit a Proof of Claim no later than August 21, 2015 establishing that you are entitled to recovery. As further described in the Notice, you will be bound by any judgment entered in the Action, regardless of whether you submit a Proof of Claim, unless you exclude yourself from the Class, in accordance with the procedures set forth in the Notice, by no later than July 8, 2015. Any objections to the Settlement, Plan of Allocation or attorney's fees and expenses must be filed, in accordance with the procedures set forth in the Notice, no later than July 8, 2015.</w:t>
        <w:br/>
        <w:br/>
        <w:t>Inquiries, other than requests for the Notice, may be made to Lead Counsel for the Class: Joshua B. Silverman, Pomerantz LLP, 10 South La Salle Street, Ste. 3505, Chicago, IL 60603, Telephone: 312-377-1181</w:t>
        <w:br/>
        <w:br/>
        <w:t>INQUIRIES SHOULD NOT BE DIRECTED TO THE COURT, THE</w:t>
        <w:br/>
        <w:br/>
        <w:t>CLERK'S OFFICE, THE DEFENDANTS, OR DEFENDANTS' COUNSEL</w:t>
        <w:br/>
        <w:br/>
        <w:t>DATED: May 7, 2015 BY ORDER OF THE UNITED STATES</w:t>
        <w:br/>
        <w:br/>
        <w:t>DISTRICT COURT FOR THE EASTERN</w:t>
        <w:br/>
        <w:br/>
        <w:t>DISTRICT OF PENNSYVLIANIA</w:t>
        <w:br/>
        <w:br/>
        <w:t>The Pomerantz Firm, with offices in New York, Chicago, Florida, and Los Angeles, is acknowledged as one of the premier firms in the areas of corporate, securities, and antitrust class litigation. Founded by the late Abraham L. Pomerantz, known as the dean of the class action bar, the Pomerantz Firm pioneered the field of securities class actions. Today, more than 70 years later, the Pomerantz Firm continues in the tradition he established, fighting for the rights of the victims of securities fraud, breaches of fiduciary duty, and corporate misconduct. The Firm has recovered numerous multimillion-dollar damages awards on behalf of class members. See www.pomerantzlaw.com.</w:t>
        <w:br/>
        <w:br/>
        <w:br/>
        <w:t xml:space="preserve">Robert S. Willoughby </w:t>
        <w:br/>
        <w:t xml:space="preserve">Pomerantz LLP </w:t>
        <w:br/>
        <w:t xml:space="preserve">rswilloughby@pomlaw.com </w:t>
      </w:r>
    </w:p>
    <w:p>
      <w:pPr>
        <w:pStyle w:val="Heading1"/>
      </w:pPr>
      <w:r>
        <w:t>End of Article 4</w:t>
      </w:r>
    </w:p>
    <w:p>
      <w:r>
        <w:br w:type="page"/>
      </w:r>
    </w:p>
    <w:p>
      <w:pPr>
        <w:pStyle w:val="Heading1"/>
      </w:pPr>
      <w:r>
        <w:t>Start of Article 5</w:t>
      </w:r>
    </w:p>
    <w:p>
      <w:pPr>
        <w:pStyle w:val="Heading1"/>
      </w:pPr>
      <w:r>
        <w:t>Document ID INDFED0020150805eb850020a</w:t>
      </w:r>
    </w:p>
    <w:p>
      <w:r>
        <w:t>ZELTIQ Aesthetics Inc. is a medical technology company. It is focused on developing and commercializing products utilizing its controlled-cooling technology platform. Its commercial product, the CoolSculpting System, is designed to reduce stubborn fat bulges.</w:t>
      </w:r>
    </w:p>
    <w:p>
      <w:pPr>
        <w:pStyle w:val="Heading1"/>
      </w:pPr>
      <w:r>
        <w:t>End of Article 5</w:t>
      </w:r>
    </w:p>
    <w:p>
      <w:r>
        <w:br w:type="page"/>
      </w:r>
    </w:p>
    <w:p>
      <w:pPr>
        <w:pStyle w:val="Heading1"/>
      </w:pPr>
      <w:r>
        <w:t>Start of Article 6</w:t>
      </w:r>
    </w:p>
    <w:p>
      <w:pPr>
        <w:pStyle w:val="Heading1"/>
      </w:pPr>
      <w:r>
        <w:t>Document ID ALRAQNEG20151001eb9u0002u</w:t>
      </w:r>
    </w:p>
    <w:p>
      <w:r>
        <w:t>The company said it was "evaluating several marketing partners for commercialisation. However SPARC has now received a CRL (complete response letter) from the USFDA rescinding its earlier approval, citing that the compliance status of the manufacturing facility was not acceptable on the date of approval."</w:t>
      </w:r>
    </w:p>
    <w:p>
      <w:pPr>
        <w:pStyle w:val="Heading1"/>
      </w:pPr>
      <w:r>
        <w:t>End of Article 6</w:t>
      </w:r>
    </w:p>
    <w:p>
      <w:r>
        <w:br w:type="page"/>
      </w:r>
    </w:p>
    <w:p>
      <w:pPr>
        <w:pStyle w:val="Heading1"/>
      </w:pPr>
      <w:r>
        <w:t>Start of Article 7</w:t>
      </w:r>
    </w:p>
    <w:p>
      <w:pPr>
        <w:pStyle w:val="Heading1"/>
      </w:pPr>
      <w:r>
        <w:t>Document ID ATPHAM0020150902eb910008k</w:t>
      </w:r>
    </w:p>
    <w:p>
      <w:r>
        <w:t>* This conference will be held on Wednesday, September 9th at the Four Seasons Hotel in Boston, Massachusetts. The Conference will feature more than 60 companies in the biotech, biopharma, managed care, pharmaceutical and clinical lab sectors.</w:t>
        <w:br/>
        <w:br/>
        <w:t>* Rodman &amp; Renshaw 17th Annual Global Investment Conference</w:t>
        <w:br/>
        <w:br/>
        <w:t>* CytRx will present its corporate overview on Thursday, September 10th at 11:40 AM in the St. Regis Hotel in New York. More than 300 companies will be participating in specialized tracks devoted to Biotechnology / Healthcare, Metals &amp; Mining, Technology, Cleantech, and Growth.</w:t>
        <w:br/>
        <w:br/>
        <w:t>* A live and archived webcast of the presentation will be available on the Company's website at http://www.cytrx.com/investors/presentations</w:t>
        <w:br/>
        <w:br/>
        <w:t>Source: CytRx</w:t>
      </w:r>
    </w:p>
    <w:p>
      <w:pPr>
        <w:pStyle w:val="Heading1"/>
      </w:pPr>
      <w:r>
        <w:t>End of Article 7</w:t>
      </w:r>
    </w:p>
    <w:p>
      <w:r>
        <w:br w:type="page"/>
      </w:r>
    </w:p>
    <w:p>
      <w:pPr>
        <w:pStyle w:val="Heading1"/>
      </w:pPr>
      <w:r>
        <w:t>Start of Article 8</w:t>
      </w:r>
    </w:p>
    <w:p>
      <w:pPr>
        <w:pStyle w:val="Heading1"/>
      </w:pPr>
      <w:r>
        <w:t>Document ID BWR0000020151030ebau0000k</w:t>
      </w:r>
    </w:p>
    <w:p>
      <w:r>
        <w:t>Sosei Group Corporation (TOKYO:4565) confirms today that the US Food and Drug Administration (FDA) has approved the new Novartis dual combination bronchodilator Utibron(TM) Neohaler(R) (indacaterol 27.5 mcg/glycopyrrolate 15.6 mcg) inhalation powder for the long-term maintenance treatment of airflow obstruction in patients with chronic obstructive pulmonary disease (COPD), including chronic bronchitis and/or emphysema. The FDA also approved Seebri(TM) Neohaler(R) (glycopyrrolate) inhalation powder 15.6 mcg -- which is one component of Utibron Neohaler -- as a stand-alone monotherapy for COPD. Sosei is eligible to receive milestone payments of 22.5 million dollars for approval of both products.</w:t>
        <w:br/>
        <w:br/>
        <w:t>COPD is a progressive and life-threatening lung disease that makes it difficult to breathe(1) . Nearly 27 million people in the US are affected by COPD(2) , which ranks as the third leading cause of death in the US(3,4) and is a major cause of serious long-term disability(5) .</w:t>
        <w:br/>
        <w:br/>
        <w:t>Utibron Neohaler and Seebri Neohaler are expected to become available in the first quarter of 2016.</w:t>
        <w:br/>
        <w:br/>
        <w:t>The FDA's decision to approve Utibron Neohaler is based on results of the phase III EXPEDITION trial program, which included 2,654 patients with COPD and consisted of two 12-week efficacy studies (FLIGHT 1 &amp; 2) and one 52-week safety study (FLIGHT 3)(6) .</w:t>
        <w:br/>
        <w:br/>
        <w:t>In the efficacy studies, Utibron Neohaler demonstrated superior and sustained improvements in lung function (FEV(1) AUC(0-12) )(6) at week 12, compared to its individual bronchodilator components (indacaterol 27.5 mcg and glycopyrrolate 15.6 mcg) as well as placebo, all dosed twice-daily(6) . Improvements in lung function were seen compared to placebo at 5 minutes after the first dose and sustained through the 12 hour dosing interval(6) .</w:t>
        <w:br/>
        <w:br/>
        <w:t>Utibron Neohaler also showed clinically meaningful improvements in health-related quality of life and reduced use of rescue medication compared to placebo(6) . Health status was assessed using the St. George's Respiratory Questionnaire (SGRQ)(6) total score, which is a composite of symptoms, activities and impact on daily living.</w:t>
        <w:br/>
        <w:br/>
        <w:t>Long-acting beta(2) -adrenergic agonists, such as indacaterol, one of the active ingredients in Utibron Neohaler, increase the risk of asthma-related death. Utibron Neohaler is not indicated for asthma and should not be initiated in acutely deteriorating COPD patients or for the relief of acute symptoms. The most common adverse reactions seen in the efficacy studies (incidence greater than or equal to 1% and higher than placebo) were sore throat, runny nose, high blood pressure and back pain(6) . Adverse reactions reported in the long-term safety trial were generally consistent with those observed in the 12-week studies(6) .</w:t>
        <w:br/>
        <w:br/>
        <w:t>Utibron and Seebri are delivered via the low resistance Neohaler inhaler, which makes it suitable for patients with different severities of airflow limitation.</w:t>
        <w:br/>
        <w:br/>
        <w:t>About Utibron Neohaler</w:t>
        <w:br/>
        <w:br/>
        <w:t>Utibron Neohaler, previously known as QVA149, is a twice-daily fixed-dose combination of the long-acting beta(2) -adrenergic agonist (LABA) indacaterol 27.5 mcg and glycopyrrolate 15.6 mcg, a long-acting muscarinic antagonist (LAMA) approved in the US for the long-term maintenance treatment of airflow obstruction in patients with COPD, including chronic bronchitis and/or emphysema. Glycopyrrolate 15.6 mcg is the active ingredient of Seebri Neohaler. Utibron Neohaler is not indicated to treat asthma or for the relief of sudden symptoms of COPD.</w:t>
        <w:br/>
        <w:br/>
        <w:t>About Seebri Neohaler</w:t>
        <w:br/>
        <w:br/>
        <w:t>Seebri Neohaler, previously known as NVA237, is a twice-daily long-acting muscarinic antagonist (LAMA) approved in the US for the long-term maintenance treatment of airflow obstruction in patients with COPD, including chronic bronchitis and/or emphysema. Glycopyrrolate (also known as glycopyrronium bromide) was exclusively licensed to Novartis in April 2005 by Sosei and its co-development partner Vectura.</w:t>
        <w:br/>
        <w:br/>
        <w:t>UTIBRON and SEEBRI are trademarks of Novartis AG. NEOHALER is a registered trademark of Novartis AG.</w:t>
        <w:br/>
        <w:br/>
        <w:t>References</w:t>
        <w:br/>
        <w:br/>
        <w:br/>
        <w:t xml:space="preserve">   1. Global Initiative for Chronic Obstructive Lung Disease (GOLD). Global </w:t>
        <w:br/>
        <w:t xml:space="preserve">      strategy for the diagnosis, management, and prevention of chronic </w:t>
        <w:br/>
        <w:t xml:space="preserve">      obstructive pulmonary disease. Updated 2015. Available at </w:t>
        <w:br/>
        <w:t xml:space="preserve">      http://www.goldcopd.org/uploads/users/files/GOLD_Report_2015_Feb18.pdf. </w:t>
        <w:br/>
        <w:t xml:space="preserve">      Accessed August 11, 2015. </w:t>
        <w:br/>
        <w:t xml:space="preserve"> </w:t>
        <w:br/>
        <w:t xml:space="preserve">   2. National Heart, Lung, and Blood Institute. Morbidity &amp; Mortality: 2012 </w:t>
        <w:br/>
        <w:t xml:space="preserve">      Chart Book on Cardiovascular, Lung, and Blood Diseases. Bethesda, </w:t>
        <w:br/>
        <w:t xml:space="preserve">      Maryland: U.S. Department of Health and Human Services, NIH, NHLBI. </w:t>
        <w:br/>
        <w:t xml:space="preserve">      February 2012. </w:t>
        <w:br/>
        <w:t xml:space="preserve"> </w:t>
        <w:br/>
        <w:t xml:space="preserve">   3. Centers for Disease Control and Prevention. Chronic Obstructive Pulmonary </w:t>
        <w:br/>
        <w:t xml:space="preserve">      Disease. Page last updated: March 12, 2015. </w:t>
        <w:br/>
        <w:t xml:space="preserve">      http://www.cdc.gov/copd/index.html. Accessed August 27, 2015. </w:t>
        <w:br/>
        <w:t xml:space="preserve"> </w:t>
        <w:br/>
        <w:t xml:space="preserve">   4. Hoyert DL, Xu JQ. Deaths: preliminary data for 2011. Natl Vital Stat Rep. </w:t>
        <w:br/>
        <w:t xml:space="preserve">      2012;61(6):1-65. Hyattsville, MD: National Center for Health </w:t>
        <w:br/>
        <w:t xml:space="preserve">      Statistics.2012. </w:t>
        <w:br/>
        <w:t xml:space="preserve"> </w:t>
        <w:br/>
        <w:t xml:space="preserve">   5. Sin DD, Stafinski T, NG YC, Bell NR, Jacobs P. The impact of chronic </w:t>
        <w:br/>
        <w:t xml:space="preserve">      obstructive pulmonary disease on work loss in the United States. Am J </w:t>
        <w:br/>
        <w:t xml:space="preserve">      RespirCrit Care Med. 2002; 165: 704-707. </w:t>
        <w:br/>
        <w:t xml:space="preserve"> </w:t>
        <w:br/>
        <w:t xml:space="preserve">   6. Utibron(TM) Neohaler(R) (indacaterol and glycopyrrolate) inhalation </w:t>
        <w:br/>
        <w:t xml:space="preserve">      powder. East Hanover, NJ: Novartis Pharmaceuticals Corporation, October </w:t>
        <w:br/>
        <w:t xml:space="preserve">      2015. </w:t>
        <w:br/>
        <w:br/>
        <w:t>About Sosei</w:t>
        <w:br/>
        <w:br/>
        <w:t>Sosei Group Corporation is an international biopharmaceutical company originating from Japan that discovers and develops innovative biopharmaceuticals for the treatment of Alzheimer's disease, schizophrenia, cancer, migraine, addiction, metabolic disease, and other indications. By utilizing its platform technologies - GPCR structure-based drug design platform technology, peptide platform technologies and nanotechnology - Sosei have established a product pipeline with first/best in class potential.</w:t>
        <w:br/>
        <w:br/>
        <w:t>Through development and commercialization partnerships Sosei have already delivered three medicines to the market (two COPD bronchodilators and an emergency contraceptive), which generate significant and stable revenue streams that enable further growth. Sosei partners include Novartis, AstraZeneca, MedImmune, Cubist, MorphoSys, Takeda and we are actively looking for new partnerships to enhance the development of our products and help us deliver them to patients worldwide.</w:t>
        <w:br/>
        <w:br/>
        <w:t>For further information about Sosei, please visit http://www.sosei.com/en.</w:t>
        <w:br/>
        <w:br/>
        <w:t>Forward-looking statements</w:t>
        <w:br/>
        <w:br/>
        <w:t>This press release contains forward-looking statements, including statements about the discovery, development and commercialisation of products. Various risks may cause Sosei's actual results to differ materially from those expressed or implied by the forward-looking statements, including: adverse results in clinical development programmes; failure to obtain patent protection for inventions; commercial limitations imposed by patents owned or controlled by third parties; dependence upon strategic alliance partners to develop and commercialise products and services; difficulties or delays in obtaining regulatory approvals to market products and services resulting from development efforts; the requirement for substantial funding to conduct research and development and to expand commercialisation activities; and product initiatives by competitors. As a result of these factors, prospective investors are cautioned not to rely on any forward-looking statements. We disclaim any intention or obligation to update or revise any forward-looking statements, whether as a result of new information, future events or otherwise.</w:t>
        <w:br/>
        <w:br/>
        <w:t>View source version on businesswire.com: http://www.businesswire.com/news/home/20151029006934/en/</w:t>
      </w:r>
    </w:p>
    <w:p>
      <w:pPr>
        <w:pStyle w:val="Heading1"/>
      </w:pPr>
      <w:r>
        <w:t>End of Article 8</w:t>
      </w:r>
    </w:p>
    <w:p>
      <w:r>
        <w:br w:type="page"/>
      </w:r>
    </w:p>
    <w:p>
      <w:pPr>
        <w:pStyle w:val="Heading1"/>
      </w:pPr>
      <w:r>
        <w:t>Start of Article 9</w:t>
      </w:r>
    </w:p>
    <w:p>
      <w:pPr>
        <w:pStyle w:val="Heading1"/>
      </w:pPr>
      <w:r>
        <w:t>Document ID BIWK000020150612eb6h00021</w:t>
      </w:r>
    </w:p>
    <w:p>
      <w:r>
        <w:t>Our news editors obtained a quote from the research from Purdue University, "The ultimate goal of drug delivery research is to develop clinically useful formulations to treat various diseases. Effective drug delivery systems can be developed by overcoming formulation barriers and/or biological barriers. The engineering approach has a limit in solving the problem, if biological difficulties are not clearly identified and understood. The third generation (3G) drug delivery systems will have to focus on understanding the biological barriers so that they can be overcome by engineering manipulation of the drug delivery systems. Advances in the next 30 years will be most accelerated by starting open dialogues without any preconceived ideas on drug delivery technologies."</w:t>
        <w:br/>
        <w:br/>
        <w:t>According to the news editors, the research concluded: "The new generation of drug delivery scientists needs to be aware of the successes and limitations of the existing technologies to design the new technologies for meaningful advances in the future."</w:t>
        <w:br/>
        <w:br/>
        <w:t>For more information on this research see: Controlled drug delivery systems: the next 30 years. Frontiers of Chemical Science and Engineering, 2014;8(3):276-279. Frontiers of Chemical Science and Engineering can be contacted at: Higher Education Press, Shatanhou St 55, Beijing 100009, Peoples R China. (Springer - www.springer.com; Frontiers of Chemical Science and Engineering - www.springerlink.com/content/2095-0179/)</w:t>
        <w:br/>
        <w:br/>
        <w:t>The news editors report that additional information may be obtained by contacting Y. Yun, Purdue University, Dept. of Biomed Engn &amp; Pharmaceut, West Lafayette, IN 47907, United States. Additional authors for this research include B.K. Lee and K. Park.</w:t>
        <w:br/>
        <w:br/>
        <w:t>Keywords for this news article include: Indiana, Technology, Engineering, United States, West Lafayette, Drugs and Therapies, Drug Delivery Systems, North and Central America</w:t>
        <w:br/>
        <w:br/>
        <w:t>Our reports deliver fact-based news of research and discoveries from around the world. Copyright 2015, NewsRx LLC</w:t>
      </w:r>
    </w:p>
    <w:p>
      <w:pPr>
        <w:pStyle w:val="Heading1"/>
      </w:pPr>
      <w:r>
        <w:t>End of Article 9</w:t>
      </w:r>
    </w:p>
    <w:p>
      <w:r>
        <w:br w:type="page"/>
      </w:r>
    </w:p>
    <w:p>
      <w:pPr>
        <w:pStyle w:val="Heading1"/>
      </w:pPr>
      <w:r>
        <w:t>Start of Article 10</w:t>
      </w:r>
    </w:p>
    <w:p>
      <w:pPr>
        <w:pStyle w:val="Heading1"/>
      </w:pPr>
      <w:r>
        <w:t>Document ID PHBW000020150709eb790000o</w:t>
      </w:r>
    </w:p>
    <w:p>
      <w:r>
        <w:t>The company has also chosen a new corporate colour - Purple, which is associated with creativity and wisdom. Overall, the new identity speaks of Dr. Reddy's constant endeavour to understand the unmet and under-met needs of patients, and the swift action to solve them.</w:t>
        <w:br/>
        <w:br/>
        <w:t>The objective of the rebranding exercise is to derive a unifying, patient-centric approach, to meet new and daunting challenges that patients are facing. With the healthcare scenario changing rapidly, it is important to be driven by a common goal that adds value to every touch-point for patients and partners alike.</w:t>
        <w:br/>
        <w:br/>
        <w:t>The re-branding will be executed in two stages. In the first phase, the corporate brand has transitioned to the new identity. Phase two will see the new identity transitioning on to the company's product packaging.</w:t>
        <w:br/>
        <w:br/>
        <w:t>The existing logo and brand identity will remain in place and valid until changes that are pertinent to legal processes, documentation and other regulatory or statutory changes are complete.</w:t>
        <w:br/>
        <w:br/>
        <w:t>Commenting on the launch, Satish Reddy, Chairman - Dr. Reddy's Laboratories said, "Over 31 years, Dr. Reddy's has grown from a manufacturer of APIs into a multinational pharmaceutical brand of repute, with operations in over 25 countries. Throughout this journey, we have remained true to our core values, even as we continually transform to keep pace with the changing needs of our patients and partners. Our belief 'Good Health Can't Wait' lends new meaning to our core purpose of accelerating access to affordable and innovative medicines."</w:t>
        <w:br/>
        <w:br/>
        <w:t>G V Prasad, Co Chairman and CEO - Dr. Reddy's Laboratories stated, "Our goal has always been singular: to ensure expensive medicines are within the reach of patients. Our focus has always been the patient. While we have expanded over the years, our purpose has remained unchanged: to bring high quality medicines within the reach of all. Today, we wish to re-dedicate ourselves to that purpose because we believe that for every human being, good health is always the first priority. In simple terms: 'Good Health Can't Wait.'</w:t>
        <w:br/>
        <w:br/>
        <w:t>Keywords for this news article include: Dr. Reddy's Laboratories.</w:t>
        <w:br/>
        <w:br/>
        <w:t>Our reports deliver fact-based news of research and discoveries from around the world. Copyright 2015, NewsRx LLC</w:t>
      </w:r>
    </w:p>
    <w:p>
      <w:pPr>
        <w:pStyle w:val="Heading1"/>
      </w:pPr>
      <w:r>
        <w:t>End of Article 10</w:t>
      </w:r>
    </w:p>
    <w:p>
      <w:r>
        <w:br w:type="page"/>
      </w:r>
    </w:p>
    <w:p>
      <w:pPr>
        <w:pStyle w:val="Heading1"/>
      </w:pPr>
      <w:r>
        <w:t>Start of Article 11</w:t>
      </w:r>
    </w:p>
    <w:p>
      <w:pPr>
        <w:pStyle w:val="Heading1"/>
      </w:pPr>
      <w:r>
        <w:t>Document ID WSJO000020151216ebcg000p3</w:t>
      </w:r>
    </w:p>
    <w:p>
      <w:r>
        <w:t>Federal officials had long been expecting a surge of applications around a heavily promoted Dec. 15 deadline to have coverage effective Jan. 1. The new sign-up season had started Nov. 1, but as in previous years, most activity has been clustered in the final days.</w:t>
        <w:br/>
        <w:br/>
        <w:t>The Obama administration said Tuesday evening that the past few days have been the busiest ever on the site and customer support call center, which serve about three dozen states that were unable or unwilling to operate their own. The extension means the sign-up period now ends at 11:59 p.m. Pacific Time on Dec. 17.</w:t>
        <w:br/>
        <w:br/>
        <w:t>The federal site underwent a substantial overhaul after a rough launch in the fall of 2013 and performed significantly better last fall. It also appeared to hold up this year at busy moments, when it was able to handle more than 150,000 simultaneous users, but the federal government also deployed ‘waiting rooms' for numbers beyond that point at certain times, or asked customers to leave their contact information and hold a place in line.</w:t>
        <w:br/>
        <w:br/>
        <w:t>“Because of the unprecedented demand and volume of consumers contacting our call center of visiting HealthCare.gov, we are extending the deadline," said Kevin Counihan, the Obama administration's official in charge of HealthCare.gov. “Our goal is to provide access to affordable coverage and the additional 48 hours will give consumers an opportunity to come back and complete their enrollment for January 1 coverage."</w:t>
        <w:br/>
        <w:br/>
        <w:t>People who want coverage that starts later in 2016 will be able to sign up any time before Jan. 31. The federal government has said that unlike in previous years, it won't offer a broad extension of that deadline to coincide with tax-filing deadlines.</w:t>
        <w:br/>
        <w:br/>
        <w:t>Write to Louise Radnofsky at louise.radnofsky@wsj.com</w:t>
      </w:r>
    </w:p>
    <w:p>
      <w:pPr>
        <w:pStyle w:val="Heading1"/>
      </w:pPr>
      <w:r>
        <w:t>End of Article 11</w:t>
      </w:r>
    </w:p>
    <w:p>
      <w:r>
        <w:br w:type="page"/>
      </w:r>
    </w:p>
    <w:p>
      <w:pPr>
        <w:pStyle w:val="Heading1"/>
      </w:pPr>
      <w:r>
        <w:t>Start of Article 12</w:t>
      </w:r>
    </w:p>
    <w:p>
      <w:pPr>
        <w:pStyle w:val="Heading1"/>
      </w:pPr>
      <w:r>
        <w:t>Document ID ATPHAM0020150115eb1c0008g</w:t>
      </w:r>
    </w:p>
    <w:p>
      <w:r>
        <w:t>Second quarter of fiscal year 2015 revenue is expected to be approximately $3.1 million, up approximately 2% sequentially from the first quarter of fiscal year 2015. The second quarter revenue was down approximately 19% compared to the second quarter of the prior fiscal year, which was the last full quarter of operations before the Company restructured its sales and operations in the second half of fiscal year 2014.</w:t>
        <w:br/>
        <w:br/>
        <w:t>As of December 31, 2014, the Company's preliminary total cash balance was approximately $570,000, which includes $40,000 of restricted cash. The total cash balance is an increase of approximately $25,000 from September 30, 2014.</w:t>
        <w:br/>
        <w:br/>
        <w:t>"We are pleased with our preliminary revenue and cash results for the second quarter. We now have two quarters of post-restructuring operations behind us that indicate we are on track with the primary objective of our plan to stabilize revenue with our new distribution model and become operationally cash flow positive," stated Greg Fluet, CEO.</w:t>
        <w:br/>
        <w:br/>
        <w:t>During the quarter ended December 31, 2014 and subsequently since that date, Urologix did not make any payments towards any of the amounts due and unpaid to Medtronic. Regarding the amounts due and unpaid to Medtronic, Urologix and Medtronic both share a sincere commitment to patients and urologists. Urologix recognizes Medtronic's continuing rights under the agreements, and is working collaboratively with Medtronic and their observer on the Company's Board of Directors in an effort to build the business.</w:t>
        <w:br/>
        <w:br/>
        <w:t>The preliminary unaudited results for the second quarter of fiscal year 2015 are subject to the Company's management and independent auditors' customary review procedures. The Company intends to issue a press release reporting final results of operations for the quarter ending December 31, 2014 after the market close on February 5, 2015, with its conference call scheduled for 4:00 p.m. CST that day.</w:t>
        <w:br/>
        <w:br/>
        <w:t>Earnings Call Information</w:t>
        <w:br/>
        <w:br/>
        <w:t>To listen to the call, please dial 1-866-515-2910 and enter the Participant Passcode 37953871 at least 10 minutes prior to the call. A live webcast of the call will be available through the investor relations section of the Company's website at (www.urologix.com) and available for replay approximately two hours after the completion of the call.</w:t>
        <w:br/>
        <w:br/>
        <w:t>Source: Urologix, Inc.</w:t>
      </w:r>
    </w:p>
    <w:p>
      <w:pPr>
        <w:pStyle w:val="Heading1"/>
      </w:pPr>
      <w:r>
        <w:t>End of Article 12</w:t>
      </w:r>
    </w:p>
    <w:p>
      <w:r>
        <w:br w:type="page"/>
      </w:r>
    </w:p>
    <w:p>
      <w:pPr>
        <w:pStyle w:val="Heading1"/>
      </w:pPr>
      <w:r>
        <w:t>Start of Article 13</w:t>
      </w:r>
    </w:p>
    <w:p>
      <w:pPr>
        <w:pStyle w:val="Heading1"/>
      </w:pPr>
      <w:r>
        <w:t>Document ID DRIDY00020150623eb6n00002</w:t>
      </w:r>
    </w:p>
    <w:p>
      <w:r>
        <w:t>Fycompa was approved as an adjunctive treatment for partial-onset seizures in October 2012, but did not launch until January 2014. Eisai subsequently sued the FDA, claiming the government arbitrarily shortened its five-year exclusivity from generics competition.</w:t>
        <w:br/>
        <w:br/>
        <w:t>In a complaint filed in August 2014, Eisai argues that Fycompa's release was delayed because it needed to be scheduled by the Drug Enforcement Administration under the Controlled Substances Act, due to the potential for abuse (DID, Aug. 12, 2014).</w:t>
        <w:br/>
        <w:br/>
        <w:t>Eisai says the exclusivity clock started while the company was waiting for the drugs to be scheduled, when it would have been illegal to market them, and that that constitutes a violation of the guaranteed exclusivity. The firm filed a request June 16 in U.S. District Court for the District of Columbia for a status conference to resolve the matter. -- John Bechtel</w:t>
        <w:br/>
        <w:br/>
        <w:t>Release date: 20150623</w:t>
      </w:r>
    </w:p>
    <w:p>
      <w:pPr>
        <w:pStyle w:val="Heading1"/>
      </w:pPr>
      <w:r>
        <w:t>End of Article 13</w:t>
      </w:r>
    </w:p>
    <w:p>
      <w:r>
        <w:br w:type="page"/>
      </w:r>
    </w:p>
    <w:p>
      <w:pPr>
        <w:pStyle w:val="Heading1"/>
      </w:pPr>
      <w:r>
        <w:t>Start of Article 14</w:t>
      </w:r>
    </w:p>
    <w:p>
      <w:pPr>
        <w:pStyle w:val="Heading1"/>
      </w:pPr>
      <w:r>
        <w:t>Document ID PZON000020151103ebb300021</w:t>
      </w:r>
    </w:p>
    <w:p>
      <w:r>
        <w:t>The study expands enrollment compared to the previous Phase 3 studies of OTIPRIO to include patients undergoing common concurrent surgeries, including adenoidectomy and nasal endoscopy. Additionally, patients without bilateral middle ear effusion on the day of surgery will be included in the study. The observation period will be extended to two months post-surgery, and a questionnaire will be administered to assess caregiver burden for those patients who require treatment with antibiotic ear drops.</w:t>
        <w:br/>
        <w:br/>
        <w:t>"This study will provide important information regarding the types of patients undergoing tympanostomy tube placement surgery that could potentially benefit from treatment with OTIPRIO administered as a single dose in each ear by the physician during surgery," said David A. Weber, Ph.D., president and CEO of Otonomy. "This is also the first study to evaluate caregiver burden associated with multi-dose, multi-day antibiotic ear drops which will be assessed in a subset of study patients who require ear drop administration."</w:t>
        <w:br/>
        <w:br/>
        <w:t>The two-month, prospective, multicenter, open-label Phase 3b clinical trial is expected to enroll approximately 500 patients, ages 6 months to 17 years old, in the United States. The clinical effect of OTIPRIO will be measured through assessment of the presence of otorrhea, or drainage from the tube. Safety will be assessed through adverse event reporting and otoscopic examinations. Patients will receive a single administration of OTIPRIO in each ear during surgery.</w:t>
        <w:br/>
        <w:br/>
        <w:t>About OTIPRIO(TM)</w:t>
        <w:br/>
        <w:br/>
        <w:t>OTIPRIO(TM) is a sustained-exposure formulation of the antibiotic ciprofloxacin in development for the treatment of middle ear effusion in pediatric patients undergoing tympanostomy tube placement (TTP) surgery. OTIPRIO has been formulated to provide sustained-exposure of ciprofloxacin so that a single administration provides a full course of treatment. There are approximately one million TTP surgeries performed each year in the United States, and antibiotic ear drops are used in nearly all cases. Despite their routine use, no antibiotic ear drop has received FDA approval for this indication. Moreover, current ear drop products require multi-dose, multi-day regimens for efficacy. Full compliance with these regimens can be challenging, and missed antibiotic doses can compromise efficacy and increase the potential for bacterial resistance.</w:t>
        <w:br/>
        <w:br/>
        <w:t>The U.S. Food and Drug Administration (FDA) has assigned a PDUFA action date of December 25, 2015 for the company's New Drug Application (NDA) for OTIPRIO for the treatment of middle ear effusion in pediatric patients undergoing TTP surgery. If approved within the standard review period, Otonomy anticipates a commercial launch for OTIPRIO in the United States in the first quarter of 2016. OTIPRIO is also being evaluated for two potential label expansion indications: a Phase 2 feasibility trial has been completed in pediatric patients with acute otitis media with tympanostomy tubes (AOMT), and a Phase 2 feasibility trial is ongoing for patients with otitis externa (swimmer's ear).</w:t>
        <w:br/>
        <w:br/>
        <w:t>About Otonomy</w:t>
        <w:br/>
        <w:br/>
        <w:t>Otonomy is a clinical-stage biopharmaceutical company focused on the development and commercialization of innovative therapeutics for diseases and disorders of the ear. Otonomy's proprietary technology provides sustained exposure of drugs to the ear following a single administration. Otonomy has three product candidates in development. OTIPRIO(TM) is an antibiotic that has completed Phase 3 clinical trials in pediatric patients with middle ear effusion at the time of tympanostomy tube placement surgery, and the FDA has assigned a PDUFA action date of December 25, 2015 for Otonomy's New Drug Application. OTO-104 is a steroid that has completed a Phase 2b clinical trial in 154 patients with Ménière's disease. Based on these results, Otonomy intends to initiate two parallel Phase 3 trials for OTO-104 in Ménière's disease patients with at least one trial initiated by the end of 2015. OTO-311 is an NMDA receptor antagonist in development as a treatment for tinnitus. A Phase 1 clinical safety trial for OTO-311 is expected to begin before the end of 2015. For additional information please visit www.otonomy.com.</w:t>
        <w:br/>
        <w:br/>
        <w:t>Cautionary Note Regarding Forward Looking Statements</w:t>
        <w:br/>
        <w:br/>
        <w:t>This press release contains forward-looking statements within the meaning of the Private Securities Litigation Reform Act of 1995. Forward-looking statements generally relate to future events or future financial or operating performance of Otonomy. Forward-looking statements in this press release include, but are not limited to, Otonomy's expectations regarding the timing of commercial launch, the timing regarding the Phase 3 clinical trials for OTO-104, and the timing of the initiation of the Phase 1 clinical trial for OTO-311. Otonomy's expectations regarding these matters may not materialize, and actual results in future periods are subject to risks and uncertainties. Actual results may differ materially from those indicated by these forward-looking statements as a result of these risks and uncertainties, including but not limited to: Otonomy's limited operating history and its expectation that it will incur significant losses for the foreseeable future; Otonomy's ability to obtain substantial additional financing; Otonomy's dependence on the regulatory and commercial success of OTIPRIO and OTO-104 and advancing additional product candidates, such as OTO-311; the uncertainties inherent in the clinical drug development process, including, without limitation, Otonomy's ability to adequately demonstrate the safety and efficacy of its product candidates, the preclinical and clinical results for its product candidates, which may not support further development of product candidates, and challenges related to patient enrollment in clinical trials; Otonomy's ability to obtain regulatory approval for its product candidates; side effects or adverse events associated with Otonomy's product candidates; competition in the biopharmaceutical industry; Otonomy's dependence on third parties to conduct preclinical studies and clinical trials; Otonomy's dependence on third parties for the manufacture of products; Otonomy's dependence on a small number of suppliers for raw materials; Otonomy's ability to protect its intellectual property related to product candidates in the United States and throughout the world; expectations regarding potential market size, opportunity and growth; Otonomy's ability to manage operating expenses; implementation of Otonomy's business model and strategic plans for its business, products and technology; and other risks. Information regarding the foregoing and additional risks may be found in the section entitled "Risk Factors" in Otonomy's Quarterly Report on Form 10-Q filed with the Securities and Exchange Commission (the "SEC") on August 12, 2015, and Otonomy's future reports to be filed with the SEC. The forward-looking statements in this press release are based on information available to Otonomy as of the date hereof. Otonomy disclaims any obligation to update any forward-looking statements, except as required by law.</w:t>
        <w:br/>
        <w:br/>
        <w:br/>
        <w:t xml:space="preserve">CONTACT: Media Inquiries </w:t>
        <w:br/>
        <w:t xml:space="preserve">         Canale Communications </w:t>
        <w:br/>
        <w:t xml:space="preserve">         Heidi Chokeir, Ph.D. </w:t>
        <w:br/>
        <w:t xml:space="preserve">         Senior Vice President </w:t>
        <w:br/>
        <w:t xml:space="preserve">         619.849.5377 </w:t>
        <w:br/>
        <w:t xml:space="preserve">         heidi@canalecomm.com </w:t>
        <w:br/>
        <w:t xml:space="preserve"> </w:t>
        <w:br/>
        <w:t xml:space="preserve">         Investor Inquiries </w:t>
        <w:br/>
        <w:t xml:space="preserve">         Westwicke Partners </w:t>
        <w:br/>
        <w:t xml:space="preserve">         Robert H. Uhl </w:t>
        <w:br/>
        <w:t xml:space="preserve">         Managing Director </w:t>
        <w:br/>
        <w:t xml:space="preserve">         858.356.5932 </w:t>
        <w:br/>
        <w:t xml:space="preserve">         robert.uhl@westwicke.com </w:t>
      </w:r>
    </w:p>
    <w:p>
      <w:pPr>
        <w:pStyle w:val="Heading1"/>
      </w:pPr>
      <w:r>
        <w:t>End of Article 14</w:t>
      </w:r>
    </w:p>
    <w:p>
      <w:r>
        <w:br w:type="page"/>
      </w:r>
    </w:p>
    <w:p>
      <w:pPr>
        <w:pStyle w:val="Heading1"/>
      </w:pPr>
      <w:r>
        <w:t>Start of Article 15</w:t>
      </w:r>
    </w:p>
    <w:p>
      <w:pPr>
        <w:pStyle w:val="Heading1"/>
      </w:pPr>
      <w:r>
        <w:t>Document ID DJDN000020150310eb3a000ok</w:t>
      </w:r>
    </w:p>
    <w:p>
      <w:r>
        <w:t>FARNBOROUGH, Hampshire, United Kingdom, March 10, 2015 (GLOBE NEWSWIRE) -- Security &amp; Policing 2015 -- American Science and Engineering, Inc. ("AS&amp;E") (Nasdaq:ASEI), a leading worldwide supplier of innovative X-ray detection solutions, today announced the United Kingdom (UK) debut of MINI Z(TM), the world's first handheld Z Backscatter(R) imaging scanner for fast, portable, real-time detection of hidden drugs, explosives, and other organic threats and contraband behind non-metallic surfaces. The MINI Z system enables law enforcement, public safety and other security professionals to determine "on the go" if drugs, explosives or other threats are present in unattended bags, packages, and difficult-to-reach locations such as car interiors and aircraft compartments.</w:t>
        <w:br/>
        <w:br/>
        <w:t>Since its launch in June 2014, the MINI Z system has been named the "Best of What's New" by Popular Science magazine and received the American Society for Industrial Security (ASIS) Accolades Award for Security Innovation. Recent customer demonstrations of the MINI Z system for U.S. public safety agencies have led to actual drug seizures, including a large quantity of well-concealed marijuana valued at more than $150,000 USD.</w:t>
        <w:br/>
        <w:br/>
        <w:t>"As AS&amp;E continues to make inroads into the international public safety market, we are very pleased to work together with our new channel partner, Scanna, to introduce the MINI Z to security and police agencies in the UK," said Chuck Dougherty, AS&amp;E's President and CEO. "The MINI Z, like our ZBV(R) mobile inspection system, is a highly effective, easy-to-use, detection solution that is ideal for detecting security threats wherever and whenever they occur. Using the MINI Z, we are confident that customers in the UK -- and elsewhere in the world -- will achieve the same, immediate results that U.S. public safety agencies have experienced using the system."</w:t>
        <w:br/>
        <w:br/>
        <w:t>AS&amp;E and Scanna will conduct demos at booth #C96 during the Security &amp; Policing Event 2015, held at the FIVE exhibition hall in Farnborough, Hampshire, UK from March 10--12, 2015. Security &amp; Policing is the UK's premier event for police, law enforcement, and security professionals tasked with security, civil protection, and National Resilience. Scanna is a leading supplier of portable X-ray and postal security equipment and AS&amp;E's authorized supplier of MINI Z systems in the UK.</w:t>
        <w:br/>
        <w:br/>
        <w:t xml:space="preserve">The MINI Z system is ideal for security and public safety officials for many different applications, including: </w:t>
        <w:br/>
        <w:br/>
        <w:br/>
        <w:t xml:space="preserve">   -- Border and Security Checkpoints: Inspecting vehicle bumpers, tires, and </w:t>
        <w:br/>
        <w:t xml:space="preserve">      interiors for drugs, explosives, currency and other concealed threats and </w:t>
        <w:br/>
        <w:t xml:space="preserve">      contraband. </w:t>
        <w:br/>
        <w:t xml:space="preserve"> </w:t>
        <w:br/>
        <w:t xml:space="preserve">   -- Drug Interdiction: Screening interiors of vehicles and facilities for </w:t>
        <w:br/>
        <w:t xml:space="preserve">      concealed drugs and currency. </w:t>
        <w:br/>
        <w:t xml:space="preserve"> </w:t>
        <w:br/>
        <w:t xml:space="preserve">   -- Public Safety: Quick screening of unattended and suspicious bags and </w:t>
        <w:br/>
        <w:t xml:space="preserve">      packages in public spaces. </w:t>
        <w:br/>
        <w:t xml:space="preserve"> </w:t>
        <w:br/>
        <w:t xml:space="preserve">   -- Event Security:  Screening small personal items to ensure public safety. </w:t>
        <w:br/>
        <w:t xml:space="preserve"> </w:t>
        <w:br/>
        <w:t xml:space="preserve">   -- VIP Security: Security sweeps of meeting rooms and furniture to ensure </w:t>
        <w:br/>
        <w:t xml:space="preserve">      personnel safety. </w:t>
        <w:br/>
        <w:t xml:space="preserve"> </w:t>
        <w:br/>
        <w:t xml:space="preserve">   -- Maritime Security: Screening the hulls and bulkheads of suspected drug </w:t>
        <w:br/>
        <w:t xml:space="preserve">      running boats for contraband or narcotics. </w:t>
        <w:br/>
        <w:t xml:space="preserve"> </w:t>
        <w:br/>
        <w:t xml:space="preserve">   -- General Aviation Security: Inspecting the seats, compartments, and panels </w:t>
        <w:br/>
        <w:t xml:space="preserve">      of planes for hidden contraband. </w:t>
        <w:br/>
        <w:br/>
        <w:t xml:space="preserve">MINI Z -- the World's First Handheld Z Backscatter(R) Imaging System: </w:t>
        <w:br/>
        <w:br/>
        <w:br/>
        <w:t xml:space="preserve">   -- Scans in places other systems can't reach: The MINI Z system is a compact, </w:t>
        <w:br/>
        <w:t xml:space="preserve">      single-sided imager that can be used to scan objects in hard-to-reach </w:t>
        <w:br/>
        <w:t xml:space="preserve">      areas, such as unattended bags, backpacks, or packages in a subway or bus </w:t>
        <w:br/>
        <w:t xml:space="preserve">      station. </w:t>
        <w:br/>
        <w:t xml:space="preserve"> </w:t>
        <w:br/>
        <w:t xml:space="preserve">   -- Unsurpassed detection of organic threats: The MINI Z handheld system uses </w:t>
        <w:br/>
        <w:t xml:space="preserve">      AS&amp;E's signature Z Backscatter technology, an advanced X-ray imaging </w:t>
        <w:br/>
        <w:t xml:space="preserve">      technology that produces a real-time image of the scan target, </w:t>
        <w:br/>
        <w:t xml:space="preserve">      highlighting organic materials that transmission X-ray systems can miss, </w:t>
        <w:br/>
        <w:t xml:space="preserve">      such as explosives, currency, and drugs. Unlike density meters, trace </w:t>
        <w:br/>
        <w:t xml:space="preserve">      detectors, or portable transmission X-ray systems, the MINI Z system </w:t>
        <w:br/>
        <w:t xml:space="preserve">      produces an easy-to-interpret image to quickly detect organic threats and </w:t>
        <w:br/>
        <w:t xml:space="preserve">      contraband behind non-metallic surfaces. </w:t>
        <w:br/>
        <w:t xml:space="preserve"> </w:t>
        <w:br/>
        <w:t xml:space="preserve">   -- An easy to use, all-in-one imaging system: The MINI Z system is </w:t>
        <w:br/>
        <w:t xml:space="preserve">      self-contained and does not require set-up, enabling immediate operation. </w:t>
        <w:br/>
        <w:t xml:space="preserve">      The operator controls the scanning function using a simple, intuitive GUI </w:t>
        <w:br/>
        <w:t xml:space="preserve">      on the system's dedicated tablet, upon which an image of the scanned </w:t>
        <w:br/>
        <w:t xml:space="preserve">      target appears in real-time. </w:t>
        <w:br/>
        <w:t xml:space="preserve"> </w:t>
        <w:br/>
        <w:t xml:space="preserve">   -- Safe, secure, and dependable operation: The MINI Z system is safe for </w:t>
        <w:br/>
        <w:t xml:space="preserve">      operators, bystanders, and the environment. The system's X-ray dose </w:t>
        <w:br/>
        <w:t xml:space="preserve">      conforms to the appropriate ANSI, ICRP, NCRP, and EURATOM radiation </w:t>
        <w:br/>
        <w:t xml:space="preserve">      safety standards. Although the MINI Z is a low-energy and low-dose Z </w:t>
        <w:br/>
        <w:t xml:space="preserve">      Backscatter system, it is not designed to scan people. The MINI Z system </w:t>
        <w:br/>
        <w:t xml:space="preserve">      must be used in accordance with the manufacturer's instructions, as well </w:t>
        <w:br/>
        <w:t xml:space="preserve">      as applicable laws and regulations. </w:t>
        <w:br/>
        <w:br/>
        <w:t>Experience the MINI Z system at www.meetminiz.com.</w:t>
        <w:br/>
        <w:br/>
        <w:t>About AS&amp;E</w:t>
        <w:br/>
        <w:br/>
        <w:t>American Science and Engineering, Inc. (AS&amp;E) is the trusted global provider of threat and contraband detection solutions for ports, borders, military, critical infrastructure, law enforcement, and aviation. With over 50 years of experience, AS&amp;E offers proven, advanced X-ray inspection systems to combat terrorism, drug smuggling, illegal immigration, and trade fraud. AS&amp;E systems are designed in a variety of configurations for cargo and vehicle inspection, parcel inspection, and personnel screening. Using a combination of technologies, these systems provide superior detection capabilities, with high-energy, dual-energy, and Z Backscatter X-rays -- pioneered by AS&amp;E. Learn more about AS&amp;E products and technologies at www.as-e.com and follow us on Twitter @ase_detects.</w:t>
        <w:br/>
        <w:br/>
        <w:t>About Scanna</w:t>
        <w:br/>
        <w:br/>
        <w:t>Scanna supplies, designs, and manufactures portable X-ray and mail screening equipment for the Defense, Security, Commercial, and Industrial sectors. Based in the UK, with operations in the USA and Middle East, Scanna's client list spans more than 100 countries and includes UK MoD, US DoD and many other NATO forces and federal agencies, plus a wide range of governmental and blue chip commercial organizations.</w:t>
        <w:br/>
        <w:br/>
        <w:t xml:space="preserve">Safe Harbor Statement: The foregoing press release contains statements concerning AS&amp;E's financial performance, markets and business operations that may be considered "forward-looking" under applicable securities laws. AS&amp;E wishes to caution readers of this press release that actual results might differ materially from those projected in any forward-looking statements. Factors which might cause actual results to differ materially from those projected in the forward-looking statements contained herein include the following: significant reductions, delays or cancellations (in full or in part) in procurements of the Company's systems by the United States and other governments; disruption in the supply of any source component incorporated into AS&amp;E's products; litigation seeking to restrict the use of intellectual property used by the Company; limitations under certain laws on the Company's ability to protect its own intellectual property; potential product liability claims against the Company; global political trends and events which affect public perception of the threat presented by drugs, explosives and other contraband; global economic developments and the ability of governments and private organizations to fund purchases of the Company's products to address such threats; the potential insufficiency of Company resources, including human resources, capital, plant and equipment and management systems, to accommodate any future growth; technical problems and other delays that could impact new product development and the Company's ability to adapt to changes in technology and customer requirements; competitive pressures; lengthy sales cycles both in United States government procurement and procurement abroad; future delays in federal funding, the market price of the company's stock prevailing from time to time, the nature of other investment opportunities presented to the company from time to time, the company's cash flows from operations and market and general economic conditions. These and certain other factors which might cause actual results to differ materially from those projected are detailed from time to time in AS&amp;E's periodic reports and registration statements filed with the Securities and Exchange Commission, which important factors are incorporated herein by reference. AS&amp;E undertakes no obligation to update forward looking statements to reflect changed assumptions, the occurrence of unanticipated events, or changes in future operating results, financial condition or business over time. Readers are further advised to review the "Risk Factors" set forth in the Company's most recent Form 10-Q and Form 10-K, which further detail and supplement the factors described in this Safe Harbor Statement. Among other disclosures, the Risk Factors disclose risks pertaining to that portion of the Company's business that is dependent on United States government contracting as well as international customers. </w:t>
        <w:br/>
        <w:br/>
        <w:br/>
        <w:t xml:space="preserve">CONTACT: Public Relations Contact: </w:t>
        <w:br/>
        <w:t xml:space="preserve">         Dana Harris </w:t>
        <w:br/>
        <w:t xml:space="preserve">         Red Javelin Communications, Inc. </w:t>
        <w:br/>
        <w:t xml:space="preserve">         978-440-8392 </w:t>
        <w:br/>
        <w:t xml:space="preserve">         dana@redjavelin.com </w:t>
        <w:br/>
        <w:t xml:space="preserve"> </w:t>
        <w:br/>
        <w:t xml:space="preserve">         Laura Berman </w:t>
        <w:br/>
        <w:t xml:space="preserve">         American Science and Engineering, Inc. </w:t>
        <w:br/>
        <w:t xml:space="preserve">         978-262-8700 </w:t>
        <w:br/>
        <w:t xml:space="preserve">         lberman@as-e.com </w:t>
        <w:br/>
        <w:br/>
        <w:t>(END) Dow Jones Newswires</w:t>
        <w:br/>
        <w:br/>
        <w:t>March 10, 2015 03:00 ET (07:00 GMT)</w:t>
      </w:r>
    </w:p>
    <w:p>
      <w:pPr>
        <w:pStyle w:val="Heading1"/>
      </w:pPr>
      <w:r>
        <w:t>End of Article 15</w:t>
      </w:r>
    </w:p>
    <w:p>
      <w:r>
        <w:br w:type="page"/>
      </w:r>
    </w:p>
    <w:p>
      <w:pPr>
        <w:pStyle w:val="Heading1"/>
      </w:pPr>
      <w:r>
        <w:t>Start of Article 16</w:t>
      </w:r>
    </w:p>
    <w:p>
      <w:pPr>
        <w:pStyle w:val="Heading1"/>
      </w:pPr>
      <w:r>
        <w:t>Document ID ATPHAM0020150701eb6u0009g</w:t>
      </w:r>
    </w:p>
    <w:p>
      <w:r>
        <w:t>Diabetic foot ulcers are a serious health concern and affect approximately 7% of diabetic patients each year. Up to approximately 58% of these ulcers may become infected. Published data demonstrates that the current standard of care for diabetic foot infections (DFIs) with systemic antibiotics has a 30-50% failure rate. Failure of treatment can lead to significantly increased risk of hospitalization and often to the need for amputation resulting in increased costs to the healthcare system and a much higher risk of mortality for patients. We believe that Cogenzia has the potential to be the first topical antibiotic approved as adjunctive therapy for the treatment of DFIs and that it could significantly improve upon the current cure success rate.</w:t>
        <w:br/>
        <w:br/>
        <w:t>Cogenzia acts in conjunction with systemic antibiotics and standard wound care to provide high concentrations of gentamicin directly to the site of DFIs. These concentrations are not normally possible with systemic gentamicin treatment due to the risk of side effects. In the Cogenzia Phase 2 program, data demonstrated a statistically significant improvement in the clinical cure rate when compared to systemic antibiotics and wound care alone. In the Phase 2 study, 100% of Cogenzia-treated subjects experienced a clinical cure compared to 70% for the control group.</w:t>
        <w:br/>
        <w:br/>
        <w:t>"We are very pleased to receive QIDP designation for Cogenzia for the treatment of moderate and severe diabetic foot infections," stated David Prior, Executive Vice President of Global Regulatory Affairs for Innocoll. "We believe the importance of Cogenzia as a new treatment option is further endorsed by FDA granting this designation."</w:t>
        <w:br/>
        <w:br/>
        <w:t>Source: Innocoll</w:t>
      </w:r>
    </w:p>
    <w:p>
      <w:pPr>
        <w:pStyle w:val="Heading1"/>
      </w:pPr>
      <w:r>
        <w:t>End of Article 16</w:t>
      </w:r>
    </w:p>
    <w:p>
      <w:r>
        <w:br w:type="page"/>
      </w:r>
    </w:p>
    <w:p>
      <w:pPr>
        <w:pStyle w:val="Heading1"/>
      </w:pPr>
      <w:r>
        <w:t>Start of Article 17</w:t>
      </w:r>
    </w:p>
    <w:p>
      <w:pPr>
        <w:pStyle w:val="Heading1"/>
      </w:pPr>
      <w:r>
        <w:t>Document ID DJDN000020150105eb15001vz</w:t>
      </w:r>
    </w:p>
    <w:p>
      <w:r>
        <w:t>9:47 EST - The New York chapter of the ISM reports its current-business-conditions index jumped to 70.8 in December from 62.4 in November, notching its highest reading since October 2010 and suggesting tomorrow's national ISM nonmanufacturing survey should show expanding production numbers. The ISM-MY report says current revenues and employment in New York City gained last month, while energy costs are seen as a positive for business conditions. But the cost of benefits remains the No. 1 net impediment. (kathleen.madigan@wsj.com)</w:t>
        <w:br/>
        <w:br/>
        <w:t>9:47 EST - A deal announced Monday with Kite Pharma (KITE) will deepen Amgen's (AMGN) work in the hot field of cancer immunotherapies. Amgen executives have viewed immunotherapies as one of the most significant new developments in drug R&amp;D. In December, the FDA approved Amgen's Blincyto cancer immunotherapy; Amgen also has another such drug, TVec, up for approval. Still, Amgen and its rivals are playing catch up with Bristol-Myers Squibb (BMY), which pioneered the field and has two approved drugs. Under the terms, Amgen will pay Kite $60M upfront, while Amgen would get single-digit royalties on sales of any approved drugs. AMGN falls 1.8% to $157.09.(jonathan.rockoff@wsj.com; @jonathanrockoff)</w:t>
        <w:br/>
        <w:br/>
        <w:t>9:45 EST - Although the dollar hasn't come close to hitting trade-weighted and inflation-adjusted highs seen in 2002 and 1985, US exports are still more vulnerable than they've been in previous decades. The share of sales of US goods and services overseas as a percentage of GDP has steadily grown from just over 4% in 1980 to 7.6% in 2002 to nearly 15% last year. That's why Chad Moutray, chief economist at the National Association of Manufacturers, says many firms will report the dollar's gains eating into earnings. "You're going to see a dollar effect on those numbers just simply by virtue of so many manufacturers having a presence overseas now." (ian.talley@wsj.com)</w:t>
        <w:br/>
        <w:br/>
        <w:t>9:42 EST - Petrobras (PBR PETR4.BR) down more than 7% in New York and 5% in Sao Paulo as the price of oil falls below $55, further denting the Brazilian oil company's already-battered shares. PBR fell 46% in 2014 as global oil prices fell and an alleged multi-billion corruption scheme centering around Petrobras contracts unfolded. With oil prices staying low, and new revelations about the corruption scandal continuing to emerge, the company's troubles look to be picking up in the new year right where they left off. (william.connors@wsj.com; @wconnors)</w:t>
        <w:br/>
        <w:br/>
        <w:t>9:40 EST - Ford (F) starts to the downside in the wake of its December US sales data, which includes some color on how the overhauled F-150 is doing. Sales for the entire line of F-series pickups eased 0.3% last month, putting 2014's drop at 1.3% as the auto maker moved to heavily increase the amount of lighter-weight aluminum in the 150. The changeover curtailed pickup output and left some buyers on the sidelines as they awaited the new model. The new F-150 is the fastest-moving vehicle in F showrooms, averaging 5 days on lots last month. But that's not a surprise considering the pre-orders. Let's see how the inventory picture looks by spring. F falls 2.5% premarket to $14.98 while GM eases 0.5% as its US sales jumped 19% while F rose 1.2%. (kevin.kingsbury@wsj.com; @kevinkingsbury)</w:t>
        <w:br/>
        <w:br/>
        <w:t>9:30 EST - Up nearly 30% the last 1/3 of 2014, Sonic (SONC) shares are unlikely to see a bump from the anticipated F1Q beat-and-raise Susquehanna expects the restaurant chain to post after the bell tomorrow. That as SONC's P-E multiple "is just shy of its 10-year peak" and 27% above its 3-year average, notes the investment bank, which does boost its price target $4 to $27 to catch up with the stock's end-of-year jump. Susquehanna also notes shorts have been washed out of SONC as short interest as of mid-December was down 1/4 from 2 months earlier, limiting the potential of a post-1Q squeeze. Shares closed Friday at $27.55. (kevin.kingsbury@wsj.com; @kevinkingsbury)</w:t>
        <w:br/>
        <w:br/>
        <w:t>9:23 EST - It's no secret monetary policy is a big wild card for the 2015 outlook. Data from economist Paul Kasriel show October's end of the Fed's bond-purchase program may already be slowing credit growth. Growth in combined credit from US banks and bank reserves held at the Fed slowed to around 5.5% annualized in November from 9.7% in July, according to figures calculated by Kasriel, below the 7.4% average annual growth rate which prevailed from 1978-2006. "This is not the stuff of recessions," says Kasriel. "But it would be a mistake to extrapolate the strength we've seen in recent months into 2015." (nick.timiraos@wsj.com; @NickTimiraos)</w:t>
        <w:br/>
        <w:br/>
        <w:t>9:15 EST - BlackRock (BLK) says it captured $102.8B of the record $330.7B of net inflows that ETFs had last year. US and European inflows into iShares led the way, the asset manager notes, as Asian and Latin American clients in particular sought exposure to asset classes outside their respective regions. "We're seeing ETFs truly come of age as more investors around the world recognize and embrace the versatility of these vehicles," says iShares chief Mark Wiedman. The business' assets under management topped $1T as of year's end. (katy.burne@wsj.com; @katyburne)</w:t>
        <w:br/>
        <w:br/>
        <w:t>9:10 EST - Nasdaq's (NDAQ) planned $225M acquisition of index provider Dorsey Wright was a "small but smart deal," says Evercore. The deal will help NDAQ grow its index business, which has been a focus for the company recently. "If [Nasdaq] is going to do an acquisition, this is the type we would like to see," adds Evercore. NDAQ is inactive premarket. (bradley.hope@wsj.com)</w:t>
        <w:br/>
        <w:br/>
        <w:t>9:02 EST - Stock strategists at Goldman Sachs say their barometer of investor sentiment "currently stands at a maximum possible reading of 100, suggesting the S&amp;P 500 has a near-term downside risk during the next six weeks." The high rating, they write, indicates an "extreme positive reading," a strong contrarian signal for future returns. The strategists are among the least bullish on the street, calling for the S&amp;P 500 to end the year at 2100, with a return of 4% including dividends. (dan.strumpf@wsj.com)</w:t>
        <w:br/>
        <w:br/>
        <w:t>9:02 EST - Drilling company Patterson-UTI (PTEN) averaged 210 rigs in operation domestically last quarter, including 208 for December, with Tudor Pickering noting PTEN had guided to 214 for 4Q. Activity cooled into year-end amid oil's price slump and resultant market-wide slowness of drilling. The investment bank says it'll "ride out this industry downturn" without dumping PTEN as shares are trading at only about 60% of the replacement cost of assets. The stock is down 1.8% premarket at $16.35 as oil falls further this morning. PTEN tumbled 49% in 4Q to reach 2 1/2-year lows. (dan.molinski@wsj.com; @dmwsj)</w:t>
        <w:br/>
        <w:br/>
        <w:t>(END) Dow Jones Newswires</w:t>
        <w:br/>
        <w:br/>
        <w:t>January 05, 2015 09:54 ET (14:54 GMT)</w:t>
      </w:r>
    </w:p>
    <w:p>
      <w:pPr>
        <w:pStyle w:val="Heading1"/>
      </w:pPr>
      <w:r>
        <w:t>End of Article 17</w:t>
      </w:r>
    </w:p>
    <w:p>
      <w:r>
        <w:br w:type="page"/>
      </w:r>
    </w:p>
    <w:p>
      <w:pPr>
        <w:pStyle w:val="Heading1"/>
      </w:pPr>
      <w:r>
        <w:t>Start of Article 18</w:t>
      </w:r>
    </w:p>
    <w:p>
      <w:pPr>
        <w:pStyle w:val="Heading1"/>
      </w:pPr>
      <w:r>
        <w:t>Document ID NAIRAQ0020150924eb9n0008h</w:t>
      </w:r>
    </w:p>
    <w:p>
      <w:r>
        <w:t>In addition to the conflicts in state and federal law, state Administrative Law Judge John S. Kennedy said the family failed to show their daughter Genny would suffer "irreparable harm" if denied medical marijuana in school, according to his 11-page decision.</w:t>
        <w:br/>
        <w:br/>
        <w:t>The parents of a 16-year-old girl with epilepsy who have sued her New Jersey school district to allow her to consume medical marijuana oil on school grounds took their battle to daytime television Monday by appearing on ABC's "The View."</w:t>
        <w:br/>
        <w:br/>
        <w:t>In a live interview, Lora and Roger Barbour of Maple Shade explained to co-hosts Whoopi Goldberg and Paula Faris how their homemade cannabis oil has succeeded in controlling their daughter Genny's seizures and even improved her speech.</w:t>
        <w:br/>
        <w:br/>
        <w:t>Meanwhile, Roger and Lora Barbour have sued to require the nurse at their 16-year-old daughter's special education school in Bellmawr administer cannabis oil, just like the nurse dispenses prescribed medication to other students. Since April, Genny has attended only half-days of school so she can be home for her lunchtime dose of homemade oil, diluted in a small glass of cola.</w:t>
        <w:br/>
        <w:br/>
        <w:t>Kennedy noted that Genny had missed 2-1/2 hours of school a day since April, siding with the parents on one point: that they has been a "break in (educational) services."</w:t>
        <w:br/>
        <w:br/>
        <w:t>But that finding was not enough to overcome the other problems in the case, Kennedy wrote. One of the hurdles the Barbours needed to clear was to prove that they would someday win the case and get a court order allowing medical cannabis is school.</w:t>
      </w:r>
    </w:p>
    <w:p>
      <w:pPr>
        <w:pStyle w:val="Heading1"/>
      </w:pPr>
      <w:r>
        <w:t>End of Article 18</w:t>
      </w:r>
    </w:p>
    <w:p>
      <w:r>
        <w:br w:type="page"/>
      </w:r>
    </w:p>
    <w:p>
      <w:pPr>
        <w:pStyle w:val="Heading1"/>
      </w:pPr>
      <w:r>
        <w:t>Start of Article 19</w:t>
      </w:r>
    </w:p>
    <w:p>
      <w:pPr>
        <w:pStyle w:val="Heading1"/>
      </w:pPr>
      <w:r>
        <w:t>Document ID PHBW000020150123eb1q0000g</w:t>
      </w:r>
    </w:p>
    <w:p>
      <w:r>
        <w:t>"Afaxys is very pleased to announce the availability of Tarina Fe 1/20 in response to public health customer requests to broaden its portfolio of contraceptive options for women," said Ronda Dean, president and CEO of Afaxys. "The ongoing growth of the Afaxys product line with Tarina Fe 1/20 proves our commitment to ensuring affordable access to quality reproductive health products for public health providers and the women they serve."</w:t>
        <w:br/>
        <w:br/>
        <w:t>Keywords for this news article include: Afaxys Pharmaceuticals, Public Health.</w:t>
        <w:br/>
        <w:br/>
        <w:t>Our reports deliver fact-based news of research and discoveries from around the world. Copyright 2015, NewsRx LLC</w:t>
      </w:r>
    </w:p>
    <w:p>
      <w:pPr>
        <w:pStyle w:val="Heading1"/>
      </w:pPr>
      <w:r>
        <w:t>End of Article 19</w:t>
      </w:r>
    </w:p>
    <w:p>
      <w:r>
        <w:br w:type="page"/>
      </w:r>
    </w:p>
    <w:p>
      <w:pPr>
        <w:pStyle w:val="Heading1"/>
      </w:pPr>
      <w:r>
        <w:t>Start of Article 20</w:t>
      </w:r>
    </w:p>
    <w:p>
      <w:pPr>
        <w:pStyle w:val="Heading1"/>
      </w:pPr>
      <w:r>
        <w:t>Document ID FLYWAL0020150304eb340033j</w:t>
      </w:r>
    </w:p>
    <w:p>
      <w:r>
        <w:t xml:space="preserve"> Health care professionals should prescribe testosterone therapy only for men with low testosterone levels caused by certain medical conditions and confirmed by laboratory tests." Makers of testosterone products include Repros Therapeutics (RPRX), Lipocine (LPCN), Antares Pharma (ATRS), AbbVie (ABBV), Eli Lilly (LLY) and Endo (ENDP).</w:t>
      </w:r>
    </w:p>
    <w:p>
      <w:pPr>
        <w:pStyle w:val="Heading1"/>
      </w:pPr>
      <w:r>
        <w:t>End of Article 20</w:t>
      </w:r>
    </w:p>
    <w:p>
      <w:r>
        <w:br w:type="page"/>
      </w:r>
    </w:p>
    <w:p>
      <w:pPr>
        <w:pStyle w:val="Heading1"/>
      </w:pPr>
      <w:r>
        <w:t>Start of Article 21</w:t>
      </w:r>
    </w:p>
    <w:p>
      <w:pPr>
        <w:pStyle w:val="Heading1"/>
      </w:pPr>
      <w:r>
        <w:t>Document ID DRGW000020150619eb6q00057</w:t>
      </w:r>
    </w:p>
    <w:p>
      <w:r>
        <w:t>Our news editors obtained a quote from the research, "In this study, we evaluated the structure-activity relationships of 46 commercially available analogs of MMV665852 on newly transformed schistosomula (NTS) and adult Schistosoma mansoni worms in vitro. Active compounds were evaluated with a cytotoxicity assay, in silico calculations, metabolic stability studies, and an in vivo assay with mice harboring adult S. mansoni worms. Of the 46 compounds tested at 33.3 mu M, 13 and 14 compounds killed NTS and adult worms, respectively, within 72 h. Nine compounds had 90% inhibitory concentrations (IC(90)s) of &lt;= 10 mu M against adult worms, with selectivity indexes of &gt;= 2.8. Their physicochemical properties and permeation through an artificial membrane indicated good to moderate intestinal absorption. Their metabolic stabilities ranged from low to high. Despite satisfactory in vitro results and in silico predictions, only one compound resulted in a statistically significant worm burden reduction (66%) after administration of a single oral dose of 400 mg/kg of body weight to S. mansoni-infected mice. Worm burden reductions of 0 to 43% were observed for the remaining eight compounds tested."</w:t>
        <w:br/>
        <w:br/>
        <w:t>According to the news editors, the research concluded: "Several analogs of the N,N '-diarylurea MMV665852 had high efficacy against S. mansoni in vitro and favorable physicochemical properties for permeation through the intestinal wall. To counteract the low efficacy observed in the mouse model, further investigations should focus on identifying compounds with improved solubility and pharmacokinetic properties."</w:t>
        <w:br/>
        <w:br/>
        <w:t>For more information on this research see: Activities of N,N '-Diarylurea MMV665852 Analogs against Schistosoma mansoni. Antimicrobial Agents and Chemotherapy, 2015;59(4):1935-1941. Antimicrobial Agents and Chemotherapy can be contacted at: Amer Soc Microbiology, 1752 N St NW, Washington, DC 20036-2904, USA. (American Society for Microbiology - www.asm.org; Antimicrobial Agents and Chemotherapy - aac.asm.org)</w:t>
        <w:br/>
        <w:br/>
        <w:t>The news editors report that additional information may be obtained by contacting N. Cowan, MMV, Geneva, Switzerland. Additional authors for this research include P. Datwyler, B. Ernst, C.K. Wang, J.L. Vennerstrom, T. Spangenberg and J. Keiser.</w:t>
        <w:br/>
        <w:br/>
        <w:t>Keywords for this news article include: Geneva, Europe, Switzerland, Drugs and Therapies</w:t>
        <w:br/>
        <w:br/>
        <w:t>Our reports deliver fact-based news of research and discoveries from around the world. Copyright 2015, NewsRx LLC</w:t>
      </w:r>
    </w:p>
    <w:p>
      <w:pPr>
        <w:pStyle w:val="Heading1"/>
      </w:pPr>
      <w:r>
        <w:t>End of Article 21</w:t>
      </w:r>
    </w:p>
    <w:p>
      <w:r>
        <w:br w:type="page"/>
      </w:r>
    </w:p>
    <w:p>
      <w:pPr>
        <w:pStyle w:val="Heading1"/>
      </w:pPr>
      <w:r>
        <w:t>Start of Article 22</w:t>
      </w:r>
    </w:p>
    <w:p>
      <w:pPr>
        <w:pStyle w:val="Heading1"/>
      </w:pPr>
      <w:r>
        <w:t>Document ID WDAN000020150226eb2q0001v</w:t>
      </w:r>
    </w:p>
    <w:p>
      <w:r>
        <w:t>Significance: Avycaz is composed of ceftazidime, a cephalosporin with activity against gram-negative and gram-positive bacteria, and avibactam, which inactivates certain key beta-lactamases and protects ceftazidime from degradation by certain cephalosporin-resistant strains, such as those that produce extended-spectrum beta-lactamases (ESBL), including Klebsiella pneumoniae carbapenemase (KPC) and AmpC. The candidate was granted priority review by the US FDA based on in vitro data and results from two mid-stage, randomised, blinded, active-controlled, multicentre clinical trials, under the Qualified Infectious Disease Product (QDIP) programme. Acycaz offers an important treatment option for difficult-to-treat bacterial infections, including multi-drug resistant bacteria, and makes a strong addition to Actavis's growing antibiotic portfolio. The product, obtained through Actavis's acquisition of Forest Laboratories (US), will benefit from 10 years of marketing exclusivity in the United States. Astrazeneca (UK) has commercialisation rights for the antibiotic outside North America.</w:t>
      </w:r>
    </w:p>
    <w:p>
      <w:pPr>
        <w:pStyle w:val="Heading1"/>
      </w:pPr>
      <w:r>
        <w:t>End of Article 22</w:t>
      </w:r>
    </w:p>
    <w:p>
      <w:r>
        <w:br w:type="page"/>
      </w:r>
    </w:p>
    <w:p>
      <w:pPr>
        <w:pStyle w:val="Heading1"/>
      </w:pPr>
      <w:r>
        <w:t>Start of Article 23</w:t>
      </w:r>
    </w:p>
    <w:p>
      <w:pPr>
        <w:pStyle w:val="Heading1"/>
      </w:pPr>
      <w:r>
        <w:t>Document ID KUWNA00020151215ebce000b8</w:t>
      </w:r>
    </w:p>
    <w:p>
      <w:r>
        <w:t>With NINLARO now available in the U.S., we have taken our extensive research and turned it into a reality. In addition to the clinical investigators and patients, I would like to extend our thanks to the FDA for its expedited review of NINLARO. The need for new and differentiated treatment options is urgent, and their commitment allowed us to bring NINLARO to market within a rapid timeframe, said Christophe Bianchi, M.D., President, Takeda Oncology. In the short time since receiving FDA approval of NINLARO, we have seen an enthusiastic reception from providers and patients alike; in fact, prescriptions have already been written by physicians and approved by insurers. We are excited to realize our commitment to the multiple myeloma community as we bring NINLARO to patients.</w:t>
        <w:br/>
        <w:br/>
        <w:t>NINLARO is a pill that can be taken at home which may reduce some of the logistical burden for patients, because administration does not require an infusion or injection at a hospital, clinic or physicians office. For patients prescribed NINLARO, Takeda is offering NINLARO 1Point, a comprehensive support program offering an array of access and coverage services. More information about NINLARO 1Point is available through www.NINLARO.com or by calling 1-844-N1POINT (1-844-617-6468).</w:t>
        <w:br/>
        <w:br/>
        <w:t>Access to therapy for patients in need is our first and foremost priority, said Ryan Cohlhepp, Vice President of U.S. Marketing at Takeda. And with NINLARO 1Point, we have created a robust suite of support services to help patients access NINLARO.</w:t>
        <w:br/>
        <w:br/>
        <w:t>NINLARO is available through an open distribution model that includes physician in-office dispensing. Additionally, there is a specialty pharmacy network to assist patients and healthcare providers.</w:t>
      </w:r>
    </w:p>
    <w:p>
      <w:pPr>
        <w:pStyle w:val="Heading1"/>
      </w:pPr>
      <w:r>
        <w:t>End of Article 23</w:t>
      </w:r>
    </w:p>
    <w:p>
      <w:r>
        <w:br w:type="page"/>
      </w:r>
    </w:p>
    <w:p>
      <w:pPr>
        <w:pStyle w:val="Heading1"/>
      </w:pPr>
      <w:r>
        <w:t>Start of Article 24</w:t>
      </w:r>
    </w:p>
    <w:p>
      <w:pPr>
        <w:pStyle w:val="Heading1"/>
      </w:pPr>
      <w:r>
        <w:t>Document ID PHBW000020150709eb7900005</w:t>
      </w:r>
    </w:p>
    <w:p>
      <w:r>
        <w:t>Mr. Osborne has more than 20 years of life sciences experience, including 16 years as the Chief Financial Officer of publicly-traded or venture-backed companies. Most recently, Mr. Osborne was the Chief Financial Officer at SCYNEXIS, where he led the initial public and a follow-on offering on NASDAQ. Prior experiences include NOBEX, where he raised more than $60 million of venture capital, and International Murex Technologies Co., where he ran the world-wide finance group and which he helped sell to Abbott Laboratories. Mr. Osborne holds a B.S. in Accounting from the University of North Carolina at Chapel Hill.</w:t>
        <w:br/>
        <w:br/>
        <w:t>"This is an exciting time to be joining Innocrin as the company initiates Phase 2 castration-resistant prostate cancer (CRPC) and breast cancer studies of VT-464," said Mr. Osborne. "I'm excited to help the Innocrin team attain its goal of improving the lives of patients of high unmet medical need." About VT-464 VT-464 is a once-daily oral therapeutic given without prednisone. VT-464 selectively inhibits CYP17 lyase, a target of abiraterone, and blocks the androgen receptor (AR), the target of enzalutamide. There is a strong and growing body of preclinical and clinical evidence that shows that some abiraterone- or enzalutamide-resistant patients will respond to VT-464 treatment. Resistance to abiraterone, enzalutamide or both represents a major unmet medical need due to the widespread and growing use of these new agents, and their high cross-resistance (e.g., patients who have been treated with either abiraterone or enzlutamide typically do not respond to the other).</w:t>
        <w:br/>
        <w:br/>
        <w:t>VT-464 may also have significant potential for the treatment of breast cancer due to its selective inhibition of CYP17 lyase, which results in the depletion of both androgens and estrogens, in addition to its AR antagonist activity. It is thought that the AR may stimulate disease progression in some patients whose tumors are triple-negative or are ER+ but have become resistant to ER-directed therapies such as aromatase inhibitors or tamoxifen. Recent preclinical study results have confirmed that VT-464 more potently blocks the growth of ER+ and/or AR+ breast cancer cells more potently than enzalutamide. About Prostate Cancer Prostate cancer is the second most common form of cancer affecting men in the United States: an estimated one in six will be diagnosed with prostate cancer in his lifetime. The American Cancer Society estimates that approximately 240,000 new cases of prostate cancer will be diagnosed and about 30,000 men will die of the disease this year, and that approximately two million men in the U.S. currently count themselves among prostate cancer survivors. About Breast Cancer Each year over 230,000 new cases of breast cancer are diagnosed in the United States, with almost 40,000 deaths attributable to the disease. While estrogen deprivation is currently the standard of care for postmenopausal women with hormone receptor-positive breast cancer, the majority of patients eventually develop resistance. Though patients with the ER+/AR+ subtype comprise ~75% of all metastatic BC cases, the most significant unmet need lis the triple-negative subtype, a population that might respond well to anti-androgen therapies as evidenced by recent results from a Phase 2 study using enzalutamide. About Innocrin Pharmaceuticals, Inc. (www.innocrinpharma.com)</w:t>
        <w:br/>
        <w:br/>
        <w:t>Innocrin discovers and develops novel, best-in-class oral inhibitors of CYP17 lyase, a validated enzyme target for the treatment of castration-resistant prostate cancer (CRPC). VT-464 and structurally-related classes of CYP17 inhibitors are wholly owned by Innocrin. CYP17 lyase inhibitors may also have high commercial potential for the treatment of breast cancer as well as non-oncologic syndromes that are due to hormonal excess including endometriosis, polycystic ovary syndrome and congenital adrenal hyperplasia. Innocrin's investors include the Novartis Venture Fund, Eshelman Ventures, Lilly Ventures, Hatteras Venture Partners, Intersouth Partners, Lurie Holdings, and Astellas Venture Management. View source version on businesswire.com: http://www.businesswire.com/news/home/20150701005954/en/</w:t>
        <w:br/>
        <w:br/>
        <w:t>Keywords for this news article include: Innocrin Pharmaceuticals Inc., Investment and Finance.</w:t>
        <w:br/>
        <w:br/>
        <w:t>Our reports deliver fact-based news of research and discoveries from around the world. Copyright 2015, NewsRx LLC</w:t>
      </w:r>
    </w:p>
    <w:p>
      <w:pPr>
        <w:pStyle w:val="Heading1"/>
      </w:pPr>
      <w:r>
        <w:t>End of Article 24</w:t>
      </w:r>
    </w:p>
    <w:p>
      <w:r>
        <w:br w:type="page"/>
      </w:r>
    </w:p>
    <w:p>
      <w:pPr>
        <w:pStyle w:val="Heading1"/>
      </w:pPr>
      <w:r>
        <w:t>Start of Article 25</w:t>
      </w:r>
    </w:p>
    <w:p>
      <w:pPr>
        <w:pStyle w:val="Heading1"/>
      </w:pPr>
      <w:r>
        <w:t>Document ID DJDN000020150116eb1g002ak</w:t>
      </w:r>
    </w:p>
    <w:p>
      <w:r>
        <w:t>January 16, 2015 11:06 ET (16:06 GMT)</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CEA098-857E-4814-AA9E-7C9F1AC11FDF}"/>
</file>

<file path=customXml/itemProps3.xml><?xml version="1.0" encoding="utf-8"?>
<ds:datastoreItem xmlns:ds="http://schemas.openxmlformats.org/officeDocument/2006/customXml" ds:itemID="{3089CBDF-4796-48D4-B355-5F270C2B0514}"/>
</file>

<file path=customXml/itemProps4.xml><?xml version="1.0" encoding="utf-8"?>
<ds:datastoreItem xmlns:ds="http://schemas.openxmlformats.org/officeDocument/2006/customXml" ds:itemID="{04731D3F-2333-462F-A756-DA571A645D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