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54946DC" wp14:textId="77777777">
      <w:pPr>
        <w:pStyle w:val="Heading1"/>
      </w:pPr>
      <w:r>
        <w:t>Start of Article 1</w:t>
      </w:r>
    </w:p>
    <w:p xmlns:wp14="http://schemas.microsoft.com/office/word/2010/wordml" w14:paraId="2F065D53" wp14:textId="77777777">
      <w:pPr>
        <w:pStyle w:val="Heading1"/>
      </w:pPr>
      <w:r>
        <w:t>Document ID HNASNI0020150723eb7n000mh</w:t>
      </w:r>
    </w:p>
    <w:p xmlns:wp14="http://schemas.microsoft.com/office/word/2010/wordml" w14:paraId="1E6E9C11" wp14:textId="77777777">
      <w:r>
        <w:t>"We are developing peptide-based vaccine adjuvants that boost the immune system against infectious diseases," Dr. Rajagopal Appavu, a scientist at the Department of Pharmacology and Toxicology, University of Texas and lead author of the paper 'Enhancing the Magnitude of Antibody Responses through Biomaterial Stereochemistry' was quoted by the Indian Science Journal (ISJ), as saying.</w:t>
      </w:r>
      <w:r>
        <w:br/>
      </w:r>
      <w:r>
        <w:br/>
      </w:r>
      <w:r>
        <w:t>"All the peptides reported have toxicity under the acceptable limit," he added</w:t>
      </w:r>
      <w:r>
        <w:br/>
      </w:r>
      <w:r>
        <w:br/>
      </w:r>
      <w:r>
        <w:t>D-peptides or D-proteins are present in plant cells and therefore, have no adverse effect on human physiology. The source of D-peptides are Pasture Grass (Phalaris tuberosa), Sunflower (Helianthus Annuus), Beechnuts, Wheat (Triticum Asetivum) and Lentil (Ervum Lens).</w:t>
      </w:r>
      <w:r>
        <w:br/>
      </w:r>
      <w:r>
        <w:br/>
      </w:r>
      <w:r>
        <w:t>Drugs currently licensed for human use are aluminum-based salts, or alum or alum-MPL (alum in combination with monophosphoryl lipid A). Many vaccines under development are chemically heterogeneous mixtures of plant or pathogen-derived products, formulations of mineral salts or emulsions, which have associated toxicity. On the other hand, the current experiments by the team would pave the way for D-peptide -based natural nano-fibre vaccine adjuvants that can be taken orally and is effective for a longer period of time.</w:t>
      </w:r>
      <w:r>
        <w:br/>
      </w:r>
      <w:r>
        <w:br/>
      </w:r>
      <w:r>
        <w:t>"To the best of our knowledge, we are the first to design D-peptide vaccine adjuvants for infectious diseases," said Dr. Rajgopal.</w:t>
      </w:r>
      <w:r>
        <w:br/>
      </w:r>
      <w:r>
        <w:br/>
      </w:r>
      <w:r>
        <w:t>Dr. Rajagopal said, self-assembling peptides composed of D-amino acids are strong immune adjuvants and can be used as a design tool to program adaptive immune responses for vaccine development.</w:t>
      </w:r>
      <w:r>
        <w:br/>
      </w:r>
      <w:r>
        <w:br/>
      </w:r>
      <w:r>
        <w:t>These vaccines can be antibodies to identify and neutralize pathogens such as bacteria and virus, that causes infectious diseases, AIDs and Ebola, explained Dr. Rajagopal.</w:t>
      </w:r>
      <w:r>
        <w:br/>
      </w:r>
      <w:r>
        <w:br/>
      </w:r>
      <w:r>
        <w:t>Published by HT Syndication with permission from Asian News International.</w:t>
      </w:r>
    </w:p>
    <w:p xmlns:wp14="http://schemas.microsoft.com/office/word/2010/wordml" w14:paraId="1C71B958" wp14:textId="77777777">
      <w:pPr>
        <w:pStyle w:val="Heading1"/>
      </w:pPr>
      <w:r>
        <w:t>End of Article 1</w:t>
      </w:r>
    </w:p>
    <w:p xmlns:wp14="http://schemas.microsoft.com/office/word/2010/wordml" w14:paraId="672A6659" wp14:textId="77777777">
      <w:r>
        <w:br w:type="page"/>
      </w:r>
    </w:p>
    <w:p xmlns:wp14="http://schemas.microsoft.com/office/word/2010/wordml" w14:paraId="1A1BB6B8" wp14:textId="77777777">
      <w:pPr>
        <w:pStyle w:val="Heading1"/>
      </w:pPr>
      <w:r>
        <w:t>Start of Article 2</w:t>
      </w:r>
    </w:p>
    <w:p xmlns:wp14="http://schemas.microsoft.com/office/word/2010/wordml" w14:paraId="2D79E2FE" wp14:textId="77777777">
      <w:pPr>
        <w:pStyle w:val="Heading1"/>
      </w:pPr>
      <w:r>
        <w:t>Document ID CHPR000020150302eb2p0000b</w:t>
      </w:r>
    </w:p>
    <w:p xmlns:wp14="http://schemas.microsoft.com/office/word/2010/wordml" w14:paraId="572C3318" wp14:textId="77777777">
      <w:r>
        <w:t xml:space="preserve"> Found on website: http://www.marketwired.com.</w:t>
      </w:r>
      <w:r>
        <w:br/>
      </w:r>
      <w:r>
        <w:br/>
      </w:r>
      <w:r>
        <w:t>Marketwired</w:t>
      </w:r>
      <w:r>
        <w:br/>
      </w:r>
      <w:r>
        <w:br/>
      </w:r>
      <w:r>
        <w:t>Website: http://www.marketwired.com</w:t>
      </w:r>
    </w:p>
    <w:p xmlns:wp14="http://schemas.microsoft.com/office/word/2010/wordml" w14:paraId="0FDED580" wp14:textId="77777777">
      <w:pPr>
        <w:pStyle w:val="Heading1"/>
      </w:pPr>
      <w:r>
        <w:t>End of Article 2</w:t>
      </w:r>
    </w:p>
    <w:p xmlns:wp14="http://schemas.microsoft.com/office/word/2010/wordml" w14:paraId="0A37501D" wp14:textId="77777777">
      <w:r>
        <w:br w:type="page"/>
      </w:r>
    </w:p>
    <w:p xmlns:wp14="http://schemas.microsoft.com/office/word/2010/wordml" w14:paraId="6E8EB604" wp14:textId="77777777">
      <w:pPr>
        <w:pStyle w:val="Heading1"/>
      </w:pPr>
      <w:r>
        <w:t>Start of Article 3</w:t>
      </w:r>
    </w:p>
    <w:p xmlns:wp14="http://schemas.microsoft.com/office/word/2010/wordml" w14:paraId="3D82BABD" wp14:textId="77777777">
      <w:pPr>
        <w:pStyle w:val="Heading1"/>
      </w:pPr>
      <w:r>
        <w:t>Document ID ATPHAM0020150627eb6o00098</w:t>
      </w:r>
    </w:p>
    <w:p xmlns:wp14="http://schemas.microsoft.com/office/word/2010/wordml" w14:paraId="7D75C4D7" wp14:textId="77777777">
      <w:r>
        <w:t>ASTCOFF is the first pharmacokinetic study to compare all three of these branded formulations of tacrolimus and is a two-sequence, three-period crossover study, designed to compare the steady-state PK profiles of Envarsus XR tablets (Veloxis Pharmaceuticals Inc., New Jersey, USA), Astagraf XL (Astellas Pharma US, Inc., Northbrook, IL) capsules administered once-daily and Prograf capsules (Astellas Pharma US, Inc., Northbrook, IL) administered twice-daily in stable renal transplant patients. Patients were dosed with each drug for seven days and blood samples were obtained over 24 hours to obtain pharmacokinetic data.</w:t>
      </w:r>
      <w:r>
        <w:br/>
      </w:r>
      <w:r>
        <w:br/>
      </w:r>
      <w:r>
        <w:t>This study confirmed previously published data for Envarsus and showed greater bioavailability (p&lt;0.0001) and a flatter PK profile characterized by lower peak-to-trough fluctuation (p&lt;0.001) and delayed time to peak concentrations of 6 hrs (p=&lt;0.001) compared to both Prograf and Astagraf. At equivalent exposure, Envarsus achieves at least a 30% dose reduction requirement and a substantively lower peak blood concentration (p=&lt;0.005) compared to the two comparator products.</w:t>
      </w:r>
      <w:r>
        <w:br/>
      </w:r>
      <w:r>
        <w:br/>
      </w:r>
      <w:r>
        <w:t>"This novel scientifically rigorous study design implemented by Dr. Simon Tremblay and our team demonstrates that there are potentially clinically meaningful differences between tacrolimus formulations and provides results to transplant clinicians that can be directly applied to patient management." said Rita Alloway, PharmD, Research Professor of Medicine, University of Cincinnati Medical Center.</w:t>
      </w:r>
      <w:r>
        <w:br/>
      </w:r>
      <w:r>
        <w:br/>
      </w:r>
      <w:r>
        <w:t>"The results from ASTCOFF provide additional evidence of the differentiated PK profile of Envarsus XR and will provide further guidance on how best patients can be switched to Envarsus," said William Polvino, M.D., chief executive officer of Veloxis. "We look forward to providing Envarsus XR as an option to transplant patients in the near future."</w:t>
      </w:r>
      <w:r>
        <w:br/>
      </w:r>
      <w:r>
        <w:br/>
      </w:r>
      <w:r>
        <w:t>Source: Veloxis Pharmaceuticals</w:t>
      </w:r>
    </w:p>
    <w:p xmlns:wp14="http://schemas.microsoft.com/office/word/2010/wordml" w14:paraId="23301A02" wp14:textId="77777777">
      <w:pPr>
        <w:pStyle w:val="Heading1"/>
      </w:pPr>
      <w:r>
        <w:t>End of Article 3</w:t>
      </w:r>
    </w:p>
    <w:p xmlns:wp14="http://schemas.microsoft.com/office/word/2010/wordml" w14:paraId="5DAB6C7B" wp14:textId="77777777">
      <w:r>
        <w:br w:type="page"/>
      </w:r>
    </w:p>
    <w:p xmlns:wp14="http://schemas.microsoft.com/office/word/2010/wordml" w14:paraId="35371ADB" wp14:textId="77777777">
      <w:pPr>
        <w:pStyle w:val="Heading1"/>
      </w:pPr>
      <w:r>
        <w:t>Start of Article 4</w:t>
      </w:r>
    </w:p>
    <w:p xmlns:wp14="http://schemas.microsoft.com/office/word/2010/wordml" w14:paraId="4E5B22DB" wp14:textId="77777777">
      <w:pPr>
        <w:pStyle w:val="Heading1"/>
      </w:pPr>
      <w:r>
        <w:t>Document ID APRS000020151119ebbj00acv</w:t>
      </w:r>
    </w:p>
    <w:p xmlns:wp14="http://schemas.microsoft.com/office/word/2010/wordml" w14:paraId="2296DF12" wp14:textId="77777777">
      <w:r>
        <w:t>The shares closed at $2.07 Wednesday and finished the trading day at $10.30, up about five-fold.</w:t>
      </w:r>
      <w:r>
        <w:br/>
      </w:r>
      <w:r>
        <w:br/>
      </w:r>
      <w:r>
        <w:t>In January KaloBios said a drug it was developing to treat lung infections in cystic fibrosis patients had failed in clinical testing. Its shares plunged 70 percent after that announcement and continued to decline after that. This month it said it would eliminate most of its jobs, leaving it with just 11 employees as it looked for strategic options. Last Friday, the company said it would wind down its operations.</w:t>
      </w:r>
      <w:r>
        <w:br/>
      </w:r>
      <w:r>
        <w:br/>
      </w:r>
      <w:r>
        <w:t>KaloBios said it is talking to Shkreli about ways to continue operating. The South San Francisco, California company owns several drug candidates, including potential treatments for leukemia and blood cancers.</w:t>
      </w:r>
      <w:r>
        <w:br/>
      </w:r>
      <w:r>
        <w:br/>
      </w:r>
      <w:r>
        <w:t>Shkreli is a former hedge fund manager and the head of privately-held Turing Pharmaceuticals. Turing was criticized in September for buying the rights to a parasitic infection treatment called Daraprim, then raising its price to $750 per pill from $13.50 a pill. Daraprim has been on the market for more than 60 years and it did not have any competition when Turing bought it. Turing has said it will lower the price, although that hasn't happened yet. The company said it capped copayments for patients at $10. In October a San Diego company later said it would make a version of Daraprim available for about $1 a pill.</w:t>
      </w:r>
      <w:r>
        <w:br/>
      </w:r>
      <w:r>
        <w:br/>
      </w:r>
      <w:r>
        <w:t>Shkreli and Turing Pharmaceuticals did not immediately respond to a request for comment.</w:t>
      </w:r>
      <w:r>
        <w:br/>
      </w:r>
      <w:r>
        <w:br/>
      </w:r>
      <w:r>
        <w:t>Turing was not the first company to buy an old, inexpensive medicine and hike the price. The uproar over its actions and similar moves by other companies helped start government investigations, proposals by politicians to fight "price gouging," heavy media scrutiny and a drop in stock prices for biotech companies.</w:t>
      </w:r>
    </w:p>
    <w:p xmlns:wp14="http://schemas.microsoft.com/office/word/2010/wordml" w14:paraId="06BBFE80" wp14:textId="77777777">
      <w:pPr>
        <w:pStyle w:val="Heading1"/>
      </w:pPr>
      <w:r>
        <w:t>End of Article 4</w:t>
      </w:r>
    </w:p>
    <w:p xmlns:wp14="http://schemas.microsoft.com/office/word/2010/wordml" w14:paraId="02EB378F" wp14:textId="77777777">
      <w:r>
        <w:br w:type="page"/>
      </w:r>
    </w:p>
    <w:p xmlns:wp14="http://schemas.microsoft.com/office/word/2010/wordml" w14:paraId="317907DB" wp14:textId="77777777">
      <w:pPr>
        <w:pStyle w:val="Heading1"/>
      </w:pPr>
      <w:r>
        <w:t>Start of Article 5</w:t>
      </w:r>
    </w:p>
    <w:p xmlns:wp14="http://schemas.microsoft.com/office/word/2010/wordml" w14:paraId="5C06423D" wp14:textId="77777777">
      <w:pPr>
        <w:pStyle w:val="Heading1"/>
      </w:pPr>
      <w:r>
        <w:t>Document ID DRIDY00020150520eb5k00006</w:t>
      </w:r>
    </w:p>
    <w:p xmlns:wp14="http://schemas.microsoft.com/office/word/2010/wordml" w14:paraId="3032E5ED" wp14:textId="77777777">
      <w:r>
        <w:t>Some 2,300 individual complaints were consolidated in the Philadelphia case, which claims manufacturers failed to warn of risks of tardive dyskinesia on the label of generic Reglan (metoclopramide).</w:t>
      </w:r>
      <w:r>
        <w:br/>
      </w:r>
      <w:r>
        <w:br/>
      </w:r>
      <w:r>
        <w:t>Previously, the court denied requests to review the Pennsylvania court's rulings in Teva Pharmaceuticals v. Dorothy Bennett, on April 27, and in Morton Grove Pharmaceuticals v. Adams, Sparkell, et al on March 23 (DID, April 16).</w:t>
      </w:r>
      <w:r>
        <w:br/>
      </w:r>
      <w:r>
        <w:br/>
      </w:r>
      <w:r>
        <w:t>This was Teva's fourth stab at getting the nation's highest court to consider failure-to-warn arguments. At the end of March, the Supreme Court rejected generics subsidiary Pliva's request to hear similar arguments in an Iowa Supreme Court decision, leaving the drugmaker vulnerable to lawsuits under state law.</w:t>
      </w:r>
      <w:r>
        <w:br/>
      </w:r>
      <w:r>
        <w:br/>
      </w:r>
      <w:r>
        <w:t>And in January, the Supreme Court turned down Teva's request to review a California appeals court ruling that would also make generics makers liable for failing to update labels to reflect new risks.</w:t>
      </w:r>
      <w:r>
        <w:br/>
      </w:r>
      <w:r>
        <w:br/>
      </w:r>
      <w:r>
        <w:t>Teva declined to comment on the decision. -- Jonathon Shacat</w:t>
      </w:r>
      <w:r>
        <w:br/>
      </w:r>
      <w:r>
        <w:br/>
      </w:r>
      <w:r>
        <w:t>Release date: 20150520</w:t>
      </w:r>
    </w:p>
    <w:p xmlns:wp14="http://schemas.microsoft.com/office/word/2010/wordml" w14:paraId="5BF0DC42" wp14:textId="77777777">
      <w:pPr>
        <w:pStyle w:val="Heading1"/>
      </w:pPr>
      <w:r>
        <w:t>End of Article 5</w:t>
      </w:r>
    </w:p>
    <w:p xmlns:wp14="http://schemas.microsoft.com/office/word/2010/wordml" w14:paraId="6A05A809" wp14:textId="77777777">
      <w:r>
        <w:br w:type="page"/>
      </w:r>
    </w:p>
    <w:p xmlns:wp14="http://schemas.microsoft.com/office/word/2010/wordml" w14:paraId="384B2BF2" wp14:textId="77777777">
      <w:pPr>
        <w:pStyle w:val="Heading1"/>
      </w:pPr>
      <w:r>
        <w:t>Start of Article 6</w:t>
      </w:r>
    </w:p>
    <w:p xmlns:wp14="http://schemas.microsoft.com/office/word/2010/wordml" w14:paraId="374FCDDF" wp14:textId="77777777">
      <w:pPr>
        <w:pStyle w:val="Heading1"/>
      </w:pPr>
      <w:r>
        <w:t>Document ID BUSWRD0020150821eb8l0028m</w:t>
      </w:r>
    </w:p>
    <w:p xmlns:wp14="http://schemas.microsoft.com/office/word/2010/wordml" w14:paraId="06563F4D" wp14:textId="77777777">
      <w:r>
        <w:t>PUBLIC OPENING POSITION DISCLOSURE/DEALING DISCLOSURE BY</w:t>
      </w:r>
      <w:r>
        <w:br/>
      </w:r>
      <w:r>
        <w:br/>
      </w:r>
      <w:r>
        <w:t>A PERSON WITH INTERESTS IN RELEVANT SECURITIES REPRESENTING 1% OR MORE</w:t>
      </w:r>
      <w:r>
        <w:br/>
      </w:r>
      <w:r>
        <w:br/>
      </w:r>
      <w:r>
        <w:t>Rule 8.3 of the Takeover Code (the “Code”)</w:t>
      </w:r>
      <w:r>
        <w:br/>
      </w:r>
      <w:r>
        <w:br/>
      </w:r>
      <w:r>
        <w:t>1. KEY INFORMATION</w:t>
      </w:r>
      <w:r>
        <w:br/>
      </w:r>
      <w:r>
        <w:br/>
      </w:r>
      <w:r>
        <w:t xml:space="preserve">(a) Identity of the person whose positions/dealings are being </w:t>
      </w:r>
      <w:r>
        <w:br/>
      </w:r>
      <w:r>
        <w:t xml:space="preserve">          disclosed:                   Water Island Capital, LLC</w:t>
      </w:r>
      <w:r>
        <w:br/>
      </w:r>
      <w:r>
        <w:t xml:space="preserve">(b) Owner or controller of interests and short positions </w:t>
      </w:r>
      <w:r>
        <w:br/>
      </w:r>
      <w:r>
        <w:t xml:space="preserve">          disclosed, if different from 1(a):</w:t>
      </w:r>
      <w:r>
        <w:br/>
      </w:r>
      <w:r>
        <w:br/>
      </w:r>
      <w:r>
        <w:t xml:space="preserve">          </w:t>
      </w:r>
      <w:r>
        <w:br/>
      </w:r>
      <w:r>
        <w:t xml:space="preserve">            The naming of nominee or vehicle companies is insufficient  N/A</w:t>
      </w:r>
      <w:r>
        <w:br/>
      </w:r>
      <w:r>
        <w:t xml:space="preserve">(c) Name of offeror/offeree in relation to whose relevant </w:t>
      </w:r>
      <w:r>
        <w:br/>
      </w:r>
      <w:r>
        <w:t xml:space="preserve">          securities this form relates:</w:t>
      </w:r>
      <w:r>
        <w:br/>
      </w:r>
      <w:r>
        <w:br/>
      </w:r>
      <w:r>
        <w:t xml:space="preserve">          </w:t>
      </w:r>
      <w:r>
        <w:br/>
      </w:r>
      <w:r>
        <w:t xml:space="preserve">            Use a separate form for each offeror/offeree  STERIS Corp</w:t>
      </w:r>
      <w:r>
        <w:br/>
      </w:r>
      <w:r>
        <w:t xml:space="preserve">(d) If an exempt fund manager connected with an offeror/offeree, </w:t>
      </w:r>
      <w:r>
        <w:br/>
      </w:r>
      <w:r>
        <w:t xml:space="preserve">          state this and specify identity of offeror/offeree:   </w:t>
      </w:r>
      <w:r>
        <w:br/>
      </w:r>
      <w:r>
        <w:t>(e) Date position held/dealing undertaken:                                                            20 August 2015</w:t>
      </w:r>
      <w:r>
        <w:br/>
      </w:r>
      <w:r>
        <w:t xml:space="preserve">(f) Has the discloser previously disclosed, or are they today </w:t>
      </w:r>
      <w:r>
        <w:br/>
      </w:r>
      <w:r>
        <w:t xml:space="preserve">          disclosing, under the Code in respect of any other party to this </w:t>
      </w:r>
      <w:r>
        <w:br/>
      </w:r>
      <w:r>
        <w:t xml:space="preserve">          offer?  YES</w:t>
      </w:r>
      <w:r>
        <w:br/>
      </w:r>
      <w:r>
        <w:t xml:space="preserve">          </w:t>
      </w:r>
      <w:r>
        <w:br/>
      </w:r>
      <w:r>
        <w:t xml:space="preserve">          </w:t>
      </w:r>
      <w:r>
        <w:br/>
      </w:r>
      <w:r>
        <w:t xml:space="preserve">            If YES, specify which:</w:t>
      </w:r>
      <w:r>
        <w:br/>
      </w:r>
      <w:r>
        <w:t xml:space="preserve">          </w:t>
      </w:r>
      <w:r>
        <w:br/>
      </w:r>
      <w:r>
        <w:t xml:space="preserve">          </w:t>
      </w:r>
      <w:r>
        <w:br/>
      </w:r>
      <w:r>
        <w:t xml:space="preserve">            Synergy Health PLC</w:t>
      </w:r>
      <w:r>
        <w:br/>
      </w:r>
      <w:r>
        <w:br/>
      </w:r>
      <w:r>
        <w:br/>
      </w:r>
      <w:r>
        <w:t>2. POSITIONS OF THE PERSON MAKING THE DISCLOSURE</w:t>
      </w:r>
      <w:r>
        <w:br/>
      </w:r>
      <w:r>
        <w:br/>
      </w:r>
      <w:r>
        <w:t>(a) Interests and short positions in the relevant securities of the offeror or offeree to which the disclosure relates following the dealing (if any)</w:t>
      </w:r>
      <w:r>
        <w:br/>
      </w:r>
      <w:r>
        <w:br/>
      </w:r>
      <w:r>
        <w:t>Class of relevant security:                             Ordinary</w:t>
      </w:r>
      <w:r>
        <w:br/>
      </w:r>
      <w:r>
        <w:t xml:space="preserve">                                                        Interests   Short positions</w:t>
      </w:r>
      <w:r>
        <w:br/>
      </w:r>
      <w:r>
        <w:t xml:space="preserve">                                                 Number           %      Number         %</w:t>
      </w:r>
      <w:r>
        <w:br/>
      </w:r>
      <w:r>
        <w:t>(1) Relevant securities owned and/or controlled:                                272,408   0.45</w:t>
      </w:r>
      <w:r>
        <w:br/>
      </w:r>
      <w:r>
        <w:t xml:space="preserve">(2) Derivatives (other than options):                                                      </w:t>
      </w:r>
      <w:r>
        <w:br/>
      </w:r>
      <w:r>
        <w:t xml:space="preserve">(3) Options and agreements to purchase/sell:            200,000     0.33                   </w:t>
      </w:r>
      <w:r>
        <w:br/>
      </w:r>
      <w:r>
        <w:t>TOTAL:                                                  200,000     0.33        272,408   0.45</w:t>
      </w:r>
      <w:r>
        <w:br/>
      </w:r>
      <w:r>
        <w:br/>
      </w:r>
      <w:r>
        <w:br/>
      </w:r>
      <w:r>
        <w:t>All interests and all short positions should be disclosed.</w:t>
      </w:r>
      <w:r>
        <w:br/>
      </w:r>
      <w:r>
        <w:br/>
      </w:r>
      <w:r>
        <w:t>Details of any open derivative or option positions, or agreements to purchase or sell relevant securities, should be given on a Supplemental Form 8 (Open Positions).</w:t>
      </w:r>
      <w:r>
        <w:br/>
      </w:r>
      <w:r>
        <w:br/>
      </w:r>
      <w:r>
        <w:t>(b) Rights to subscribe for new securities (including directors’ and other executive options)</w:t>
      </w:r>
      <w:r>
        <w:br/>
      </w:r>
      <w:r>
        <w:br/>
      </w:r>
      <w:r>
        <w:t xml:space="preserve">Class of relevant security in relation to which subscription </w:t>
      </w:r>
      <w:r>
        <w:br/>
      </w:r>
      <w:r>
        <w:t xml:space="preserve">          right exists:   </w:t>
      </w:r>
      <w:r>
        <w:br/>
      </w:r>
      <w:r>
        <w:t xml:space="preserve">Details, including nature of the rights concerned and relevant </w:t>
      </w:r>
      <w:r>
        <w:br/>
      </w:r>
      <w:r>
        <w:t xml:space="preserve">          percentages:  </w:t>
      </w:r>
      <w:r>
        <w:br/>
      </w:r>
      <w:r>
        <w:br/>
      </w:r>
      <w:r>
        <w:br/>
      </w:r>
      <w:r>
        <w:t>If there are positions or rights to subscribe to disclose in more than one class of relevant securities of the offeror or offeree named in 1(c), copy table 2(a) or (b) (as appropriate) for each additional class of relevant security.</w:t>
      </w:r>
      <w:r>
        <w:br/>
      </w:r>
      <w:r>
        <w:br/>
      </w:r>
      <w:r>
        <w:t>3. DEALINGS (IF ANY) BY THE PERSON MAKING THE DISCLOSURE</w:t>
      </w:r>
      <w:r>
        <w:br/>
      </w:r>
      <w:r>
        <w:br/>
      </w:r>
      <w:r>
        <w:t>(a) Purchases and sales</w:t>
      </w:r>
      <w:r>
        <w:br/>
      </w:r>
      <w:r>
        <w:br/>
      </w:r>
      <w:r>
        <w:t>Class of relevant security   Purchase/sale   Number of securities   Price per unit</w:t>
      </w:r>
      <w:r>
        <w:br/>
      </w:r>
      <w:r>
        <w:t>Ordinary                     Purchase        7,500                  66.1155</w:t>
      </w:r>
      <w:r>
        <w:br/>
      </w:r>
      <w:r>
        <w:br/>
      </w:r>
      <w:r>
        <w:br/>
      </w:r>
      <w:r>
        <w:t>(b) Derivatives transactions (other than options)</w:t>
      </w:r>
      <w:r>
        <w:br/>
      </w:r>
      <w:r>
        <w:br/>
      </w:r>
      <w:r>
        <w:t>Class of relevant security   Product description</w:t>
      </w:r>
      <w:r>
        <w:br/>
      </w:r>
      <w:r>
        <w:br/>
      </w:r>
      <w:r>
        <w:t xml:space="preserve">          </w:t>
      </w:r>
      <w:r>
        <w:br/>
      </w:r>
      <w:r>
        <w:t xml:space="preserve">            e.g. CFD   Nature of dealing</w:t>
      </w:r>
      <w:r>
        <w:br/>
      </w:r>
      <w:r>
        <w:br/>
      </w:r>
      <w:r>
        <w:t xml:space="preserve">          </w:t>
      </w:r>
      <w:r>
        <w:br/>
      </w:r>
      <w:r>
        <w:t xml:space="preserve">            e.g. opening/closing a long/short position, increasing/reducing </w:t>
      </w:r>
      <w:r>
        <w:br/>
      </w:r>
      <w:r>
        <w:t xml:space="preserve">            a long/short position  Number of reference securities   Price per unit</w:t>
      </w:r>
      <w:r>
        <w:br/>
      </w:r>
      <w:r>
        <w:br/>
      </w:r>
      <w:r>
        <w:br/>
      </w:r>
      <w:r>
        <w:t>(c) Options transactions in respect of existing securities</w:t>
      </w:r>
      <w:r>
        <w:br/>
      </w:r>
      <w:r>
        <w:br/>
      </w:r>
      <w:r>
        <w:t>(i) Writing, selling, purchasing or varying</w:t>
      </w:r>
      <w:r>
        <w:br/>
      </w:r>
      <w:r>
        <w:br/>
      </w:r>
      <w:r>
        <w:t>Class of relevant security   Product description e.g. call option   Writing, purchasing, selling, varying etc.   Number of securities to which option relates   Exercise price per unit   Type</w:t>
      </w:r>
      <w:r>
        <w:br/>
      </w:r>
      <w:r>
        <w:br/>
      </w:r>
      <w:r>
        <w:t xml:space="preserve">          </w:t>
      </w:r>
      <w:r>
        <w:br/>
      </w:r>
      <w:r>
        <w:t xml:space="preserve">            e.g. American, European etc.   Expiry date   Option money paid/ received per unit</w:t>
      </w:r>
      <w:r>
        <w:br/>
      </w:r>
      <w:r>
        <w:br/>
      </w:r>
      <w:r>
        <w:br/>
      </w:r>
      <w:r>
        <w:t>(ii) Exercising</w:t>
      </w:r>
      <w:r>
        <w:br/>
      </w:r>
      <w:r>
        <w:br/>
      </w:r>
      <w:r>
        <w:t>Class of relevant security   Product description</w:t>
      </w:r>
      <w:r>
        <w:br/>
      </w:r>
      <w:r>
        <w:br/>
      </w:r>
      <w:r>
        <w:t xml:space="preserve">          </w:t>
      </w:r>
      <w:r>
        <w:br/>
      </w:r>
      <w:r>
        <w:t xml:space="preserve">            e.g. call option   Number of securities   Exercise price per unit</w:t>
      </w:r>
      <w:r>
        <w:br/>
      </w:r>
      <w:r>
        <w:br/>
      </w:r>
      <w:r>
        <w:br/>
      </w:r>
      <w:r>
        <w:t>(d) Other dealings (including subscribing for new securities)</w:t>
      </w:r>
      <w:r>
        <w:br/>
      </w:r>
      <w:r>
        <w:br/>
      </w:r>
      <w:r>
        <w:t>Class of relevant security   Nature of dealing</w:t>
      </w:r>
      <w:r>
        <w:br/>
      </w:r>
      <w:r>
        <w:br/>
      </w:r>
      <w:r>
        <w:t xml:space="preserve">          </w:t>
      </w:r>
      <w:r>
        <w:br/>
      </w:r>
      <w:r>
        <w:t xml:space="preserve">            e.g. subscription, conversion   Details   Price per unit (if applicable)</w:t>
      </w:r>
      <w:r>
        <w:br/>
      </w:r>
      <w:r>
        <w:br/>
      </w:r>
      <w:r>
        <w:br/>
      </w:r>
      <w:r>
        <w:t>The currency of all prices and other monetary amounts should be stated.</w:t>
      </w:r>
      <w:r>
        <w:br/>
      </w:r>
      <w:r>
        <w:br/>
      </w:r>
      <w:r>
        <w:t>Where there have been dealings in more than one class of relevant securities of the offeror or offeree named in 1(c), copy table 3(a), (b), (c) or (d) (as appropriate) for each additional class of relevant security dealt in.</w:t>
      </w:r>
      <w:r>
        <w:br/>
      </w:r>
      <w:r>
        <w:br/>
      </w:r>
      <w:r>
        <w:t>4. OTHER INFORMATION</w:t>
      </w:r>
      <w:r>
        <w:br/>
      </w:r>
      <w:r>
        <w:br/>
      </w:r>
      <w:r>
        <w:t>(a) Indemnity and other dealing arrangements</w:t>
      </w:r>
      <w:r>
        <w:br/>
      </w:r>
      <w:r>
        <w:br/>
      </w:r>
      <w:r>
        <w:t xml:space="preserve">Details of any indemnity or option arrangement, or any agreement </w:t>
      </w:r>
      <w:r>
        <w:br/>
      </w:r>
      <w:r>
        <w:t xml:space="preserve">          or understanding, formal or informal, relating to relevant </w:t>
      </w:r>
      <w:r>
        <w:br/>
      </w:r>
      <w:r>
        <w:t xml:space="preserve">          securities which may be an inducement to deal or refrain from </w:t>
      </w:r>
      <w:r>
        <w:br/>
      </w:r>
      <w:r>
        <w:t xml:space="preserve">          dealing entered into by the person making the disclosure and any </w:t>
      </w:r>
      <w:r>
        <w:br/>
      </w:r>
      <w:r>
        <w:t xml:space="preserve">          party to the offer or any person acting in concert with a party to </w:t>
      </w:r>
      <w:r>
        <w:br/>
      </w:r>
      <w:r>
        <w:t xml:space="preserve">          the offer:</w:t>
      </w:r>
      <w:r>
        <w:br/>
      </w:r>
      <w:r>
        <w:br/>
      </w:r>
      <w:r>
        <w:t xml:space="preserve">          </w:t>
      </w:r>
      <w:r>
        <w:br/>
      </w:r>
      <w:r>
        <w:t xml:space="preserve">            If there are no such agreements, arrangements or </w:t>
      </w:r>
      <w:r>
        <w:br/>
      </w:r>
      <w:r>
        <w:t xml:space="preserve">            understandings, state “none”</w:t>
      </w:r>
      <w:r>
        <w:br/>
      </w:r>
      <w:r>
        <w:t>None</w:t>
      </w:r>
      <w:r>
        <w:br/>
      </w:r>
      <w:r>
        <w:br/>
      </w:r>
      <w:r>
        <w:br/>
      </w:r>
      <w:r>
        <w:t>(b) Agreements, arrangements or understandings relating to options or derivatives</w:t>
      </w:r>
      <w:r>
        <w:br/>
      </w:r>
      <w:r>
        <w:br/>
      </w:r>
      <w:r>
        <w:t xml:space="preserve">Details of any agreement, arrangement or understanding, formal or </w:t>
      </w:r>
      <w:r>
        <w:br/>
      </w:r>
      <w:r>
        <w:t xml:space="preserve">          informal, between the person making the disclosure and any other </w:t>
      </w:r>
      <w:r>
        <w:br/>
      </w:r>
      <w:r>
        <w:t xml:space="preserve">          person relating to:</w:t>
      </w:r>
      <w:r>
        <w:br/>
      </w:r>
      <w:r>
        <w:br/>
      </w:r>
      <w:r>
        <w:t xml:space="preserve">          </w:t>
      </w:r>
      <w:r>
        <w:br/>
      </w:r>
      <w:r>
        <w:t xml:space="preserve">            (i) the voting rights of any relevant securities under any </w:t>
      </w:r>
      <w:r>
        <w:br/>
      </w:r>
      <w:r>
        <w:t xml:space="preserve">            option; or </w:t>
      </w:r>
      <w:r>
        <w:br/>
      </w:r>
      <w:r>
        <w:t xml:space="preserve">          </w:t>
      </w:r>
      <w:r>
        <w:br/>
      </w:r>
      <w:r>
        <w:t xml:space="preserve">          </w:t>
      </w:r>
      <w:r>
        <w:br/>
      </w:r>
      <w:r>
        <w:t xml:space="preserve">            (ii) the voting rights or future acquisition or disposal of any </w:t>
      </w:r>
      <w:r>
        <w:br/>
      </w:r>
      <w:r>
        <w:t xml:space="preserve">            relevant securities to which any derivative is referenced:</w:t>
      </w:r>
      <w:r>
        <w:br/>
      </w:r>
      <w:r>
        <w:t xml:space="preserve">          </w:t>
      </w:r>
      <w:r>
        <w:br/>
      </w:r>
      <w:r>
        <w:t xml:space="preserve">          </w:t>
      </w:r>
      <w:r>
        <w:br/>
      </w:r>
      <w:r>
        <w:t xml:space="preserve">            If there are no such agreements, arrangements or </w:t>
      </w:r>
      <w:r>
        <w:br/>
      </w:r>
      <w:r>
        <w:t xml:space="preserve">            understandings, state “none”</w:t>
      </w:r>
      <w:r>
        <w:br/>
      </w:r>
      <w:r>
        <w:t>None</w:t>
      </w:r>
      <w:r>
        <w:br/>
      </w:r>
      <w:r>
        <w:br/>
      </w:r>
      <w:r>
        <w:br/>
      </w:r>
      <w:r>
        <w:t>(c) Attachments</w:t>
      </w:r>
      <w:r>
        <w:br/>
      </w:r>
      <w:r>
        <w:br/>
      </w:r>
      <w:r>
        <w:t>Is a Supplemental Form 8 (Open Positions) attached?   Yes</w:t>
      </w:r>
      <w:r>
        <w:br/>
      </w:r>
      <w:r>
        <w:br/>
      </w:r>
      <w:r>
        <w:br/>
      </w:r>
      <w:r>
        <w:t>Date of disclosure:   21 August 2015</w:t>
      </w:r>
      <w:r>
        <w:br/>
      </w:r>
      <w:r>
        <w:t>Contact name:         Enrique Caceres</w:t>
      </w:r>
      <w:r>
        <w:br/>
      </w:r>
      <w:r>
        <w:t>Telephone number:     646-727-4451</w:t>
      </w:r>
      <w:r>
        <w:br/>
      </w:r>
      <w:r>
        <w:br/>
      </w:r>
      <w:r>
        <w:br/>
      </w:r>
      <w:r>
        <w:t>Public disclosures under Rule 8 of the Code must be made to a Regulatory Information Service and must also be emailed to the Takeover Panel at monitoring@disclosure.org.uk. The Panel’s Market Surveillance Unit is available for consultation in relation to the Code’s dealing disclosure requirements on +44 (0)20 7638 0129.</w:t>
      </w:r>
      <w:r>
        <w:br/>
      </w:r>
      <w:r>
        <w:br/>
      </w:r>
      <w:r>
        <w:t>The Code can be viewed on the Panel’s website at www.thetakeoverpanel.org.uk.</w:t>
      </w:r>
      <w:r>
        <w:br/>
      </w:r>
      <w:r>
        <w:br/>
      </w:r>
      <w:r>
        <w:t>SUPPLEMENTAL FORM 8 (OPEN POSITIONS)</w:t>
      </w:r>
      <w:r>
        <w:br/>
      </w:r>
      <w:r>
        <w:br/>
      </w:r>
      <w:r>
        <w:t>DETAILS OF OPEN STOCK-SETTLED DERIVATIVE (INCLUDING OPTION) POSITIONS, AGREEMENTS TO PURCHASE OR SELL ETC.</w:t>
      </w:r>
      <w:r>
        <w:br/>
      </w:r>
      <w:r>
        <w:br/>
      </w:r>
      <w:r>
        <w:t>Note 5(i) on Rule 8 of the Takeover Code (the “Code”)</w:t>
      </w:r>
      <w:r>
        <w:br/>
      </w:r>
      <w:r>
        <w:br/>
      </w:r>
      <w:r>
        <w:t>1. KEY INFORMATION</w:t>
      </w:r>
      <w:r>
        <w:br/>
      </w:r>
      <w:r>
        <w:br/>
      </w:r>
      <w:r>
        <w:t>Full name of person making disclosure:                                                              Water Island Capital LLC</w:t>
      </w:r>
      <w:r>
        <w:br/>
      </w:r>
      <w:r>
        <w:t xml:space="preserve">Name of offeror/offeree in relation to whose relevant securities </w:t>
      </w:r>
      <w:r>
        <w:br/>
      </w:r>
      <w:r>
        <w:t xml:space="preserve">          the disclosure relates: STERIS Corp</w:t>
      </w:r>
      <w:r>
        <w:br/>
      </w:r>
      <w:r>
        <w:br/>
      </w:r>
      <w:r>
        <w:br/>
      </w:r>
      <w:r>
        <w:t>2. STOCK-SETTLED DERIVATIVES (INCLUDING OPTIONS)</w:t>
      </w:r>
      <w:r>
        <w:br/>
      </w:r>
      <w:r>
        <w:br/>
      </w:r>
      <w:r>
        <w:t>Class of relevant security Product description e.g. call option Written or purchased Number of securities to which option or derivative relates Exercise price per unit Type</w:t>
      </w:r>
      <w:r>
        <w:br/>
      </w:r>
      <w:r>
        <w:br/>
      </w:r>
      <w:r>
        <w:t xml:space="preserve">          </w:t>
      </w:r>
      <w:r>
        <w:br/>
      </w:r>
      <w:r>
        <w:t xml:space="preserve">            e.g. American, European etc. Expiry date</w:t>
      </w:r>
      <w:r>
        <w:br/>
      </w:r>
      <w:r>
        <w:t>Ordinary                   Put                                  Written              100,000                                                    65                      American                                                  18/9/15</w:t>
      </w:r>
      <w:r>
        <w:br/>
      </w:r>
      <w:r>
        <w:t>Ordinary                   Call                                 Purchased            100,000                                                    70                      American                                                  18/9/15</w:t>
      </w:r>
      <w:r>
        <w:br/>
      </w:r>
      <w:r>
        <w:br/>
      </w:r>
      <w:r>
        <w:br/>
      </w:r>
      <w:r>
        <w:t>3. AGREEMENTS TO PURCHASE OR SELL ETC.</w:t>
      </w:r>
      <w:r>
        <w:br/>
      </w:r>
      <w:r>
        <w:br/>
      </w:r>
      <w:r>
        <w:t xml:space="preserve">Full details should be given so that the nature of the interest </w:t>
      </w:r>
      <w:r>
        <w:br/>
      </w:r>
      <w:r>
        <w:t xml:space="preserve">          or position can be fully understood:</w:t>
      </w:r>
      <w:r>
        <w:br/>
      </w:r>
      <w:r>
        <w:br/>
      </w:r>
      <w:r>
        <w:br/>
      </w:r>
      <w:r>
        <w:t>It is not necessary to provide details on a Supplemental Form (Open Positions) with regard to cash-settled derivatives.</w:t>
      </w:r>
      <w:r>
        <w:br/>
      </w:r>
      <w:r>
        <w:br/>
      </w:r>
      <w:r>
        <w:t>The currency of all prices and other monetary amounts should be stated.</w:t>
      </w:r>
      <w:r>
        <w:br/>
      </w:r>
      <w:r>
        <w:br/>
      </w:r>
      <w:r>
        <w:t>The Panel’s Market Surveillance Unit is available for consultation in relation to the Code’s disclosure requirements on +44 (0)20 7638 0129.</w:t>
      </w:r>
      <w:r>
        <w:br/>
      </w:r>
      <w:r>
        <w:br/>
      </w:r>
      <w:r>
        <w:t>The Code can be viewed on the Panel’s website at www.thetakeoverpanel.org.uk</w:t>
      </w:r>
      <w:r>
        <w:br/>
      </w:r>
      <w:r>
        <w:br/>
      </w:r>
      <w:r>
        <w:t>View source version on businesswire.com:http://www.businesswire.com/news/home/20150821005262/en/</w:t>
      </w:r>
    </w:p>
    <w:p xmlns:wp14="http://schemas.microsoft.com/office/word/2010/wordml" w14:paraId="38C1D216" wp14:textId="77777777">
      <w:pPr>
        <w:pStyle w:val="Heading1"/>
      </w:pPr>
      <w:r>
        <w:t>End of Article 6</w:t>
      </w:r>
    </w:p>
    <w:p xmlns:wp14="http://schemas.microsoft.com/office/word/2010/wordml" w14:paraId="5A39BBE3" wp14:textId="77777777">
      <w:r>
        <w:br w:type="page"/>
      </w:r>
    </w:p>
    <w:p xmlns:wp14="http://schemas.microsoft.com/office/word/2010/wordml" w14:paraId="5220BA90" wp14:textId="77777777">
      <w:pPr>
        <w:pStyle w:val="Heading1"/>
      </w:pPr>
      <w:r>
        <w:t>Start of Article 7</w:t>
      </w:r>
    </w:p>
    <w:p xmlns:wp14="http://schemas.microsoft.com/office/word/2010/wordml" w14:paraId="12404035" wp14:textId="77777777">
      <w:pPr>
        <w:pStyle w:val="Heading1"/>
      </w:pPr>
      <w:r>
        <w:t>Document ID IFDAW00020151023eban00009</w:t>
      </w:r>
    </w:p>
    <w:p xmlns:wp14="http://schemas.microsoft.com/office/word/2010/wordml" w14:paraId="4098E018" wp14:textId="77777777">
      <w:r>
        <w:t>Miller said diagnostic makers need to be incentivized to tackle these challenges in much the same way drug manufacturers have been to discover, develop and validate new antibiotics and anti-infective strategies. Regulatory incentives should create "a regulatory and medical landscape which adapts to these new realities," he said.</w:t>
      </w:r>
      <w:r>
        <w:br/>
      </w:r>
      <w:r>
        <w:br/>
      </w:r>
      <w:r>
        <w:t>In addition to regulatory incentives, he said there needs to be federal funding set aside to specifically encourage research into infectious disease diagnostics and there needs to be creative and adaptive modernized clinical trial models.</w:t>
      </w:r>
      <w:r>
        <w:br/>
      </w:r>
      <w:r>
        <w:br/>
      </w:r>
      <w:r>
        <w:t>There also needs to be a change in reimbursement policies "based on medical value and the importance of the diagnostic test to manage patients, and not just on the technology," Miller said. As an example, Miller said a host-based signature assay for diagnosing strep throat should not be reimbursed the same as a protein signature assay for diagnosing tuberculosis reinfection or sepsis.</w:t>
      </w:r>
      <w:r>
        <w:br/>
      </w:r>
      <w:r>
        <w:br/>
      </w:r>
      <w:r>
        <w:t>Without this reimbursement differential, he said, in vitro diagnostic manufacturers will be reluctant to invest the money necessary to develop "the innovative and necessary biomarkers that we need today."</w:t>
      </w:r>
      <w:r>
        <w:br/>
      </w:r>
      <w:r>
        <w:br/>
      </w:r>
      <w:r>
        <w:t>The White House action plan calls for FDA and CMS to work with industry partners to streamline development and uptake of new diagnostic tests and facilitate their use to improve patient treatment and achieve public health goals. "A major aim of these efforts is to develop well-defined reimbursement policies and incentives that encourage routine use of diagnostics in clinical settings to distinguish between bacterial and viral infections and identify the antibiotic susceptibilities of bacteria," the plan states.</w:t>
      </w:r>
      <w:r>
        <w:br/>
      </w:r>
      <w:r>
        <w:br/>
      </w:r>
      <w:r>
        <w:t>FDA says in a discussion paper prepared for the public meeting that progress in the development and validation of non-microbial analytes for diagnosing infections has been hampered by uncertainty regarding clinically relevant performance standards as well as the diversity of approaches to clinical study design, comparator methods and statistical analysis.</w:t>
      </w:r>
      <w:r>
        <w:br/>
      </w:r>
      <w:r>
        <w:br/>
      </w:r>
      <w:r>
        <w:t>"Increased emphasis on antibiotic stewardship has heightened interest in non-microbial based biomarkers in settings where infection may be suspected but difficult or problematic to confirm," the discussion paper says. "Differentiating disease etiology by non-microbial analytes is not a new concept; analytes such as procalcitonin (PCT) and CRP have strong advocates and detractors for use in patients with suspected or documented infection."</w:t>
      </w:r>
      <w:r>
        <w:br/>
      </w:r>
      <w:r>
        <w:br/>
      </w:r>
      <w:r>
        <w:t>The public meeting, in part, focused on the use of non-microbial biomarkers to discriminate between viral, bacterial and non-infectious etiologies of suspected respiratory infection, because the agency said this has been a major focus of non-microbial biomarker research.</w:t>
      </w:r>
      <w:r>
        <w:br/>
      </w:r>
      <w:r>
        <w:br/>
      </w:r>
      <w:r>
        <w:t>"There has been greater impetus for this research in the setting of rising antimicrobial resistance and increasing recognition of potential adverse effects from antimicrobials," FDA says.</w:t>
      </w:r>
      <w:r>
        <w:br/>
      </w:r>
      <w:r>
        <w:br/>
      </w:r>
      <w:r>
        <w:t>The agency says that the scientific community generally conducts studies for these types of diagnostics using prospective trials. This is challenging because uncommon but clinically significant pathogens may be difficult to capture -- even in large clinical trials -- using a prospective approach, FDA adds.</w:t>
      </w:r>
      <w:r>
        <w:br/>
      </w:r>
      <w:r>
        <w:br/>
      </w:r>
      <w:r>
        <w:t xml:space="preserve">FDA also is exploring non-microbial biomarkers for the diagnosis of sepsis, which the agency notes is not a singular disease entity with a clearly defined pathophysiology relative to a non-septic state. -- Erin Durkin </w:t>
      </w:r>
    </w:p>
    <w:p xmlns:wp14="http://schemas.microsoft.com/office/word/2010/wordml" w14:paraId="65405D21" wp14:textId="77777777">
      <w:pPr>
        <w:pStyle w:val="Heading1"/>
      </w:pPr>
      <w:r>
        <w:t>End of Article 7</w:t>
      </w:r>
    </w:p>
    <w:p xmlns:wp14="http://schemas.microsoft.com/office/word/2010/wordml" w14:paraId="41C8F396" wp14:textId="77777777">
      <w:r>
        <w:br w:type="page"/>
      </w:r>
    </w:p>
    <w:p xmlns:wp14="http://schemas.microsoft.com/office/word/2010/wordml" w14:paraId="112FA418" wp14:textId="77777777">
      <w:pPr>
        <w:pStyle w:val="Heading1"/>
      </w:pPr>
      <w:r>
        <w:t>Start of Article 8</w:t>
      </w:r>
    </w:p>
    <w:p xmlns:wp14="http://schemas.microsoft.com/office/word/2010/wordml" w14:paraId="618BC796" wp14:textId="77777777">
      <w:pPr>
        <w:pStyle w:val="Heading1"/>
      </w:pPr>
      <w:r>
        <w:t>Document ID BNZNGA0020150326eb3q0005m</w:t>
      </w:r>
    </w:p>
    <w:p xmlns:wp14="http://schemas.microsoft.com/office/word/2010/wordml" w14:paraId="7265FACC" wp14:textId="77777777">
      <w:r>
        <w:t>About IGI Laboratories, Inc.</w:t>
      </w:r>
      <w:r>
        <w:br/>
      </w:r>
      <w:r>
        <w:br/>
      </w:r>
      <w:r>
        <w:t>IGI Laboratories is a specialty generic pharmaceutical company.  Our mission is to be a leading player in the specialty generic prescription drug market.</w:t>
      </w:r>
      <w:r>
        <w:br/>
      </w:r>
      <w:r>
        <w:br/>
      </w:r>
      <w:r>
        <w:t>Forward-Looking Statements</w:t>
      </w:r>
      <w:r>
        <w:br/>
      </w:r>
      <w:r>
        <w:br/>
      </w:r>
      <w:r>
        <w:t>This press release includes certain "forward-looking statements" within the meaning of the Private Securities Litigation Reform Act of 1995. These forward-looking statements include, but are not limited to, plans, objectives, expectations and intentions, and other statements contained in this</w:t>
      </w:r>
      <w:r>
        <w:br/>
      </w:r>
      <w:r>
        <w:br/>
      </w:r>
      <w:r>
        <w:t>See full press release</w:t>
      </w:r>
      <w:r>
        <w:br/>
      </w:r>
      <w:r>
        <w:br/>
      </w:r>
      <w:r>
        <w:t>© 2015 Benzinga.com. Benzinga does not provide investment advice. All rights reserved.</w:t>
      </w:r>
    </w:p>
    <w:p xmlns:wp14="http://schemas.microsoft.com/office/word/2010/wordml" w14:paraId="436A8518" wp14:textId="77777777">
      <w:pPr>
        <w:pStyle w:val="Heading1"/>
      </w:pPr>
      <w:r>
        <w:t>End of Article 8</w:t>
      </w:r>
    </w:p>
    <w:p xmlns:wp14="http://schemas.microsoft.com/office/word/2010/wordml" w14:paraId="72A3D3EC" wp14:textId="77777777">
      <w:r>
        <w:br w:type="page"/>
      </w:r>
    </w:p>
    <w:p xmlns:wp14="http://schemas.microsoft.com/office/word/2010/wordml" w14:paraId="3A768C6B" wp14:textId="77777777">
      <w:pPr>
        <w:pStyle w:val="Heading1"/>
      </w:pPr>
      <w:r>
        <w:t>Start of Article 9</w:t>
      </w:r>
    </w:p>
    <w:p xmlns:wp14="http://schemas.microsoft.com/office/word/2010/wordml" w14:paraId="54170C12" wp14:textId="77777777">
      <w:pPr>
        <w:pStyle w:val="Heading1"/>
      </w:pPr>
      <w:r>
        <w:t>Document ID CTRW000020150529eb6100017</w:t>
      </w:r>
    </w:p>
    <w:p xmlns:wp14="http://schemas.microsoft.com/office/word/2010/wordml" w14:paraId="2BF02571" wp14:textId="77777777">
      <w:r>
        <w:t>Our news journalists obtained a quote from the research from the University of Southampton, "To gain more detailed insights into this hypothesis, we performed a systematic literature review. Literature about occurrence of TCR was systematically identified through searching in Cochrane Central Register of Controlled Trials (CENTRAL), PubMed (MEDLINE), EMBASE (Ovid SP), and the Institute for Scientific Information (ISI Web of Sciences) databases until June 2013, as well as reference lists of articles for risk calculation. In this study, TCR was defined as drop in mean arterial blood pressure and heart rate, both &gt;20% to baseline. We calculated intraoperative cerebral state index (CSI) of each TCR-case using a newly developed method. These data were further divided into 3 subgroups: CSI &lt;40 (deep anesthesia), CSI 40-60 (regular anesthesia), and CSI &gt;60 (slight anesthesia). Including 45 studies with 910 patients, 140 (15%) presented with TCR, and 770 (85%) without TCR during operation. TCR occurrence showed a 1.2-fold higher pooled risk slighter anesthesia (CSI &lt;40: 13%, at CSI 40-60: 21%, and at CSI &gt;60: 27%) compared with deeper anesthesia. In addition, we could discover a 1.3-fold higher pooled risk of higher MABP drop with a strong negative correlation (r = -0.935; r(2) = 0.89) and a 4.5-fold higher pooled risk of asystole during TCR under slight anesthesia compared with deeper anesthesia. Our work is the first systematic review about TCR and demonstrates clear evidence for TCR occurrence and a more severe course of the TCR in slight anesthesia underlying the importance of skills in anesthesia management during skull base surgery."</w:t>
      </w:r>
      <w:r>
        <w:br/>
      </w:r>
      <w:r>
        <w:br/>
      </w:r>
      <w:r>
        <w:t>According to the news editors, the research concluded: "Furthermore, we have introduced a new standard method to calculate the depth of anesthesia."</w:t>
      </w:r>
      <w:r>
        <w:br/>
      </w:r>
      <w:r>
        <w:br/>
      </w:r>
      <w:r>
        <w:t>For more information on this research see: Anesthetic Influence on Occurrence and Treatment of the Trigemino-Cardiac Reflex A Systematic Literature Review. Medicine, 2015;94(18):46-53. Medicine can be contacted at: Lippincott Williams &amp; Wilkins, Two Commerce Sq, 2001 Market St, Philadelphia, PA 19103, USA. (Elsevier - www.elsevier.com; Medicine - www.elsevier.com/wps/product/cws_home/709606)</w:t>
      </w:r>
      <w:r>
        <w:br/>
      </w:r>
      <w:r>
        <w:br/>
      </w:r>
      <w:r>
        <w:t>Our news journalists report that additional information may be obtained by contacting C. Meuwly, University of Southampton, Dept. of Res, Southampton, Hants, United Kingdom. Additional authors for this research include T. Chowdhury, N. Sandu, M. Reck, P. Erne and B. Schaller.</w:t>
      </w:r>
      <w:r>
        <w:br/>
      </w:r>
      <w:r>
        <w:br/>
      </w:r>
      <w:r>
        <w:t>Keywords for this news article include: Europe, Anesthesia, Cardiology, Southampton, Pain Medicine, United Kingdom</w:t>
      </w:r>
      <w:r>
        <w:br/>
      </w:r>
      <w:r>
        <w:br/>
      </w:r>
      <w:r>
        <w:t>Our reports deliver fact-based news of research and discoveries from around the world. Copyright 2015, NewsRx LLC</w:t>
      </w:r>
    </w:p>
    <w:p xmlns:wp14="http://schemas.microsoft.com/office/word/2010/wordml" w14:paraId="79DB7A3A" wp14:textId="77777777">
      <w:pPr>
        <w:pStyle w:val="Heading1"/>
      </w:pPr>
      <w:r>
        <w:t>End of Article 9</w:t>
      </w:r>
    </w:p>
    <w:p xmlns:wp14="http://schemas.microsoft.com/office/word/2010/wordml" w14:paraId="0D0B940D" wp14:textId="77777777">
      <w:r>
        <w:br w:type="page"/>
      </w:r>
    </w:p>
    <w:p xmlns:wp14="http://schemas.microsoft.com/office/word/2010/wordml" w14:paraId="568594CE" wp14:textId="77777777">
      <w:pPr>
        <w:pStyle w:val="Heading1"/>
      </w:pPr>
      <w:r>
        <w:t>Start of Article 10</w:t>
      </w:r>
    </w:p>
    <w:p xmlns:wp14="http://schemas.microsoft.com/office/word/2010/wordml" w14:paraId="0556DE0F" wp14:textId="77777777">
      <w:pPr>
        <w:pStyle w:val="Heading1"/>
      </w:pPr>
      <w:r>
        <w:t>Document ID ATPHAM0020151023ebal000bg</w:t>
      </w:r>
    </w:p>
    <w:p xmlns:wp14="http://schemas.microsoft.com/office/word/2010/wordml" w14:paraId="328EC750" wp14:textId="77777777">
      <w:r>
        <w:t>To participate in the conference call, dial (877) 201-0168 and enter 65027583. Please dial in at least 10 minutes prior to the call.</w:t>
      </w:r>
      <w:r>
        <w:br/>
      </w:r>
      <w:r>
        <w:br/>
      </w:r>
      <w:r>
        <w:t>If you do not have access to the Internet and want to listen to an audio replay of the conference call, dial (855) 859-2056 and enter 65027583. The audio replay will be available beginning at 6:45 p.m. CT on Wednesday, November 4, 2015, through 10:59 p.m. CT on Wednesday, November 11, 2015.</w:t>
      </w:r>
      <w:r>
        <w:br/>
      </w:r>
      <w:r>
        <w:br/>
      </w:r>
      <w:r>
        <w:t>Source: Cardiovascular Systems</w:t>
      </w:r>
    </w:p>
    <w:p xmlns:wp14="http://schemas.microsoft.com/office/word/2010/wordml" w14:paraId="148394C6" wp14:textId="77777777">
      <w:pPr>
        <w:pStyle w:val="Heading1"/>
      </w:pPr>
      <w:r>
        <w:t>End of Article 10</w:t>
      </w:r>
    </w:p>
    <w:p xmlns:wp14="http://schemas.microsoft.com/office/word/2010/wordml" w14:paraId="0E27B00A" wp14:textId="77777777">
      <w:r>
        <w:br w:type="page"/>
      </w:r>
    </w:p>
    <w:p xmlns:wp14="http://schemas.microsoft.com/office/word/2010/wordml" w14:paraId="2A8A3CDE" wp14:textId="77777777">
      <w:pPr>
        <w:pStyle w:val="Heading1"/>
      </w:pPr>
      <w:r>
        <w:t>Start of Article 11</w:t>
      </w:r>
    </w:p>
    <w:p xmlns:wp14="http://schemas.microsoft.com/office/word/2010/wordml" w14:paraId="4DF6D7C8" wp14:textId="77777777">
      <w:pPr>
        <w:pStyle w:val="Heading1"/>
      </w:pPr>
      <w:r>
        <w:t>Document ID POLGOV0020150313eb3j002tr</w:t>
      </w:r>
    </w:p>
    <w:p xmlns:wp14="http://schemas.microsoft.com/office/word/2010/wordml" w14:paraId="7124AB18" wp14:textId="77777777">
      <w:r>
        <w:t>News editors obtained the following quote from the background information supplied by the inventors: "Embodiments of the present disclosure generally relate to implantable cardiac devices, and more particularly to implantable medical devices that communicate with an external device through radio frequency (RF) signals.</w:t>
      </w:r>
      <w:r>
        <w:br/>
      </w:r>
      <w:r>
        <w:br/>
      </w:r>
      <w:r>
        <w:t>"Numerous medical devices exist today, including but not limited to electrocardiographs ('ECGs'), electroencephalographs ('EEGs'), squid magnetometers, implantable pacemakers, implantable cardioverter-defibrillators ('ICDs'), neurostimulators, electrophysiology ('EP') mapping and radio frequency ('RF') ablation systems, and the like. Implantable medical devices (hereafter generally 'implantable medical devices' or 'IMDs') are configured to be implanted within patient anatomy and commonly employ one or more leads with electrodes that either receive or deliver voltage, current or other electromagnetic pulses (generally 'energy') from or to an organ or tissue (collectively hereafter 'tissue') for diagnostic or therapeutic purposes.</w:t>
      </w:r>
      <w:r>
        <w:br/>
      </w:r>
      <w:r>
        <w:br/>
      </w:r>
      <w:r>
        <w:t>"Various IMDs are monitored by a programmer, such as remote care or base station, which is remotely located from the IMDs. For example, a patient may have an IMD that communicates with a base station within the patient's home. The base station may be located by a patient's bedside. The base station receives data from the IMD regarding the patient's physiological state and/or the operation state of the IMD. Based on the received data, the base station may convey the data to a remote server of a medical care network, or adjust operating parameters for the IMD. For example, the base station may adjust operating parameters of the IMD, such as when a patient experiences changes in arrhythmia, pacing, ST shift, various types of ischemia, base rate, and the like.</w:t>
      </w:r>
      <w:r>
        <w:br/>
      </w:r>
      <w:r>
        <w:br/>
      </w:r>
      <w:r>
        <w:t>"Many IMDs include an RF capability to communicate with the programmer. Data may be received from the base station when transmitted over varies frequency bands, such as at a 402-405 MHz frequency range, which represents the Medical Implant Communication Service (MICS) band. The MICS band enables a short-range, wireless link to be maintained between low-power implanted IMDs and an external programmer or base station.</w:t>
      </w:r>
      <w:r>
        <w:br/>
      </w:r>
      <w:r>
        <w:br/>
      </w:r>
      <w:r>
        <w:t>"An RF chip within a typical IMD periodically scans select frequency bands, such as the 2.45 GHz band, over the life of the IMD. The 2.45 GHz band is an unlicensed, microwave band. The IMD uses information received over the 2.45 GHz band to determine if the programmer is seeking to communicate with the IMD over another band (for example, the MICS band), which is used to receive and transmit data to and from the IMD. If the RF chip operating at a 2.45 GHz band detects that the programmer desires to communicate over the MICS band, the IMD then switches over to the MICS band. Bidirectional communication over the MICS band consumes substantially more power than the 2.45 GHz band. As such, through the use of the 2.45 GHz band, which is used to detect whether the programmer is attempting to communicate with the IMD, the IMD conserves energy. In general, the MICS band (for example, the 402-405 MHz band) affords a longer range and more robust connection than the 2.45 GHz band. However, as compared to the MICS band, the 2.45 GHz band draws less power from the IMD when scanning for connection requests and during a communications session.</w:t>
      </w:r>
      <w:r>
        <w:br/>
      </w:r>
      <w:r>
        <w:br/>
      </w:r>
      <w:r>
        <w:t>"In order to establish an RF communication link between a programmer and an IMD in some known systems, the programmer first establishes a short range inductive link with the IMD after an inductive wand is placed in proximity to the IMD. The programmer then sends an inductive telemetry command through the established inductive link to the IMD in order to initiate an MICS band RF scan for all allocated MICS band channels. The programmer then instructs the wand to establish an MICS band link with the IMD. Typically, the programmer assesses the channels and selects the clearest or least-interfered MICS channel from the available allocated MICS channels. The connection request is sent through the selected channels. When the RF chip in the IMD detects the connection request, the RF chip completes the MICS band link through coordinated actions between the RF chip and device firmware.</w:t>
      </w:r>
      <w:r>
        <w:br/>
      </w:r>
      <w:r>
        <w:br/>
      </w:r>
      <w:r>
        <w:t>"The communication connection process described above works well so long as the IMD, the wand, and the external programmer include inductive hardware. By default, the IMD typically does not perform a frequent scan on the MICS channel seeking a connection request, as doing so would deplete too much energy. Instead, the IMD scans the MICS channel after receiving a specific command from the programmer received over inductive hardware. As such, the IMD saves energy, which ensures longevity. At the same time, the programmer connects to a specifically-targeted IMD, because the inductive connection is typically targeted with a specific IMD at a short range.</w:t>
      </w:r>
      <w:r>
        <w:br/>
      </w:r>
      <w:r>
        <w:br/>
      </w:r>
      <w:r>
        <w:t>"However, with RF-only devices that do not include inductive hardware, the programmer may initiate a wake-up with multiple devices over the 2.45 GHz band. For example, if multiple IMDs are in close proximity with one another, each of the IMDs may be scanning the 2.45 GHz band and respond to a connection request from the programmer. Yet, the programmer may be targeting only a single IMD, but not multiple IMDs. As such, the programmer may erroneously wake up and communicate with non-targeted IMDs."</w:t>
      </w:r>
      <w:r>
        <w:br/>
      </w:r>
      <w:r>
        <w:br/>
      </w:r>
      <w:r>
        <w:t>As a supplement to the background information on this patent application, VerticalNews correspondents also obtained the inventors' summary information for this patent application: "Certain embodiments of the present disclosure provide an external device configured to selectively communicate with a target implantable medical device (IMD) within a vicinity of other IMDs. The external device may include a communication module configured to communicate with the target IMD with at least a transmission request, a response analysis module configured to receive and analyze a target response signal from the target IMD and the other response signals from the other IMDs, and a power adjustment module configured to receive one or more power-adjustment request signals from the response analysis module. The power adjustment module is configured to adaptively adjust a power of a transmission request over a first frequency band based on the one or more power-adjustment request signals until the response analysis module receives only the target response signal from the target IMD. The external device is configured to communicate with the target IMD over a second frequency band after the response analysis module receives only the target response signal.</w:t>
      </w:r>
      <w:r>
        <w:br/>
      </w:r>
      <w:r>
        <w:br/>
      </w:r>
      <w:r>
        <w:t>"The external device is configured to be positioned closer to the target IMD than the other IMDs. One or more of the communication module, the response analysis module, and the power adjustment module are contained within a wand that is configured to wake up the target IMD. Optionally, one or more of the communication module, the response analysis module, and the power adjustment module are contained within one or more of a patient home care system, a tablet, a smart phone, or a laptop computer.</w:t>
      </w:r>
      <w:r>
        <w:br/>
      </w:r>
      <w:r>
        <w:br/>
      </w:r>
      <w:r>
        <w:t>"The communication module may be an RF communication module that is devoid of telemetry hardware that is configured to facilitate inductive communication. The power adjustment module may be configured to incrementally decrease the power of the transmission request over the first frequency band when the response analysis module receives one or more of the other signals from one of more the other IMDs. Further, the power adjustment module may be configured to incrementally increase the power of the transmission request over the first frequency band when the response analysis module does not receive the target response signal. The first frequency band may be a low power, high frequency band, such as the unlicensed 2.45 GHz band. The second frequency band may be a high power, lower frequency band in the range of 402-405 MHz.</w:t>
      </w:r>
      <w:r>
        <w:br/>
      </w:r>
      <w:r>
        <w:br/>
      </w:r>
      <w:r>
        <w:t>"Certain embodiments of the present disclosure provide a system that may include a target implantable medical device (IMD), and an external device configured to selectively communicate with the target IMD.</w:t>
      </w:r>
      <w:r>
        <w:br/>
      </w:r>
      <w:r>
        <w:br/>
      </w:r>
      <w:r>
        <w:t>"Certain embodiments of the present disclosure provide a method of selectively communicating with a target implantable medical device (IMD) within a vicinity of other IMDs. The method may include communicating with the target IMD with a communication module, receiving a target response signal from the target IMD with a response analysis module, receiving one or more other response signals from one or more of the other IMDs with the response analysis module receive, and analyzing the target response signal and the one or more other response signals with the response analysis module. The method may also include receiving one or more power-adjustment request signals from the response analysis module at a power adjustment module, and adaptively adjusting a power of a transmission request over a first frequency band based on the one or more power-adjustment request signals until the response analysis module receives only the target response signal from the target IMD. The method may also include communicating with the target IMD over a second frequency band after the response analysis module receives only the target response signal. BRIEF DESCRIPTION OF THE DRAWINGS</w:t>
      </w:r>
      <w:r>
        <w:br/>
      </w:r>
      <w:r>
        <w:br/>
      </w:r>
      <w:r>
        <w:t>"FIG. 1 illustrates a simplified view of an IMD and patient care system (PCS), according to an embodiment of the present disclosure.</w:t>
      </w:r>
      <w:r>
        <w:br/>
      </w:r>
      <w:r>
        <w:br/>
      </w:r>
      <w:r>
        <w:t>"FIG. 2 illustrates a front view of a programmer, according to an embodiment of the present disclosure.</w:t>
      </w:r>
      <w:r>
        <w:br/>
      </w:r>
      <w:r>
        <w:br/>
      </w:r>
      <w:r>
        <w:t>"FIG. 3 illustrates an isometric front view of a programmer, according to an embodiment of the present disclosure.</w:t>
      </w:r>
      <w:r>
        <w:br/>
      </w:r>
      <w:r>
        <w:br/>
      </w:r>
      <w:r>
        <w:t>"FIG. 4 illustrates an isometric front view of a programmer, according to an embodiment of the present disclosure.</w:t>
      </w:r>
      <w:r>
        <w:br/>
      </w:r>
      <w:r>
        <w:br/>
      </w:r>
      <w:r>
        <w:t>"FIG. 5 illustrates an IMD implanted in a patient, according to an embodiment of the present disclosure.</w:t>
      </w:r>
      <w:r>
        <w:br/>
      </w:r>
      <w:r>
        <w:br/>
      </w:r>
      <w:r>
        <w:t>"FIG. 6 illustrates a functional block diagram of an IMD, according to an embodiment of the present disclosure.</w:t>
      </w:r>
      <w:r>
        <w:br/>
      </w:r>
      <w:r>
        <w:br/>
      </w:r>
      <w:r>
        <w:t>"FIG. 7 illustrates a flow chart for a process of waking up an IMD, according to an embodiment of the present disclosure.</w:t>
      </w:r>
      <w:r>
        <w:br/>
      </w:r>
      <w:r>
        <w:br/>
      </w:r>
      <w:r>
        <w:t>"FIG. 8 illustrates a functional block diagram of a device communicator, according to an embodiment of the present disclosure.</w:t>
      </w:r>
      <w:r>
        <w:br/>
      </w:r>
      <w:r>
        <w:br/>
      </w:r>
      <w:r>
        <w:t>"FIG. 9 illustrates a simplified diagram of an external programmer in relation to multiple IMDs, according to an embodiment of the present disclosure.</w:t>
      </w:r>
      <w:r>
        <w:br/>
      </w:r>
      <w:r>
        <w:br/>
      </w:r>
      <w:r>
        <w:t>"FIG. 10 illustrates a simplified diagram of an external programmer in relation to multiple IMDs, according to an embodiment of the present disclosure.</w:t>
      </w:r>
      <w:r>
        <w:br/>
      </w:r>
      <w:r>
        <w:br/>
      </w:r>
      <w:r>
        <w:t>"FIG. 11 illustrates a simplified diagram of an external programmer that is equidistant from two IMDs, according to an embodiment of the present disclosure.</w:t>
      </w:r>
      <w:r>
        <w:br/>
      </w:r>
      <w:r>
        <w:br/>
      </w:r>
      <w:r>
        <w:t>"FIG. 12 illustrates a flow chart of a method of selectively communicating with a target IMD, according to an embodiment of the present disclosure.</w:t>
      </w:r>
      <w:r>
        <w:br/>
      </w:r>
      <w:r>
        <w:br/>
      </w:r>
      <w:r>
        <w:t>"FIG. 13 illustrates a functional block diagram of an external device, according to an embodiment of the present disclosure.</w:t>
      </w:r>
      <w:r>
        <w:br/>
      </w:r>
      <w:r>
        <w:br/>
      </w:r>
      <w:r>
        <w:t>"FIG. 14 illustrates a block diagram of exemplary internal components of an IMD, according to an embodiment of the present disclosure."</w:t>
      </w:r>
      <w:r>
        <w:br/>
      </w:r>
      <w:r>
        <w:br/>
      </w:r>
      <w:r>
        <w:t>For additional information on this patent application, see: Schwartz, Allan; Wu, Yongjian. System and Method for Selectively Communicating with an Implantable Medical Device. Filed August 23, 2013 and posted March 5, 2015. Patent URL: http://appft.uspto.gov/netacgi/nph-Parser?Sect1=PTO2&amp;Sect2=HITOFF&amp;u=%2Fnetahtml%2FPTO%2Fsearch-adv.html&amp;r=2121&amp;p=43&amp;f=G&amp;l=50&amp;d=PG01&amp;S1=20150226.PD.&amp;OS=PD/20150226&amp;RS=PD/20150226</w:t>
      </w:r>
      <w:r>
        <w:br/>
      </w:r>
      <w:r>
        <w:br/>
      </w:r>
      <w:r>
        <w:t>Keywords for this news article include: Patents, Cardio Device, Medical Devices.</w:t>
      </w:r>
      <w:r>
        <w:br/>
      </w:r>
      <w:r>
        <w:br/>
      </w:r>
      <w:r>
        <w:t>Our reports deliver fact-based news of research and discoveries from around the world. Copyright 2015, NewsRx LLC</w:t>
      </w:r>
    </w:p>
    <w:p xmlns:wp14="http://schemas.microsoft.com/office/word/2010/wordml" w14:paraId="4D4F66BE" wp14:textId="77777777">
      <w:pPr>
        <w:pStyle w:val="Heading1"/>
      </w:pPr>
      <w:r>
        <w:t>End of Article 11</w:t>
      </w:r>
    </w:p>
    <w:p xmlns:wp14="http://schemas.microsoft.com/office/word/2010/wordml" w14:paraId="60061E4C" wp14:textId="77777777">
      <w:r>
        <w:br w:type="page"/>
      </w:r>
    </w:p>
    <w:p xmlns:wp14="http://schemas.microsoft.com/office/word/2010/wordml" w14:paraId="5B6A1C71" wp14:textId="77777777">
      <w:pPr>
        <w:pStyle w:val="Heading1"/>
      </w:pPr>
      <w:r>
        <w:t>Start of Article 12</w:t>
      </w:r>
    </w:p>
    <w:p xmlns:wp14="http://schemas.microsoft.com/office/word/2010/wordml" w14:paraId="56069E15" wp14:textId="77777777">
      <w:pPr>
        <w:pStyle w:val="Heading1"/>
      </w:pPr>
      <w:r>
        <w:t>Document ID JORTI00020150921eb9i0008g</w:t>
      </w:r>
    </w:p>
    <w:p xmlns:wp14="http://schemas.microsoft.com/office/word/2010/wordml" w14:paraId="1640910B" wp14:textId="77777777">
      <w:r>
        <w:t>Full details of the Phase 3 clinical trial, called the UNITY-CLL trial, will be released at the launch of the study. The general study design is a randomized controlled clinical trial that includes two key objectives: first, to demonstrate contribution of each agent in the TG-1101 + TGR-1202 regimen (the combination sometimes referred to as "1303"), and second, to demonstrate superiority in Progression Free Survival (PFS) over the standard of care to support the submission for full approval of the combination. The study will randomize patients into four treatment arms: TG-1101 + TGR-1202, TG-1101 alone, TGR-1202 alone, and an active control arm of obinutuzumab + chlorambucil. An early interim analysis will assess contribution of each single agent in the TG-1101 + TGR-1202 combination regimen, which, if successful, will allow early termination of both single agent arms. A second interim analysis will be conducted following full enrollment into the study, which, if positive, the Company plans to utilize for accelerated approval. Assuming early termination of the TG-1101 and TGR-1202 single agent arms, the study will enroll approximately 450 patients.</w:t>
      </w:r>
      <w:r>
        <w:br/>
      </w:r>
      <w:r>
        <w:br/>
      </w:r>
      <w:r>
        <w:t>Dr. John Gribben, Professor of Medicine and the Gordon Hamilton Fairley Chair of Medical Oncology at St. Bartholomew's Hospital, Barts Cancer Institute in London, UK, will lead the UNITY-CLL Phase 3 as Study Chair. Dr. Gribben commented, "The recent introduction of novel targeted agents has already dramatically improved the standard of care for patients with relapsed or refractory CLL, and we have seen even greater activity when these agents are used in combination. Both ublituximab and TGR-1202 have demonstrated unique activity and tolerability as single agents, and in combination together. We are excited to lead this important and innovative trial, which has the potential to bring greater advances to patients in both the front-line and relapsed/refractory CLL setting."</w:t>
      </w:r>
      <w:r>
        <w:br/>
      </w:r>
      <w:r>
        <w:br/>
      </w:r>
      <w:r>
        <w:t>Michael S. Weiss, Executive Chairman and Interim Chief Executive Officer of TG Therapeutics, stated, "Our number one goal has always been to accelerate the development of novel non-chemotherapy-based combination treatments for patients with B-cell malignancies. The UNITY-CLL study and the related SPA marks a major milestone for the Company and, if successful, could lead to a very broad label in the treatment of CLL, providing patients and physicians a new treatment option, and the Company a platform to build additional proprietary combinations in our continued effort to drive towards a cure. Our path to achieving this SPA, which we believe is the first for two novel investigational agents in the oncology division, was the result of a true collaboration with the FDA, for which we would like to recognize and thank the agency for its invaluable guidance throughout this process." Mr. Weiss continued, "Our clinical team has been hard at work preparing for the launch of this study, and we look forward to enrolling our first patients as soon as possible. Lastly, we are thrilled to have Dr. Gribben, a world-renowned authority in CLL, lead this important international study and share in his excitement in bringing our novel, non-chemotherapy combination regimen to patients in need."</w:t>
      </w:r>
      <w:r>
        <w:br/>
      </w:r>
      <w:r>
        <w:br/>
      </w:r>
      <w:r>
        <w:t>ABOUT TG THERAPEUTICS, INC.</w:t>
      </w:r>
      <w:r>
        <w:br/>
      </w:r>
      <w:r>
        <w:br/>
      </w:r>
      <w:r>
        <w:t>TG Therapeutics is a biopharmaceutical company focused on the acquisition, development and commercialization of novel treatments for B-cell malignancies and autoimmune diseases. Currently, the Company is developing two therapies targeting hematological malignancies. TG-1101 (ublituximab) is a novel, glycoengineered monoclonal antibody that targets a specific and unique epitope on the CD20 antigen found on mature B-lymphocytes. TG Therapeutics is also developing TGR-1202, an orally available PI3K delta inhibitor. The delta isoform of PI3K is strongly expressed in cells of hematopoietic origin and is believed to be important in the proliferation and survival of B?lymphocytes. Both TG-1101 and TGR-1202 are in clinical development for patients with hematologic malignancies. The Company also has pre-clinical programs to develop IRAK4 inhibitors, and anti-PD-L1 and anti-GITR antibodies. TG Therapeutics is headquartered in New York City.</w:t>
      </w:r>
      <w:r>
        <w:br/>
      </w:r>
      <w:r>
        <w:br/>
      </w:r>
      <w:r>
        <w:t>About Special Protocol Assessments</w:t>
      </w:r>
      <w:r>
        <w:br/>
      </w:r>
      <w:r>
        <w:br/>
      </w:r>
      <w:r>
        <w:t>The Special Protocol Assessment (SPA) process is a procedure by which the FDA provides official evaluation and written guidance on the design and size of proposed protocols that are intended to form the basis for a new drug application.</w:t>
      </w:r>
      <w:r>
        <w:br/>
      </w:r>
      <w:r>
        <w:br/>
      </w:r>
      <w:r>
        <w:t>Final marketing approval depends on the results of efficacy, the adverse event profile and an evaluation of the benefit/risk of treatment demonstrated in the Phase 3 clinical program. The SPA agreement may only be changed through a written agreement between the sponsor and the FDA, or if the FDA becomes aware of a substantial scientific issue essential to product efficacy or safety. For more information on Special Protocol Assessment, please visit: http://www.fda.gov/downloads/Drugs/GuidanceComplianceRegulatoryInformation/Guidances/ucm080571.pdf.</w:t>
      </w:r>
      <w:r>
        <w:br/>
      </w:r>
      <w:r>
        <w:br/>
      </w:r>
      <w:r>
        <w:t>Cautionary Statement</w:t>
      </w:r>
      <w:r>
        <w:br/>
      </w:r>
      <w:r>
        <w:br/>
      </w:r>
      <w:r>
        <w:t>Some of the statements included in this press release, particularly those with respect to anticipating future clinical trials, the timing of commencing or completing such trials and business prospects for TG-1101, TGR-1202, the IRAK4 inhibitor program, and the anti-PD-L1 and anti-GITR antibodies may be forward-looking statements that involve a number of risks and uncertainties. For those statements, we claim the protection of the safe harbor for forward-looking statements contained in the Private Securities Litigation Reform Act of 1995. Among the factors that could cause our actual results to differ materially are the following: our ability to successfully and cost-effectively complete pre-clinical and clinical trials for TG-1101, TGR-1202, the IRAK4 inhibitor program and the anti-PD-L1 and anti-GITR antibodies; the risk that early pre-clinical and clinical results that supported our decision to move forward with TG-1101, TGR-1202, the IRAK4 inhibitor program and the anti-PD-L1 and anti-GITR antibodies will not be reproduced in additional patients or in future studies; the risk that trends observed which underlie certain assumptions of future performance of TGR-1202 will not continue, the risk that TGR-1202 will not produce satisfactory safety and efficacy results to warrant further development following the completion of the current Phase 1 study; the risk that the data (both safety and efficacy) from future clinical trials will not coincide with the data produced from prior pre-clinical and clinical trials; the risk that trials will take longer to enroll than expected; our ability to achieve the milestones we project over the next year; our ability to manage our cash in line with our projections, and other risk factors identified from time to time in our reports filed with the Securities and Exchange Commission. Any forward-looking statements set forth in this press release speak only as of the date of this press release. We do not undertake to update any of these forward-looking statements to reflect events or circumstances that occur after the date hereof. This press release and prior releases are available at www.tgtherapeutics.com. The information found on our website is not incorporated by reference into this press release and is included for reference purposes only.</w:t>
      </w:r>
      <w:r>
        <w:br/>
      </w:r>
      <w:r>
        <w:br/>
      </w:r>
      <w:r>
        <w:t>TGTX - G</w:t>
      </w:r>
      <w:r>
        <w:br/>
      </w:r>
      <w:r>
        <w:br/>
      </w:r>
      <w:r>
        <w:t>Jenna Bosco</w:t>
      </w:r>
      <w:r>
        <w:br/>
      </w:r>
      <w:r>
        <w:br/>
      </w:r>
      <w:r>
        <w:t>Director- Investor Relations</w:t>
      </w:r>
      <w:r>
        <w:br/>
      </w:r>
      <w:r>
        <w:br/>
      </w:r>
      <w:r>
        <w:t>TG Therapeutics, Inc.</w:t>
      </w:r>
      <w:r>
        <w:br/>
      </w:r>
      <w:r>
        <w:br/>
      </w:r>
      <w:r>
        <w:t>Telephone: 212.554.4351</w:t>
      </w:r>
      <w:r>
        <w:br/>
      </w:r>
      <w:r>
        <w:br/>
      </w:r>
      <w:r>
        <w:t>Email:</w:t>
      </w:r>
      <w:r>
        <w:br/>
      </w:r>
      <w:r>
        <w:br/>
      </w:r>
      <w:r>
        <w:t>For the original version on GlobeNewswire visit: http://globenewswire.com/news-release/2015/09/17/768962/10149718/en/TG-Therapeutics-Announces-Special-Protocol-Assessment-SPA-Agreement-With-the-FDA-for-the-First-Phase-3-Clinical-Trial-of-Its-Proprietary-Combination-Regimen-of-TG-1101-ublituximab-.html</w:t>
      </w:r>
    </w:p>
    <w:p xmlns:wp14="http://schemas.microsoft.com/office/word/2010/wordml" w14:paraId="66DB7AF3" wp14:textId="77777777">
      <w:pPr>
        <w:pStyle w:val="Heading1"/>
      </w:pPr>
      <w:r>
        <w:t>End of Article 12</w:t>
      </w:r>
    </w:p>
    <w:p xmlns:wp14="http://schemas.microsoft.com/office/word/2010/wordml" w14:paraId="44EAFD9C" wp14:textId="77777777">
      <w:r>
        <w:br w:type="page"/>
      </w:r>
    </w:p>
    <w:p xmlns:wp14="http://schemas.microsoft.com/office/word/2010/wordml" w14:paraId="49DC9E91" wp14:textId="77777777">
      <w:pPr>
        <w:pStyle w:val="Heading1"/>
      </w:pPr>
      <w:r>
        <w:t>Start of Article 13</w:t>
      </w:r>
    </w:p>
    <w:p xmlns:wp14="http://schemas.microsoft.com/office/word/2010/wordml" w14:paraId="0310FC3D" wp14:textId="77777777">
      <w:pPr>
        <w:pStyle w:val="Heading1"/>
      </w:pPr>
      <w:r>
        <w:t>Document ID MRNCT00020150202eb1j00011</w:t>
      </w:r>
    </w:p>
    <w:p xmlns:wp14="http://schemas.microsoft.com/office/word/2010/wordml" w14:paraId="68AFF671" wp14:textId="77777777">
      <w:r>
        <w:t>But treating all 174,000 hepatitis C patients in the VA health system is cost-prohibitive. Even with the price negotiated by VA with the company's maker, Gilead Sciences Inc . of Foster City, California — $594 per dose — treatment would run nearly $12 billion.</w:t>
      </w:r>
      <w:r>
        <w:br/>
      </w:r>
      <w:r>
        <w:br/>
      </w:r>
      <w:r>
        <w:t>Consequently, VA takes a conservative approach, reserving Sovaldi and its competitor, Olysio, made by Janssen Therapeutics of Titusville, New Jersey (negotiated price: $413 per pill), for those with advanced liver disease or in need of a transplant.</w:t>
      </w:r>
      <w:r>
        <w:br/>
      </w:r>
      <w:r>
        <w:br/>
      </w:r>
      <w:r>
        <w:t>In fiscal 2014, the Veterans Health Administration treated more than 5,400 veterans with Sovaldi at a cost of $370 million. And VA has asked Congress for roughly $1.3 billion to provide Sovaldi and other new hepatitis C drugs for another 30,000 patients.</w:t>
      </w:r>
      <w:r>
        <w:br/>
      </w:r>
      <w:r>
        <w:br/>
      </w:r>
      <w:r>
        <w:t>But even with the more than 40 percent discount VA has negotiated with Gilead, the department pays more for the total treatment regimen, an average of $68,500, than the health systems of Canada, where 12 weeks of Sovaldi costs $55,000; Germany, where it costs $66,000; or India, where Gilead is negotiating to provide generic versions for $2,000.</w:t>
      </w:r>
      <w:r>
        <w:br/>
      </w:r>
      <w:r>
        <w:br/>
      </w:r>
      <w:r>
        <w:t>The price differential has led some U.S. lawmakers and advocates to accuse the company of price gouging.</w:t>
      </w:r>
      <w:r>
        <w:br/>
      </w:r>
      <w:r>
        <w:br/>
      </w:r>
      <w:r>
        <w:t>Sen. Bernie Sanders, I-Vt., said in December during a congressional hearing that Gilead bought the company that developed Sovaldi for $11 billion and is expected to make more than $200 billion from the drug. In the first three quarters of 2014, Gilead made $11.4 billion in sales of the medication, according to quarterly earnings reports.</w:t>
      </w:r>
      <w:r>
        <w:br/>
      </w:r>
      <w:r>
        <w:br/>
      </w:r>
      <w:r>
        <w:t>"When a company can make back an $11 billion investment in just one year on just one drug, is that too much? ... We're looking at a company who is milking a cash cow for everything it's worth," Sanders said.</w:t>
      </w:r>
      <w:r>
        <w:br/>
      </w:r>
      <w:r>
        <w:br/>
      </w:r>
      <w:r>
        <w:t>Gilead executives were asked to speak at the hearing but declined, citing overseas business travel, Sanders said.</w:t>
      </w:r>
      <w:r>
        <w:br/>
      </w:r>
      <w:r>
        <w:br/>
      </w:r>
      <w:r>
        <w:t>But in an email to Military Times, Gilead spokeswoman Michele Rest defended the price and the company's billing structure. Noting that Sovaldi does not merely provide a "long-term or indefinite treatment," but rather cures a life-threatening disease and wards off the need for the kind of costly lifelong care required after liver transplants, Rest said the price "reflects the value of the medicine."</w:t>
      </w:r>
      <w:r>
        <w:br/>
      </w:r>
      <w:r>
        <w:br/>
      </w:r>
      <w:r>
        <w:t>Sovaldi also is priced similarly to other hepatitis C regimens that take up to a year and have significant side effects, she added.</w:t>
      </w:r>
      <w:r>
        <w:br/>
      </w:r>
      <w:r>
        <w:br/>
      </w:r>
      <w:r>
        <w:t>Rest said Gilead offers a tiered pricing program in different locations, with countries categorized by gross national income per capita and the prevalence of hepatitis C infections in their populations.</w:t>
      </w:r>
      <w:r>
        <w:br/>
      </w:r>
      <w:r>
        <w:br/>
      </w:r>
      <w:r>
        <w:t>About 3.2 million Americans are infected with hepatitis C, according to the Centers for Disease Control and Prevention . The virus is spread by shared needles, an inadvertent needle stick, or having sex or using the toiletries (toothbrush, razor) of an infected person.</w:t>
      </w:r>
      <w:r>
        <w:br/>
      </w:r>
      <w:r>
        <w:br/>
      </w:r>
      <w:r>
        <w:t>Also at risk are those who received a blood transplant or organ transplant before 1992, when widespread screening became available in the U.S.</w:t>
      </w:r>
      <w:r>
        <w:br/>
      </w:r>
      <w:r>
        <w:br/>
      </w:r>
      <w:r>
        <w:t>VA is the largest single provider of hepatitis C care in the U.S., with a high-risk population of Vietnam War veterans who may have contracted the disease through blood transfusions for battlefield injuries or the intravenous drug use common in the era.</w:t>
      </w:r>
      <w:r>
        <w:br/>
      </w:r>
      <w:r>
        <w:br/>
      </w:r>
      <w:r>
        <w:t>VA has screened aggressively for the disease, testing nearly two-thirds of all patients born from 1945 to 1965. But being on the forefront of hepatitis detection and treatment means the department also has a significant share of patients with the virus.</w:t>
      </w:r>
      <w:r>
        <w:br/>
      </w:r>
      <w:r>
        <w:br/>
      </w:r>
      <w:r>
        <w:t>And as those patients age, their livers are failing.</w:t>
      </w:r>
      <w:r>
        <w:br/>
      </w:r>
      <w:r>
        <w:br/>
      </w:r>
      <w:r>
        <w:t>"The introduction of very costly, highly effective and less toxic anti-viral therapies, which are easier to administer than older treatments, holds the promise of eradicating this disease in infected veterans," said Michael Valentino, chief consultant for pharmacy benefits at VA. "However, addressing the cost of these agents remains a major challenge."</w:t>
      </w:r>
      <w:r>
        <w:br/>
      </w:r>
      <w:r>
        <w:br/>
      </w:r>
      <w:r>
        <w:t>The Defense Department requires Tricare beneficiaries to receive prior authorization to get these medications but has made them available, through military treatment facilities, by mail order and at retail pharmacies.</w:t>
      </w:r>
      <w:r>
        <w:br/>
      </w:r>
      <w:r>
        <w:br/>
      </w:r>
      <w:r>
        <w:t>Tricare spokesman Kevin Dwyer said the DoD's Pharmacy and Therapeutics Committee will review the medications in May to consider their use, therapy outcomes, new products and all clinical evidence to provide recommendations on which medications should be placed in the DoD uniform formulary and guidelines for their use.</w:t>
      </w:r>
      <w:r>
        <w:br/>
      </w:r>
      <w:r>
        <w:br/>
      </w:r>
      <w:r>
        <w:t>According to Valentino, new hepatitis C treatments from other manufacturers are expected later this year, and he expressed hope that the new regimens would relieve the budget crunch caused by the cost of Sovaldi and other current medications.</w:t>
      </w:r>
      <w:r>
        <w:br/>
      </w:r>
      <w:r>
        <w:br/>
      </w:r>
      <w:r>
        <w:t>But Robert Weissman, president of the consumer advocacy group Public Citizen , warned that the prices of the new options might not be any better, and he pressed Congress for policy changes such as nonvoluntary licensing of new hepatitis C drugs with the intent to lower costs, or a government buyout of the patent.</w:t>
      </w:r>
    </w:p>
    <w:p xmlns:wp14="http://schemas.microsoft.com/office/word/2010/wordml" w14:paraId="4E935DEA" wp14:textId="77777777">
      <w:pPr>
        <w:pStyle w:val="Heading1"/>
      </w:pPr>
      <w:r>
        <w:t>End of Article 13</w:t>
      </w:r>
    </w:p>
    <w:p xmlns:wp14="http://schemas.microsoft.com/office/word/2010/wordml" w14:paraId="4B94D5A5" wp14:textId="77777777">
      <w:r>
        <w:br w:type="page"/>
      </w:r>
    </w:p>
    <w:p xmlns:wp14="http://schemas.microsoft.com/office/word/2010/wordml" w14:paraId="6C9ACCC4" wp14:textId="77777777">
      <w:pPr>
        <w:pStyle w:val="Heading1"/>
      </w:pPr>
      <w:r>
        <w:t>Start of Article 14</w:t>
      </w:r>
    </w:p>
    <w:p xmlns:wp14="http://schemas.microsoft.com/office/word/2010/wordml" w14:paraId="639A20DF" wp14:textId="77777777">
      <w:pPr>
        <w:pStyle w:val="Heading1"/>
      </w:pPr>
      <w:r>
        <w:t>Document ID NBPPBS0020151119ebbk002v6</w:t>
      </w:r>
    </w:p>
    <w:p xmlns:wp14="http://schemas.microsoft.com/office/word/2010/wordml" w14:paraId="74BBC6E6" wp14:textId="77777777">
      <w:r>
        <w:t>HTTP link to original article</w:t>
      </w:r>
      <w:r>
        <w:br/>
      </w:r>
      <w:r>
        <w:br/>
      </w:r>
      <w:r>
        <w:t>http://www.sec.gov/Archives/edgar/data/872589/000123789915000054/xslF345X03/edgardoc.xml</w:t>
      </w:r>
      <w:r>
        <w:br/>
      </w:r>
      <w:r>
        <w:br/>
      </w:r>
      <w:r>
        <w:t>Here is a record of P. Roy Vagelos's transactions that were reported:</w:t>
      </w:r>
      <w:r>
        <w:br/>
      </w:r>
      <w:r>
        <w:br/>
      </w:r>
      <w:r>
        <w:t>Date               Transaction Type  No. of Shares  Price, US$  Value, US$</w:t>
      </w:r>
      <w:r>
        <w:br/>
      </w:r>
      <w:r>
        <w:t>November 03, 2015 Sold              3985           580.23      2,312,217</w:t>
      </w:r>
      <w:r>
        <w:br/>
      </w:r>
      <w:r>
        <w:t>November 02, 2015 Sold              13257          580.18      7,691,446</w:t>
      </w:r>
      <w:r>
        <w:br/>
      </w:r>
      <w:r>
        <w:br/>
      </w:r>
      <w:r>
        <w:br/>
      </w:r>
      <w:r>
        <w:t>MANAGEMENT SCORECARD FOR REGENERON PHARMACEUTICALS, INC.:</w:t>
      </w:r>
      <w:r>
        <w:br/>
      </w:r>
      <w:r>
        <w:br/>
      </w:r>
      <w:r>
        <w:t>P. Roy Vagelos's performance for Regeneron Pharmaceuticals is placed 256/2,234 in BSS News Bites's ranking of NASDAQ performers in the past year, a percentile ranking of 88%.</w:t>
      </w:r>
      <w:r>
        <w:br/>
      </w:r>
      <w:r>
        <w:br/>
      </w:r>
      <w:r>
        <w:t>Key Financials:</w:t>
      </w:r>
      <w:r>
        <w:br/>
      </w:r>
      <w:r>
        <w:br/>
      </w:r>
      <w:r>
        <w:t>(all figures in pct)</w:t>
      </w:r>
      <w:r>
        <w:br/>
      </w:r>
      <w:r>
        <w:br/>
      </w:r>
      <w:r>
        <w:t xml:space="preserve"> Revenue Growth  EPS Growth  Operating Margin ROE</w:t>
      </w:r>
      <w:r>
        <w:br/>
      </w:r>
      <w:r>
        <w:t>2014            34.4        -19.4             28.8  13.7</w:t>
      </w:r>
      <w:r>
        <w:br/>
      </w:r>
      <w:r>
        <w:t>2013            52.4        -43.6             36.1  21.7</w:t>
      </w:r>
      <w:r>
        <w:br/>
      </w:r>
      <w:r>
        <w:t>2012            207.2       -                 33.3  60.2</w:t>
      </w:r>
      <w:r>
        <w:br/>
      </w:r>
      <w:r>
        <w:t>2011            -2.6        -                 -44.9  -45.7</w:t>
      </w:r>
      <w:r>
        <w:br/>
      </w:r>
      <w:r>
        <w:br/>
      </w:r>
      <w:r>
        <w:br/>
      </w:r>
      <w:r>
        <w:t xml:space="preserve"> Share Price (USD)  Market Capitalisation ($)</w:t>
      </w:r>
      <w:r>
        <w:br/>
      </w:r>
      <w:r>
        <w:t>Last               583.3 60.2 billion</w:t>
      </w:r>
      <w:r>
        <w:br/>
      </w:r>
      <w:r>
        <w:t>1 Year ago         415.2 42.2 billion</w:t>
      </w:r>
      <w:r>
        <w:br/>
      </w:r>
      <w:r>
        <w:t>2 Years ago        277.8 27.1 billion</w:t>
      </w:r>
      <w:r>
        <w:br/>
      </w:r>
      <w:r>
        <w:t>3 Years ago        157.9 14.7 billion</w:t>
      </w:r>
      <w:r>
        <w:br/>
      </w:r>
      <w:r>
        <w:t>4 Years ago        49.8  4.5 billion</w:t>
      </w:r>
      <w:r>
        <w:br/>
      </w:r>
      <w:r>
        <w:t>5 Years ago        25.0  2.3 billion</w:t>
      </w:r>
      <w:r>
        <w:br/>
      </w:r>
      <w:r>
        <w:br/>
      </w:r>
      <w:r>
        <w:br/>
      </w:r>
      <w:r>
        <w:t>Biography</w:t>
      </w:r>
      <w:r>
        <w:br/>
      </w:r>
      <w:r>
        <w:br/>
      </w:r>
      <w:r>
        <w:t>P. Roy Vagelos, Chairman and Director</w:t>
      </w:r>
      <w:r>
        <w:br/>
      </w:r>
      <w:r>
        <w:br/>
      </w:r>
      <w:r>
        <w:t>P. Roy Vagelos, M.D., has been Chairman of the Board of the Company since January 1995. Prior to joining Regeneron, Dr. Vagelos was Chairman of the Board and Chief Executive Officer of Merck &amp; CO., Inc. He joined Merck in 1975, became a director in 1984, President and Chief Executive Officer in 1985 and Chairman in 1986. Dr. Vagelos retired from all positions with Merck in 1994. Dr. Vagelos was on the Board of Directors of Theravance, Inc. through April 2010.</w:t>
      </w:r>
      <w:r>
        <w:br/>
      </w:r>
      <w:r>
        <w:br/>
      </w:r>
      <w:r>
        <w:t>Original Newsbody</w:t>
      </w:r>
      <w:r>
        <w:br/>
      </w:r>
      <w:r>
        <w:br/>
      </w:r>
      <w:r>
        <w:t>Source: SEC</w:t>
      </w:r>
      <w:r>
        <w:br/>
      </w:r>
      <w:r>
        <w:br/>
      </w:r>
      <w:r>
        <w:t>Source: BuySellSignals.com</w:t>
      </w:r>
    </w:p>
    <w:p xmlns:wp14="http://schemas.microsoft.com/office/word/2010/wordml" w14:paraId="5C4278A7" wp14:textId="77777777">
      <w:pPr>
        <w:pStyle w:val="Heading1"/>
      </w:pPr>
      <w:r>
        <w:t>End of Article 14</w:t>
      </w:r>
    </w:p>
    <w:p xmlns:wp14="http://schemas.microsoft.com/office/word/2010/wordml" w14:paraId="3DEEC669" wp14:textId="77777777">
      <w:r>
        <w:br w:type="page"/>
      </w:r>
    </w:p>
    <w:p xmlns:wp14="http://schemas.microsoft.com/office/word/2010/wordml" w:rsidP="60BA450E" w14:paraId="00BC91B3" wp14:textId="77777777" wp14:noSpellErr="1">
      <w:pPr>
        <w:pStyle w:val="Heading1"/>
        <w:rPr>
          <w:highlight w:val="yellow"/>
        </w:rPr>
      </w:pPr>
      <w:r w:rsidRPr="60BA450E" w:rsidR="60BA450E">
        <w:rPr>
          <w:highlight w:val="yellow"/>
        </w:rPr>
        <w:t>Start of Article 15</w:t>
      </w:r>
    </w:p>
    <w:p xmlns:wp14="http://schemas.microsoft.com/office/word/2010/wordml" w14:paraId="7D7EF90D" wp14:textId="77777777">
      <w:pPr>
        <w:pStyle w:val="Heading1"/>
      </w:pPr>
      <w:r>
        <w:t>Document ID ATPHAB0020150514eb5e0005o</w:t>
      </w:r>
    </w:p>
    <w:p xmlns:wp14="http://schemas.microsoft.com/office/word/2010/wordml" w14:paraId="27497E0A" wp14:textId="77777777">
      <w:r>
        <w:t>Advisory committees provide the FDA with independent scientific and medical advice on safety, effectiveness and appropriate use of potential new medicines. The FDA is expected to make a decision on the approval of Orkambi by July 5, 2015 under the Prescription Drug User Fee Act (PDUFA). The FDA is not bound by the committee's recommendation but often follows its advice. If approved, Orkambi will be the first and only medicine to treat the underlying cause of CF for eligible people with CF ages 12 and older with two copies of the F508del mutation in the CFTR gene. People with two copies of the F508del mutation represent the largest group of people with CF. There are approximately 8,500 people ages 12 and older with two copies of the F508del mutation in the US.</w:t>
      </w:r>
      <w:r>
        <w:br/>
      </w:r>
      <w:r>
        <w:br/>
      </w:r>
      <w:r>
        <w:t>"Today's positive recommendation brings the cystic fibrosis community one step closer to potential approval of the first medicine to treat the underlying cause of this disease for many more people," said Jeffrey Chodakewitz, M.D., executive vice president and chief medical officer at Vertex. "We look forward to continuing to work with the FDA and other regulatory agencies throughout the world to make Orkambi available to eligible patients as soon as possible."</w:t>
      </w:r>
      <w:r>
        <w:br/>
      </w:r>
      <w:r>
        <w:br/>
      </w:r>
      <w:r>
        <w:t>Cystic fibrosis is a rare genetic disease that is caused by defective or missing CFTR proteins resulting from mutations in the CFTR gene. The defective or missing proteins result in poor flow of salt and water into and out of the cell in a number of organs, including the lungs. In people with two copies of the F508del mutation, the CFTR protein is not processed and trafficked normally within the cell, resulting in little to no CFTR protein at the cell surface.</w:t>
      </w:r>
      <w:r>
        <w:br/>
      </w:r>
      <w:r>
        <w:br/>
      </w:r>
      <w:r>
        <w:t>Orkambi is a combination of lumacaftor, which is designed to increase the amount of functional protein at the cell surface by addressing the processing and trafficking defect of the protein, and ivacaftor, which is designed to enhance the function of the CFTR protein once it reaches the cell surface. Orkambi is an oral medicine that, if approved, would be taken as fully co-formulated tablets that contain both lumacaftor and ivacaftor.</w:t>
      </w:r>
      <w:r>
        <w:br/>
      </w:r>
      <w:r>
        <w:br/>
      </w:r>
      <w:r>
        <w:t>Vertex initiated its CF research programme in 1998 as part of a collaboration with Cystic Fibrosis Foundation Therapeutics (CFFT), the nonprofit drug discovery and development affiliate of the Cystic Fibrosis Foundation. This collaboration was expanded to support the accelerated discovery and development of Vertex's CFTR modulators.</w:t>
      </w:r>
      <w:r>
        <w:br/>
      </w:r>
      <w:r>
        <w:br/>
      </w:r>
      <w:r>
        <w:t>Vertex is a global biotechnology company that aims to discover, develop and commercialize innovative medicines so people with serious diseases can lead better lives.</w:t>
      </w:r>
    </w:p>
    <w:p xmlns:wp14="http://schemas.microsoft.com/office/word/2010/wordml" w14:paraId="7D904EDB" wp14:textId="77777777">
      <w:pPr>
        <w:pStyle w:val="Heading1"/>
      </w:pPr>
      <w:r>
        <w:t>End of Article 15</w:t>
      </w:r>
    </w:p>
    <w:p xmlns:wp14="http://schemas.microsoft.com/office/word/2010/wordml" w14:paraId="3656B9AB" wp14:textId="77777777">
      <w:r>
        <w:br w:type="page"/>
      </w:r>
    </w:p>
    <w:p xmlns:wp14="http://schemas.microsoft.com/office/word/2010/wordml" w14:paraId="683C7493" wp14:textId="77777777">
      <w:pPr>
        <w:pStyle w:val="Heading1"/>
      </w:pPr>
      <w:r>
        <w:t>Start of Article 16</w:t>
      </w:r>
    </w:p>
    <w:p xmlns:wp14="http://schemas.microsoft.com/office/word/2010/wordml" w14:paraId="259D4275" wp14:textId="77777777">
      <w:pPr>
        <w:pStyle w:val="Heading1"/>
      </w:pPr>
      <w:r>
        <w:t>Document ID MPRMPR0020150929eb9s0000b</w:t>
      </w:r>
    </w:p>
    <w:p xmlns:wp14="http://schemas.microsoft.com/office/word/2010/wordml" w14:paraId="119ECA39" wp14:textId="77777777">
      <w:r>
        <w:t>The autoinjector will be available for patients taking Betaseron (interferon beta-1b). After preparing Betaserson lyophilized powder, patients may administer the drug using Betaconnect with the specific syringes provided in the packaging. The autoinjector allows customizable injection speed and depth settings for quiet and precise injections. It also offers an optional back-up reminder function to alert patients when it is time for their next injection. The automatic needle insertion and retraction with a visual and audio end-of-dose indication informs patients when the injection is complete.</w:t>
      </w:r>
      <w:r>
        <w:br/>
      </w:r>
      <w:r>
        <w:br/>
      </w:r>
      <w:r>
        <w:t>RELATED: Ocrelizumab: Promising Results for Primary Progressive MS</w:t>
      </w:r>
      <w:r>
        <w:br/>
      </w:r>
      <w:r>
        <w:br/>
      </w:r>
      <w:r>
        <w:t>The immunomodulatory effects of interferon beta-1b include the enhancement of suppressor T cell activity, reduction of proinflammatory cytokine production, down-regulation of antigen presentation, and inhibition of lymphocyte trafficking into the central nervous system.</w:t>
      </w:r>
      <w:r>
        <w:br/>
      </w:r>
      <w:r>
        <w:br/>
      </w:r>
      <w:r>
        <w:t>Betaseron is currently supplied as single-use vials in 5- or 14-count cartons. Betaconnect autoinjector is anticipated to be available starting in early 2016.</w:t>
      </w:r>
      <w:r>
        <w:br/>
      </w:r>
      <w:r>
        <w:br/>
      </w:r>
      <w:r>
        <w:t>For more information call (888) 842-2937 or visit Bayer.com.</w:t>
      </w:r>
    </w:p>
    <w:p xmlns:wp14="http://schemas.microsoft.com/office/word/2010/wordml" w14:paraId="1598B80D" wp14:textId="77777777">
      <w:pPr>
        <w:pStyle w:val="Heading1"/>
      </w:pPr>
      <w:r>
        <w:t>End of Article 16</w:t>
      </w:r>
    </w:p>
    <w:p xmlns:wp14="http://schemas.microsoft.com/office/word/2010/wordml" w14:paraId="45FB0818" wp14:textId="77777777">
      <w:r>
        <w:br w:type="page"/>
      </w:r>
    </w:p>
    <w:p xmlns:wp14="http://schemas.microsoft.com/office/word/2010/wordml" w14:paraId="080DA12C" wp14:textId="77777777">
      <w:pPr>
        <w:pStyle w:val="Heading1"/>
      </w:pPr>
      <w:r>
        <w:t>Start of Article 17</w:t>
      </w:r>
    </w:p>
    <w:p xmlns:wp14="http://schemas.microsoft.com/office/word/2010/wordml" w14:paraId="17F04A91" wp14:textId="77777777">
      <w:pPr>
        <w:pStyle w:val="Heading1"/>
      </w:pPr>
      <w:r>
        <w:t>Document ID CTRW000020150109eb1c000bj</w:t>
      </w:r>
    </w:p>
    <w:p xmlns:wp14="http://schemas.microsoft.com/office/word/2010/wordml" w14:paraId="77D3CC89" wp14:textId="77777777">
      <w:r>
        <w:t>Our news journalists obtained a quote from the research from the Harvard School of Medicine, "The treatment arm of the aCRT trial was compared with a pooled historical control (HC) derived from the CRT arms of four clinical trials (MIRACLE, MIRACLE ICD, PROSPECT, and InSync III Marquis) with respect to the proportion of patients who had an improved clinical composite score (CCS) at the 6-month follow-up. Patients in the HC underwent echocardiography-guided AV optimization after the implant. A propensity score model was used to adjust for 22 potential baseline confounders of the effect of CRT. Patients were stratified into quintiles according to the propensity score and the adjusted absolute treatment effect was obtained by averaging estimates across these quintiles. The propensity score model included 751 patients (aCRT: 266, historical trials: 485). The adjusted absolute difference in percent improved in CCS between the aCRT and HC arms was 11.9% [95% confidence interval (CI): 2.7-19.2%] favouring aCRT. The patients in the aCRT group were significantly more likely to have an improved CCS than the patients in the HC (odds ratio=1.65, 95% CI: 1.1-2.5)."</w:t>
      </w:r>
      <w:r>
        <w:br/>
      </w:r>
      <w:r>
        <w:br/>
      </w:r>
      <w:r>
        <w:t>According to the news editors, the research concluded: "The aCRT algorithm may be associated with additional improvement in clinical response compared with historical CRT with echocardiographic AV optimization."</w:t>
      </w:r>
      <w:r>
        <w:br/>
      </w:r>
      <w:r>
        <w:br/>
      </w:r>
      <w:r>
        <w:t>For more information on this research see: Clinical response with adaptive CRT algorithm compared with CRT with echocardiography-optimized atrioventricular delay: a retrospective analysis of multicentre trials. Europace, 2013;15(11):1622-8.</w:t>
      </w:r>
      <w:r>
        <w:br/>
      </w:r>
      <w:r>
        <w:br/>
      </w:r>
      <w:r>
        <w:t>Our news journalists report that additional information may be obtained by contacting J.P. Singh, Massachusetts General Hospital Heart Center, Harvard Medical School, 55 Fruit St, Boston, MA 02114, United States. Additional authors for this research include W.T. Abraham, E.S. Chung, T. Rogers, A. Sambelashvili, J.A. Coles and D.O Martin.</w:t>
      </w:r>
      <w:r>
        <w:br/>
      </w:r>
      <w:r>
        <w:br/>
      </w:r>
      <w:r>
        <w:t>Keywords for this news article include: Boston, Algorithms, Cardiology, Massachusetts, United States, Cardiovascular, Echocardiography, North and Central America.</w:t>
      </w:r>
      <w:r>
        <w:br/>
      </w:r>
      <w:r>
        <w:br/>
      </w:r>
      <w:r>
        <w:t>Our reports deliver fact-based news of research and discoveries from around the world. Copyright 2015, NewsRx LLC</w:t>
      </w:r>
    </w:p>
    <w:p xmlns:wp14="http://schemas.microsoft.com/office/word/2010/wordml" w14:paraId="27A8C906" wp14:textId="77777777">
      <w:pPr>
        <w:pStyle w:val="Heading1"/>
      </w:pPr>
      <w:r>
        <w:t>End of Article 17</w:t>
      </w:r>
    </w:p>
    <w:p xmlns:wp14="http://schemas.microsoft.com/office/word/2010/wordml" w14:paraId="049F31CB" wp14:textId="77777777">
      <w:r>
        <w:br w:type="page"/>
      </w:r>
    </w:p>
    <w:p xmlns:wp14="http://schemas.microsoft.com/office/word/2010/wordml" w14:paraId="35676AA4" wp14:textId="77777777">
      <w:pPr>
        <w:pStyle w:val="Heading1"/>
      </w:pPr>
      <w:r>
        <w:t>Start of Article 18</w:t>
      </w:r>
    </w:p>
    <w:p xmlns:wp14="http://schemas.microsoft.com/office/word/2010/wordml" w14:paraId="1378EA9B" wp14:textId="77777777">
      <w:pPr>
        <w:pStyle w:val="Heading1"/>
      </w:pPr>
      <w:r>
        <w:t>Document ID LBA0000020150702eb7200qb9</w:t>
      </w:r>
    </w:p>
    <w:p xmlns:wp14="http://schemas.microsoft.com/office/word/2010/wordml" w14:paraId="5AE9B305" wp14:textId="77777777">
      <w:r>
        <w:t>** Orkambi, a combination of Vertex's approved drug Kalydeco and a new compound called lumacaftor, is intended for patients aged 12 and above.</w:t>
      </w:r>
      <w:r>
        <w:br/>
      </w:r>
      <w:r>
        <w:br/>
      </w:r>
      <w:r>
        <w:t>** Up to Wednesday's close, stock had risen 6.2 pct this year</w:t>
      </w:r>
      <w:r>
        <w:br/>
      </w:r>
      <w:r>
        <w:br/>
      </w:r>
      <w:r>
        <w:t>** Shares were halted earlier pending news</w:t>
      </w:r>
    </w:p>
    <w:p xmlns:wp14="http://schemas.microsoft.com/office/word/2010/wordml" w14:paraId="1CAA193A" wp14:textId="77777777">
      <w:pPr>
        <w:pStyle w:val="Heading1"/>
      </w:pPr>
      <w:r>
        <w:t>End of Article 18</w:t>
      </w:r>
    </w:p>
    <w:p xmlns:wp14="http://schemas.microsoft.com/office/word/2010/wordml" w14:paraId="53128261" wp14:textId="77777777">
      <w:r>
        <w:br w:type="page"/>
      </w:r>
    </w:p>
    <w:p xmlns:wp14="http://schemas.microsoft.com/office/word/2010/wordml" w14:paraId="07DDDC5C" wp14:textId="77777777">
      <w:pPr>
        <w:pStyle w:val="Heading1"/>
      </w:pPr>
      <w:r>
        <w:t>Start of Article 19</w:t>
      </w:r>
    </w:p>
    <w:p xmlns:wp14="http://schemas.microsoft.com/office/word/2010/wordml" w14:paraId="37ACBC11" wp14:textId="77777777">
      <w:pPr>
        <w:pStyle w:val="Heading1"/>
      </w:pPr>
      <w:r>
        <w:t>Document ID LBA0000020150109eb1900gcx</w:t>
      </w:r>
    </w:p>
    <w:p xmlns:wp14="http://schemas.microsoft.com/office/word/2010/wordml" w14:paraId="21C861D4" wp14:textId="77777777">
      <w:r>
        <w:t>The lawsuit claimed Daiichi Sankyo Inc paid kickbacks to doctors in the form of speaking fees at programs it hosted from 2004 until 2011. The doctors were sometimes even paid for speaking only to their own staff over "lavish" dinners hosted by Daiichi, according to the DOJ.</w:t>
      </w:r>
      <w:r>
        <w:br/>
      </w:r>
      <w:r>
        <w:br/>
      </w:r>
      <w:r>
        <w:t>Daiichi allegedly paid the kickbacks to get doctors to prescribe its high blood pressure drugs Azor, Benicar and Tribenzor, and its cholesterol-lowering drug Welchol.</w:t>
      </w:r>
      <w:r>
        <w:br/>
      </w:r>
      <w:r>
        <w:br/>
      </w:r>
      <w:r>
        <w:t>In addition to the $39 million payment, Daiichi has agreed to make internal reforms, the DOJ said.</w:t>
      </w:r>
      <w:r>
        <w:br/>
      </w:r>
      <w:r>
        <w:br/>
      </w:r>
      <w:r>
        <w:t>"We are pleased to have finalized these agreements and remain focused on our core mission of helping people live healthy and meaningful lives," Ken Keller, president of Daiichi's U.S. commercial operations, said in a statement.</w:t>
      </w:r>
      <w:r>
        <w:br/>
      </w:r>
      <w:r>
        <w:br/>
      </w:r>
      <w:r>
        <w:t>The company, founded in Japan, has U.S. headquarters in New Jersey.</w:t>
      </w:r>
      <w:r>
        <w:br/>
      </w:r>
      <w:r>
        <w:br/>
      </w:r>
      <w:r>
        <w:t>The case is U.S. ex rel. Fragoules v. Daiichi Sankyo Inc, U.S. District Court, District of Massachusetts, No. 10-10420.</w:t>
      </w:r>
      <w:r>
        <w:br/>
      </w:r>
      <w:r>
        <w:br/>
      </w:r>
      <w:r>
        <w:t>(The story was refiled to correct the first and third paragraph to say settlement was with U.S. subsidiary)</w:t>
      </w:r>
      <w:r>
        <w:br/>
      </w:r>
      <w:r>
        <w:br/>
      </w:r>
      <w:r>
        <w:t xml:space="preserve">(Reporting by Brendan Pierson; Editing by Ted Botha and Dan Grebler) </w:t>
      </w:r>
    </w:p>
    <w:p xmlns:wp14="http://schemas.microsoft.com/office/word/2010/wordml" w14:paraId="33BA6BBB" wp14:textId="77777777">
      <w:pPr>
        <w:pStyle w:val="Heading1"/>
      </w:pPr>
      <w:r>
        <w:t>End of Article 19</w:t>
      </w:r>
    </w:p>
    <w:p xmlns:wp14="http://schemas.microsoft.com/office/word/2010/wordml" w14:paraId="62486C05" wp14:textId="77777777">
      <w:r>
        <w:br w:type="page"/>
      </w:r>
    </w:p>
    <w:p xmlns:wp14="http://schemas.microsoft.com/office/word/2010/wordml" w14:paraId="5ABD0470" wp14:textId="77777777">
      <w:pPr>
        <w:pStyle w:val="Heading1"/>
      </w:pPr>
      <w:r>
        <w:t>Start of Article 20</w:t>
      </w:r>
    </w:p>
    <w:p xmlns:wp14="http://schemas.microsoft.com/office/word/2010/wordml" w14:paraId="4CBC64BD" wp14:textId="77777777">
      <w:pPr>
        <w:pStyle w:val="Heading1"/>
      </w:pPr>
      <w:r>
        <w:t>Document ID RTTNEW0020151027ebar001ur</w:t>
      </w:r>
    </w:p>
    <w:p xmlns:wp14="http://schemas.microsoft.com/office/word/2010/wordml" w14:paraId="7E4617CF" wp14:textId="77777777">
      <w:r>
        <w:t>BDSI closed Monday's trading at $5.72, up 8.33%.</w:t>
      </w:r>
      <w:r>
        <w:br/>
      </w:r>
      <w:r>
        <w:br/>
      </w:r>
      <w:r>
        <w:t>Merck's (MRK) approved cancer drug KEYTRUDA has shown superior overall survival compared to chemotherapy in patients with previously treated advanced non-small cell lung cancer whose tumors express PD-L1 in a pivotal phase 2/3 trial.</w:t>
      </w:r>
      <w:r>
        <w:br/>
      </w:r>
      <w:r>
        <w:br/>
      </w:r>
      <w:r>
        <w:t>In the trial, dubbed KEYNOTE-010, two doses of KEYTRUDA - the FDA-approved 2mg/kg dose and a higher, investigational 10mg/kg dose, each given every 3 weeks - were compared to Docetaxel, a commonly used chemotherapy. A topline analysis revealed that treatment with both the doses of KEYTRUDA was associated with longer overall survival compared with Docetaxel treatment.</w:t>
      </w:r>
      <w:r>
        <w:br/>
      </w:r>
      <w:r>
        <w:br/>
      </w:r>
      <w:r>
        <w:t>KEYTRUDA is approved by the FDA for the treatment of metastatic melanoma and metastatic non-small cell lung cancer. These indications are approved under accelerated approval based on tumor response rate and durability of response.</w:t>
      </w:r>
      <w:r>
        <w:br/>
      </w:r>
      <w:r>
        <w:br/>
      </w:r>
      <w:r>
        <w:t>The label for KEYTRUDA currently says that an improvement in survival or disease-related symptoms has not yet been established, and the continued approval for these indications may be contingent upon verification and description of clinical benefit in the confirmatory trials.</w:t>
      </w:r>
      <w:r>
        <w:br/>
      </w:r>
      <w:r>
        <w:br/>
      </w:r>
      <w:r>
        <w:t>Merck is planning regulatory submissions in the U.S. in late 2015 and in the European Union in early 2016.</w:t>
      </w:r>
      <w:r>
        <w:br/>
      </w:r>
      <w:r>
        <w:br/>
      </w:r>
      <w:r>
        <w:t>MRK closed Monday's trading at $52.91, up 0.06%.</w:t>
      </w:r>
      <w:r>
        <w:br/>
      </w:r>
      <w:r>
        <w:br/>
      </w:r>
      <w:r>
        <w:t>Ophthotech Corp. (OPHT) has completed patient recruitment for its second phase III trial of its investigational drug Fovista in combination with Roche's blockbuster Lucentis for the treatment of wet age-related macular degeneration. Patient recruitment in the first phase III trial of Fovista in combination with Lucentis was completed in May of this year.</w:t>
      </w:r>
      <w:r>
        <w:br/>
      </w:r>
      <w:r>
        <w:br/>
      </w:r>
      <w:r>
        <w:t>The company expects to announce initial, topline data from both phase III trials of Fovista in combination with Lucentis in the fourth quarter of 2016.</w:t>
      </w:r>
      <w:r>
        <w:br/>
      </w:r>
      <w:r>
        <w:br/>
      </w:r>
      <w:r>
        <w:t>A third phase III trial, which is investigating Fovista in combination with either Eylea or Avastin, continues to enroll patients with recruitment on track, according to the company.</w:t>
      </w:r>
      <w:r>
        <w:br/>
      </w:r>
      <w:r>
        <w:br/>
      </w:r>
      <w:r>
        <w:t>OPHT closed Monday's trading at $46.82, up 0.54%.</w:t>
      </w:r>
      <w:r>
        <w:br/>
      </w:r>
      <w:r>
        <w:br/>
      </w:r>
      <w:r>
        <w:t>Recro Pharma Inc. (REPH) is scheduled to initiate a pivotal Phase III clinical development program with IV Meloxicam, a long-acting, preferential COX-2 inhibitor, for the treatment of moderate to severe acute post operative pain in the first quarter of 2016.</w:t>
      </w:r>
      <w:r>
        <w:br/>
      </w:r>
      <w:r>
        <w:br/>
      </w:r>
      <w:r>
        <w:t>Recro acquired IV/IM Meloxicam from Alkermes in April 2015.</w:t>
      </w:r>
      <w:r>
        <w:br/>
      </w:r>
      <w:r>
        <w:br/>
      </w:r>
      <w:r>
        <w:t>REPH closed Monday's trading at $10.82, down 4.16%.</w:t>
      </w:r>
      <w:r>
        <w:br/>
      </w:r>
      <w:r>
        <w:br/>
      </w:r>
      <w:r>
        <w:t>RedHill Biopharma Ltd.'s (RDHL) phase I study with YELIVA in patients with advanced solid cancers has successfully met its primary and secondary endpoints.</w:t>
      </w:r>
      <w:r>
        <w:br/>
      </w:r>
      <w:r>
        <w:br/>
      </w:r>
      <w:r>
        <w:t>A phase I/II clinical study evaluating YELIVA in patients with refractory/relapsed diffuse large B-cell lymphoma (DLBCL), primarily in patients with HIV-related DLBCL is underway. A phase I/II study with YELIVA for the treatment of refractory or relapsed multiple myeloma is planned to be initiated by early 2016.</w:t>
      </w:r>
      <w:r>
        <w:br/>
      </w:r>
      <w:r>
        <w:br/>
      </w:r>
      <w:r>
        <w:t>RDHL closed Monday's trading at $12.54, up 0.56%.</w:t>
      </w:r>
      <w:r>
        <w:br/>
      </w:r>
      <w:r>
        <w:br/>
      </w:r>
      <w:r>
        <w:t>TriVascular Technologies Inc. (TRIV) is all set to be acquired by Endologix Inc. (ELGX) for $9.10 per share or a total of approximately $211 million, in a stock and cash transaction.</w:t>
      </w:r>
      <w:r>
        <w:br/>
      </w:r>
      <w:r>
        <w:br/>
      </w:r>
      <w:r>
        <w:t>Upon completion of the merger, Endologix stockholders will own roughly 84% of the shares of the combined company on a fully diluted basis and TriVascular stockholders will own approximately 16%. The transaction is expected to close in January of 2016, subject to customary closing conditions.</w:t>
      </w:r>
      <w:r>
        <w:br/>
      </w:r>
      <w:r>
        <w:br/>
      </w:r>
      <w:r>
        <w:t>TRIV closed Monday's trading at $5.04, down 1.75%. In after hours, the stock was up 54.76% at $7.80.</w:t>
      </w:r>
      <w:r>
        <w:br/>
      </w:r>
      <w:r>
        <w:br/>
      </w:r>
      <w:r>
        <w:t>For comments and feedback: contact editorial@rttnews.com</w:t>
      </w:r>
      <w:r>
        <w:br/>
      </w:r>
      <w:r>
        <w:br/>
      </w:r>
      <w:r>
        <w:t>Copyright(c) 2015 RTTNews.com. All Rights Reserved</w:t>
      </w:r>
    </w:p>
    <w:p xmlns:wp14="http://schemas.microsoft.com/office/word/2010/wordml" w14:paraId="75DF0169" wp14:textId="77777777">
      <w:pPr>
        <w:pStyle w:val="Heading1"/>
      </w:pPr>
      <w:r>
        <w:t>End of Article 20</w:t>
      </w:r>
    </w:p>
    <w:p xmlns:wp14="http://schemas.microsoft.com/office/word/2010/wordml" w14:paraId="4101652C" wp14:textId="77777777">
      <w:r>
        <w:br w:type="page"/>
      </w:r>
    </w:p>
    <w:p xmlns:wp14="http://schemas.microsoft.com/office/word/2010/wordml" w14:paraId="6A7A9B8C" wp14:textId="77777777">
      <w:pPr>
        <w:pStyle w:val="Heading1"/>
      </w:pPr>
      <w:r>
        <w:t>Start of Article 21</w:t>
      </w:r>
    </w:p>
    <w:p xmlns:wp14="http://schemas.microsoft.com/office/word/2010/wordml" w14:paraId="247805A3" wp14:textId="77777777">
      <w:pPr>
        <w:pStyle w:val="Heading1"/>
      </w:pPr>
      <w:r>
        <w:t>Document ID NAIRAQ0020150924eb9n0008h</w:t>
      </w:r>
    </w:p>
    <w:p xmlns:wp14="http://schemas.microsoft.com/office/word/2010/wordml" w14:paraId="052D7E1E" wp14:textId="77777777">
      <w:r>
        <w:t>In addition to the conflicts in state and federal law, state Administrative Law Judge John S. Kennedy said the family failed to show their daughter Genny would suffer "irreparable harm" if denied medical marijuana in school, according to his 11-page decision.</w:t>
      </w:r>
      <w:r>
        <w:br/>
      </w:r>
      <w:r>
        <w:br/>
      </w:r>
      <w:r>
        <w:t>The parents of a 16-year-old girl with epilepsy who have sued her New Jersey school district to allow her to consume medical marijuana oil on school grounds took their battle to daytime television Monday by appearing on ABC's "The View."</w:t>
      </w:r>
      <w:r>
        <w:br/>
      </w:r>
      <w:r>
        <w:br/>
      </w:r>
      <w:r>
        <w:t>In a live interview, Lora and Roger Barbour of Maple Shade explained to co-hosts Whoopi Goldberg and Paula Faris how their homemade cannabis oil has succeeded in controlling their daughter Genny's seizures and even improved her speech.</w:t>
      </w:r>
      <w:r>
        <w:br/>
      </w:r>
      <w:r>
        <w:br/>
      </w:r>
      <w:r>
        <w:t>Meanwhile, Roger and Lora Barbour have sued to require the nurse at their 16-year-old daughter's special education school in Bellmawr administer cannabis oil, just like the nurse dispenses prescribed medication to other students. Since April, Genny has attended only half-days of school so she can be home for her lunchtime dose of homemade oil, diluted in a small glass of cola.</w:t>
      </w:r>
      <w:r>
        <w:br/>
      </w:r>
      <w:r>
        <w:br/>
      </w:r>
      <w:r>
        <w:t>Kennedy noted that Genny had missed 2-1/2 hours of school a day since April, siding with the parents on one point: that they has been a "break in (educational) services."</w:t>
      </w:r>
      <w:r>
        <w:br/>
      </w:r>
      <w:r>
        <w:br/>
      </w:r>
      <w:r>
        <w:t>But that finding was not enough to overcome the other problems in the case, Kennedy wrote. One of the hurdles the Barbours needed to clear was to prove that they would someday win the case and get a court order allowing medical cannabis is school.</w:t>
      </w:r>
    </w:p>
    <w:p xmlns:wp14="http://schemas.microsoft.com/office/word/2010/wordml" w14:paraId="4DF1E517" wp14:textId="77777777">
      <w:pPr>
        <w:pStyle w:val="Heading1"/>
      </w:pPr>
      <w:r>
        <w:t>End of Article 21</w:t>
      </w:r>
    </w:p>
    <w:p xmlns:wp14="http://schemas.microsoft.com/office/word/2010/wordml" w14:paraId="4B99056E" wp14:textId="77777777">
      <w:r>
        <w:br w:type="page"/>
      </w:r>
    </w:p>
    <w:p xmlns:wp14="http://schemas.microsoft.com/office/word/2010/wordml" w14:paraId="7079CD0E" wp14:textId="77777777">
      <w:pPr>
        <w:pStyle w:val="Heading1"/>
      </w:pPr>
      <w:r>
        <w:t>Start of Article 22</w:t>
      </w:r>
    </w:p>
    <w:p xmlns:wp14="http://schemas.microsoft.com/office/word/2010/wordml" w14:paraId="0BEFC6B0" wp14:textId="77777777">
      <w:pPr>
        <w:pStyle w:val="Heading1"/>
      </w:pPr>
      <w:r>
        <w:t>Document ID JORTI00020150921eb9i0008g</w:t>
      </w:r>
    </w:p>
    <w:p xmlns:wp14="http://schemas.microsoft.com/office/word/2010/wordml" w14:paraId="5696C32B" wp14:textId="77777777">
      <w:r>
        <w:t>Full details of the Phase 3 clinical trial, called the UNITY-CLL trial, will be released at the launch of the study. The general study design is a randomized controlled clinical trial that includes two key objectives: first, to demonstrate contribution of each agent in the TG-1101 + TGR-1202 regimen (the combination sometimes referred to as "1303"), and second, to demonstrate superiority in Progression Free Survival (PFS) over the standard of care to support the submission for full approval of the combination. The study will randomize patients into four treatment arms: TG-1101 + TGR-1202, TG-1101 alone, TGR-1202 alone, and an active control arm of obinutuzumab + chlorambucil. An early interim analysis will assess contribution of each single agent in the TG-1101 + TGR-1202 combination regimen, which, if successful, will allow early termination of both single agent arms. A second interim analysis will be conducted following full enrollment into the study, which, if positive, the Company plans to utilize for accelerated approval. Assuming early termination of the TG-1101 and TGR-1202 single agent arms, the study will enroll approximately 450 patients.</w:t>
      </w:r>
      <w:r>
        <w:br/>
      </w:r>
      <w:r>
        <w:br/>
      </w:r>
      <w:r>
        <w:t>Dr. John Gribben, Professor of Medicine and the Gordon Hamilton Fairley Chair of Medical Oncology at St. Bartholomew's Hospital, Barts Cancer Institute in London, UK, will lead the UNITY-CLL Phase 3 as Study Chair. Dr. Gribben commented, "The recent introduction of novel targeted agents has already dramatically improved the standard of care for patients with relapsed or refractory CLL, and we have seen even greater activity when these agents are used in combination. Both ublituximab and TGR-1202 have demonstrated unique activity and tolerability as single agents, and in combination together. We are excited to lead this important and innovative trial, which has the potential to bring greater advances to patients in both the front-line and relapsed/refractory CLL setting."</w:t>
      </w:r>
      <w:r>
        <w:br/>
      </w:r>
      <w:r>
        <w:br/>
      </w:r>
      <w:r>
        <w:t>Michael S. Weiss, Executive Chairman and Interim Chief Executive Officer of TG Therapeutics, stated, "Our number one goal has always been to accelerate the development of novel non-chemotherapy-based combination treatments for patients with B-cell malignancies. The UNITY-CLL study and the related SPA marks a major milestone for the Company and, if successful, could lead to a very broad label in the treatment of CLL, providing patients and physicians a new treatment option, and the Company a platform to build additional proprietary combinations in our continued effort to drive towards a cure. Our path to achieving this SPA, which we believe is the first for two novel investigational agents in the oncology division, was the result of a true collaboration with the FDA, for which we would like to recognize and thank the agency for its invaluable guidance throughout this process." Mr. Weiss continued, "Our clinical team has been hard at work preparing for the launch of this study, and we look forward to enrolling our first patients as soon as possible. Lastly, we are thrilled to have Dr. Gribben, a world-renowned authority in CLL, lead this important international study and share in his excitement in bringing our novel, non-chemotherapy combination regimen to patients in need."</w:t>
      </w:r>
      <w:r>
        <w:br/>
      </w:r>
      <w:r>
        <w:br/>
      </w:r>
      <w:r>
        <w:t>ABOUT TG THERAPEUTICS, INC.</w:t>
      </w:r>
      <w:r>
        <w:br/>
      </w:r>
      <w:r>
        <w:br/>
      </w:r>
      <w:r>
        <w:t>TG Therapeutics is a biopharmaceutical company focused on the acquisition, development and commercialization of novel treatments for B-cell malignancies and autoimmune diseases. Currently, the Company is developing two therapies targeting hematological malignancies. TG-1101 (ublituximab) is a novel, glycoengineered monoclonal antibody that targets a specific and unique epitope on the CD20 antigen found on mature B-lymphocytes. TG Therapeutics is also developing TGR-1202, an orally available PI3K delta inhibitor. The delta isoform of PI3K is strongly expressed in cells of hematopoietic origin and is believed to be important in the proliferation and survival of B?lymphocytes. Both TG-1101 and TGR-1202 are in clinical development for patients with hematologic malignancies. The Company also has pre-clinical programs to develop IRAK4 inhibitors, and anti-PD-L1 and anti-GITR antibodies. TG Therapeutics is headquartered in New York City.</w:t>
      </w:r>
      <w:r>
        <w:br/>
      </w:r>
      <w:r>
        <w:br/>
      </w:r>
      <w:r>
        <w:t>About Special Protocol Assessments</w:t>
      </w:r>
      <w:r>
        <w:br/>
      </w:r>
      <w:r>
        <w:br/>
      </w:r>
      <w:r>
        <w:t>The Special Protocol Assessment (SPA) process is a procedure by which the FDA provides official evaluation and written guidance on the design and size of proposed protocols that are intended to form the basis for a new drug application.</w:t>
      </w:r>
      <w:r>
        <w:br/>
      </w:r>
      <w:r>
        <w:br/>
      </w:r>
      <w:r>
        <w:t>Final marketing approval depends on the results of efficacy, the adverse event profile and an evaluation of the benefit/risk of treatment demonstrated in the Phase 3 clinical program. The SPA agreement may only be changed through a written agreement between the sponsor and the FDA, or if the FDA becomes aware of a substantial scientific issue essential to product efficacy or safety. For more information on Special Protocol Assessment, please visit: http://www.fda.gov/downloads/Drugs/GuidanceComplianceRegulatoryInformation/Guidances/ucm080571.pdf.</w:t>
      </w:r>
      <w:r>
        <w:br/>
      </w:r>
      <w:r>
        <w:br/>
      </w:r>
      <w:r>
        <w:t>Cautionary Statement</w:t>
      </w:r>
      <w:r>
        <w:br/>
      </w:r>
      <w:r>
        <w:br/>
      </w:r>
      <w:r>
        <w:t>Some of the statements included in this press release, particularly those with respect to anticipating future clinical trials, the timing of commencing or completing such trials and business prospects for TG-1101, TGR-1202, the IRAK4 inhibitor program, and the anti-PD-L1 and anti-GITR antibodies may be forward-looking statements that involve a number of risks and uncertainties. For those statements, we claim the protection of the safe harbor for forward-looking statements contained in the Private Securities Litigation Reform Act of 1995. Among the factors that could cause our actual results to differ materially are the following: our ability to successfully and cost-effectively complete pre-clinical and clinical trials for TG-1101, TGR-1202, the IRAK4 inhibitor program and the anti-PD-L1 and anti-GITR antibodies; the risk that early pre-clinical and clinical results that supported our decision to move forward with TG-1101, TGR-1202, the IRAK4 inhibitor program and the anti-PD-L1 and anti-GITR antibodies will not be reproduced in additional patients or in future studies; the risk that trends observed which underlie certain assumptions of future performance of TGR-1202 will not continue, the risk that TGR-1202 will not produce satisfactory safety and efficacy results to warrant further development following the completion of the current Phase 1 study; the risk that the data (both safety and efficacy) from future clinical trials will not coincide with the data produced from prior pre-clinical and clinical trials; the risk that trials will take longer to enroll than expected; our ability to achieve the milestones we project over the next year; our ability to manage our cash in line with our projections, and other risk factors identified from time to time in our reports filed with the Securities and Exchange Commission. Any forward-looking statements set forth in this press release speak only as of the date of this press release. We do not undertake to update any of these forward-looking statements to reflect events or circumstances that occur after the date hereof. This press release and prior releases are available at www.tgtherapeutics.com. The information found on our website is not incorporated by reference into this press release and is included for reference purposes only.</w:t>
      </w:r>
      <w:r>
        <w:br/>
      </w:r>
      <w:r>
        <w:br/>
      </w:r>
      <w:r>
        <w:t>TGTX - G</w:t>
      </w:r>
      <w:r>
        <w:br/>
      </w:r>
      <w:r>
        <w:br/>
      </w:r>
      <w:r>
        <w:t>Jenna Bosco</w:t>
      </w:r>
      <w:r>
        <w:br/>
      </w:r>
      <w:r>
        <w:br/>
      </w:r>
      <w:r>
        <w:t>Director- Investor Relations</w:t>
      </w:r>
      <w:r>
        <w:br/>
      </w:r>
      <w:r>
        <w:br/>
      </w:r>
      <w:r>
        <w:t>TG Therapeutics, Inc.</w:t>
      </w:r>
      <w:r>
        <w:br/>
      </w:r>
      <w:r>
        <w:br/>
      </w:r>
      <w:r>
        <w:t>Telephone: 212.554.4351</w:t>
      </w:r>
      <w:r>
        <w:br/>
      </w:r>
      <w:r>
        <w:br/>
      </w:r>
      <w:r>
        <w:t>Email:</w:t>
      </w:r>
      <w:r>
        <w:br/>
      </w:r>
      <w:r>
        <w:br/>
      </w:r>
      <w:r>
        <w:t>For the original version on GlobeNewswire visit: http://globenewswire.com/news-release/2015/09/17/768962/10149718/en/TG-Therapeutics-Announces-Special-Protocol-Assessment-SPA-Agreement-With-the-FDA-for-the-First-Phase-3-Clinical-Trial-of-Its-Proprietary-Combination-Regimen-of-TG-1101-ublituximab-.html</w:t>
      </w:r>
    </w:p>
    <w:p xmlns:wp14="http://schemas.microsoft.com/office/word/2010/wordml" w14:paraId="176727E4" wp14:textId="77777777">
      <w:pPr>
        <w:pStyle w:val="Heading1"/>
      </w:pPr>
      <w:r>
        <w:t>End of Article 22</w:t>
      </w:r>
    </w:p>
    <w:p xmlns:wp14="http://schemas.microsoft.com/office/word/2010/wordml" w14:paraId="1299C43A" wp14:textId="77777777">
      <w:r>
        <w:br w:type="page"/>
      </w:r>
    </w:p>
    <w:p xmlns:wp14="http://schemas.microsoft.com/office/word/2010/wordml" w14:paraId="38D0FAF8" wp14:textId="77777777">
      <w:pPr>
        <w:pStyle w:val="Heading1"/>
      </w:pPr>
      <w:r>
        <w:t>Start of Article 23</w:t>
      </w:r>
    </w:p>
    <w:p xmlns:wp14="http://schemas.microsoft.com/office/word/2010/wordml" w14:paraId="4837CC36" wp14:textId="77777777">
      <w:pPr>
        <w:pStyle w:val="Heading1"/>
      </w:pPr>
      <w:r>
        <w:t>Document ID ATPHAM0020150115eb1c0008g</w:t>
      </w:r>
    </w:p>
    <w:p xmlns:wp14="http://schemas.microsoft.com/office/word/2010/wordml" w14:paraId="4E072D35" wp14:textId="77777777">
      <w:r>
        <w:t>Second quarter of fiscal year 2015 revenue is expected to be approximately $3.1 million, up approximately 2% sequentially from the first quarter of fiscal year 2015. The second quarter revenue was down approximately 19% compared to the second quarter of the prior fiscal year, which was the last full quarter of operations before the Company restructured its sales and operations in the second half of fiscal year 2014.</w:t>
      </w:r>
      <w:r>
        <w:br/>
      </w:r>
      <w:r>
        <w:br/>
      </w:r>
      <w:r>
        <w:t>As of December 31, 2014, the Company's preliminary total cash balance was approximately $570,000, which includes $40,000 of restricted cash. The total cash balance is an increase of approximately $25,000 from September 30, 2014.</w:t>
      </w:r>
      <w:r>
        <w:br/>
      </w:r>
      <w:r>
        <w:br/>
      </w:r>
      <w:r>
        <w:t>"We are pleased with our preliminary revenue and cash results for the second quarter. We now have two quarters of post-restructuring operations behind us that indicate we are on track with the primary objective of our plan to stabilize revenue with our new distribution model and become operationally cash flow positive," stated Greg Fluet, CEO.</w:t>
      </w:r>
      <w:r>
        <w:br/>
      </w:r>
      <w:r>
        <w:br/>
      </w:r>
      <w:r>
        <w:t>During the quarter ended December 31, 2014 and subsequently since that date, Urologix did not make any payments towards any of the amounts due and unpaid to Medtronic. Regarding the amounts due and unpaid to Medtronic, Urologix and Medtronic both share a sincere commitment to patients and urologists. Urologix recognizes Medtronic's continuing rights under the agreements, and is working collaboratively with Medtronic and their observer on the Company's Board of Directors in an effort to build the business.</w:t>
      </w:r>
      <w:r>
        <w:br/>
      </w:r>
      <w:r>
        <w:br/>
      </w:r>
      <w:r>
        <w:t>The preliminary unaudited results for the second quarter of fiscal year 2015 are subject to the Company's management and independent auditors' customary review procedures. The Company intends to issue a press release reporting final results of operations for the quarter ending December 31, 2014 after the market close on February 5, 2015, with its conference call scheduled for 4:00 p.m. CST that day.</w:t>
      </w:r>
      <w:r>
        <w:br/>
      </w:r>
      <w:r>
        <w:br/>
      </w:r>
      <w:r>
        <w:t>Earnings Call Information</w:t>
      </w:r>
      <w:r>
        <w:br/>
      </w:r>
      <w:r>
        <w:br/>
      </w:r>
      <w:r>
        <w:t>To listen to the call, please dial 1-866-515-2910 and enter the Participant Passcode 37953871 at least 10 minutes prior to the call. A live webcast of the call will be available through the investor relations section of the Company's website at (www.urologix.com) and available for replay approximately two hours after the completion of the call.</w:t>
      </w:r>
      <w:r>
        <w:br/>
      </w:r>
      <w:r>
        <w:br/>
      </w:r>
      <w:r>
        <w:t>Source: Urologix, Inc.</w:t>
      </w:r>
    </w:p>
    <w:p xmlns:wp14="http://schemas.microsoft.com/office/word/2010/wordml" w14:paraId="6736FD64" wp14:textId="77777777">
      <w:pPr>
        <w:pStyle w:val="Heading1"/>
      </w:pPr>
      <w:r>
        <w:t>End of Article 23</w:t>
      </w:r>
    </w:p>
    <w:p xmlns:wp14="http://schemas.microsoft.com/office/word/2010/wordml" w14:paraId="4DDBEF00" wp14:textId="77777777">
      <w:r>
        <w:br w:type="page"/>
      </w:r>
    </w:p>
    <w:p xmlns:wp14="http://schemas.microsoft.com/office/word/2010/wordml" w14:paraId="4708C50D" wp14:textId="77777777">
      <w:pPr>
        <w:pStyle w:val="Heading1"/>
      </w:pPr>
      <w:r>
        <w:t>Start of Article 24</w:t>
      </w:r>
    </w:p>
    <w:p xmlns:wp14="http://schemas.microsoft.com/office/word/2010/wordml" w14:paraId="0730F13C" wp14:textId="77777777">
      <w:pPr>
        <w:pStyle w:val="Heading1"/>
      </w:pPr>
      <w:r>
        <w:t>Document ID BIOELSE020150916eb990001u</w:t>
      </w:r>
    </w:p>
    <w:p xmlns:wp14="http://schemas.microsoft.com/office/word/2010/wordml" w14:paraId="266656A1" wp14:textId="77777777">
      <w:r>
        <w:t>Website: http://www.biospace.com</w:t>
      </w:r>
    </w:p>
    <w:p xmlns:wp14="http://schemas.microsoft.com/office/word/2010/wordml" w14:paraId="0093D89C" wp14:textId="77777777">
      <w:pPr>
        <w:pStyle w:val="Heading1"/>
      </w:pPr>
      <w:r>
        <w:t>End of Article 24</w:t>
      </w:r>
    </w:p>
    <w:p xmlns:wp14="http://schemas.microsoft.com/office/word/2010/wordml" w14:paraId="3461D779" wp14:textId="77777777">
      <w:r>
        <w:br w:type="page"/>
      </w:r>
    </w:p>
    <w:p xmlns:wp14="http://schemas.microsoft.com/office/word/2010/wordml" w14:paraId="63A52234" wp14:textId="77777777">
      <w:pPr>
        <w:pStyle w:val="Heading1"/>
      </w:pPr>
      <w:r>
        <w:t>Start of Article 25</w:t>
      </w:r>
    </w:p>
    <w:p xmlns:wp14="http://schemas.microsoft.com/office/word/2010/wordml" w14:paraId="059C6874" wp14:textId="77777777">
      <w:pPr>
        <w:pStyle w:val="Heading1"/>
      </w:pPr>
      <w:r>
        <w:t>Document ID PRESSA0020150727eb7r003mm</w:t>
      </w:r>
    </w:p>
    <w:p xmlns:wp14="http://schemas.microsoft.com/office/word/2010/wordml" w14:paraId="0652BD30" wp14:textId="77777777">
      <w:r>
        <w:t xml:space="preserve">Initial patients in the study were enrolled in Rotterdam and Milan where MANTA 18F devices were successfully deployed achieving immediate hemostasis following transcatheter aortic valve replacement (TAVR) with excellent clinical, angiographic and hemodynamic (Duplex Ultrasound) results. The MANTA devices were deployed in less than one minute, without pain or discomfort for the patients. None of the patients experienced any complications associated with the device.  </w:t>
      </w:r>
      <w:r>
        <w:br/>
      </w:r>
      <w:r>
        <w:br/>
      </w:r>
      <w:r>
        <w:t>MANTA closes femoral arterial punctures made during cardiac catheterization procedures such as transcatheter aortic valve replacement (TAVR), endovascular treatment of abdominal aortic aneurysms (AAA), ventricular assist (VAD), and balloon aortic valvuloplasty (BAV). These procedures are the fastest growing segment of the cardiovascular market but the growth is limited by the lack of a safe and reliable large-bore percutaneous closure device. MANTA was purposely designed to address the complexities of closing large holes in high-pressure vessels utilizing novel closure technology. MANTA's fail-safe deployment closes large punctures in less than 60 seconds, providing immediate hemostasis in order to reduce complications associated with large bore closure. The potential worldwide market for large bore vascular closure device exceeds $650 million.</w:t>
      </w:r>
      <w:r>
        <w:br/>
      </w:r>
      <w:r>
        <w:br/>
      </w:r>
      <w:r>
        <w:t>Cases were conducted by Nicholas Van Mieghem, MD, PhD, Medical Director of the Department of Interventional Cardiology at the Thoraxcenter, Erasmus Medical Center, who commented that MANTA, "is a revolutionary device that will transform how we close cases," and Antonio Colombo, MD, Director of the Invasive Cardiology Department at San Raffaele Scientific Institute and Columbus Hospital, who commented that the MANTA device "is a nice step [toward] making large bore closure a simple and reliable procedure."</w:t>
      </w:r>
      <w:r>
        <w:br/>
      </w:r>
      <w:r>
        <w:br/>
      </w:r>
      <w:r>
        <w:t>Closure of large bore femoral access sites has been associated with significant morbidity including long time to achieve hemostasis, extended OR time, need for a vascular surgeon in the catheterization lab, delayed ambulation, higher rate of complications and higher total cost of care. Dr. Gary Roubin, MD, PhD, Essential Medical CMO, commented on this most recent experience; "The deployment of the devices was flawless, and both clinicians found the MANTA to be intuitive, easy-to-use and efficacious. Including our First-in-man studies, we have now enrolled 19 patients to date with rapid hemostasis and no major complications.  We look forward to enrolling other centers in Hamburg and Vancouver shortly."</w:t>
      </w:r>
      <w:r>
        <w:br/>
      </w:r>
      <w:r>
        <w:br/>
      </w:r>
      <w:r>
        <w:t>In other recent news, the Company has now enrolled 23 patients to date in a post-market-follow-up study (PMFU) in Germany utilizing its X-Seal™ small-bore closure device. This study is a 50-patient PMFU study as a requirement for X-Seal CE Mark approval. Commercialization of X-Seal is expected through a strategic partner once the PMFU study is completed.</w:t>
      </w:r>
      <w:r>
        <w:br/>
      </w:r>
      <w:r>
        <w:br/>
      </w:r>
      <w:r>
        <w:t xml:space="preserve">About Essential Medical   </w:t>
      </w:r>
      <w:r>
        <w:br/>
      </w:r>
      <w:r>
        <w:br/>
      </w:r>
      <w:r>
        <w:t>Essential Medical, Inc., is a privately held company focused on transforming the large bore vascular closure market by delivering products that meet the unmet need for closure without complications. The company was founded in 2010 by Greg Walters, a senior product development executive with 20 years' experience creating innovative cardiovascular products, and Dr. Gary Roubin, MD, PhD, a coronary and carotid stenting pioneer.</w:t>
      </w:r>
      <w:r>
        <w:br/>
      </w:r>
      <w:r>
        <w:br/>
      </w:r>
      <w:r>
        <w:t>Contact:</w:t>
      </w:r>
      <w:r>
        <w:br/>
      </w:r>
      <w:r>
        <w:br/>
      </w:r>
      <w:r>
        <w:t>Greg Walters</w:t>
      </w:r>
      <w:r>
        <w:br/>
      </w:r>
      <w:r>
        <w:br/>
      </w:r>
      <w:r>
        <w:t>greg@essmedclosure.com</w:t>
      </w:r>
      <w:r>
        <w:br/>
      </w:r>
      <w:r>
        <w:br/>
      </w:r>
      <w:r>
        <w:t>http://www.essmedclosure.com</w:t>
      </w:r>
    </w:p>
    <w:p xmlns:wp14="http://schemas.microsoft.com/office/word/2010/wordml" w14:paraId="72E99226" wp14:textId="77777777">
      <w:pPr>
        <w:pStyle w:val="Heading1"/>
      </w:pPr>
      <w:r>
        <w:t>End of Article 25</w:t>
      </w:r>
    </w:p>
    <w:p xmlns:wp14="http://schemas.microsoft.com/office/word/2010/wordml" w14:paraId="3CF2D8B6" wp14:textId="77777777">
      <w:r>
        <w:br w:type="page"/>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0BA45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8b13c74-5385-4435-8097-8ca8678859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AAF9865-3CD2-4E29-984F-289C2796DCC5}"/>
</file>

<file path=customXml/itemProps3.xml><?xml version="1.0" encoding="utf-8"?>
<ds:datastoreItem xmlns:ds="http://schemas.openxmlformats.org/officeDocument/2006/customXml" ds:itemID="{F353C88B-EAB6-4B9C-BDA0-C4D4D45DD38B}"/>
</file>

<file path=customXml/itemProps4.xml><?xml version="1.0" encoding="utf-8"?>
<ds:datastoreItem xmlns:ds="http://schemas.openxmlformats.org/officeDocument/2006/customXml" ds:itemID="{2278864D-709B-4D0E-AE37-041AAD937C6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Manager/>
  <ap:Company/>
  <ap:SharedDoc>false</ap:SharedDoc>
  <ap:HyperlinkBase/>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Korkmaz, Gizem (gk8yj)</cp:lastModifiedBy>
  <cp:revision>2</cp:revision>
  <dcterms:created xsi:type="dcterms:W3CDTF">2013-12-23T23:15:00Z</dcterms:created>
  <dcterms:modified xsi:type="dcterms:W3CDTF">2019-07-24T15:39:33Z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