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762BD763" wp14:textId="77777777">
      <w:pPr>
        <w:pStyle w:val="Heading1"/>
      </w:pPr>
      <w:r>
        <w:t>Document ID BNZNGA0020150610eb6a000jh</w:t>
      </w:r>
    </w:p>
    <w:p xmlns:wp14="http://schemas.microsoft.com/office/word/2010/wordml" w14:paraId="35CA1C0F" wp14:textId="77777777">
      <w:r>
        <w:t>The injectable treatment, called Praluent, is expected to yield annual sales of $2.5 billion by 2020, according to Thomson Reuters data.</w:t>
      </w:r>
      <w:r>
        <w:br/>
      </w:r>
      <w:r>
        <w:br/>
      </w:r>
      <w:r>
        <w:t>Regeron posted total 2014 sales of $2.82 billion; Sanofi about $34.61 billion.</w:t>
      </w:r>
      <w:r>
        <w:br/>
      </w:r>
      <w:r>
        <w:br/>
      </w:r>
      <w:r>
        <w:t>The same advisory panel meets Wednesday to discuss Amgen, Inc. (NASDAQ: AMGN)'s proposed injectable cholesterol-lowering drug Repatha, also projected to have 2020 sales of $2.5 billion.</w:t>
      </w:r>
      <w:r>
        <w:br/>
      </w:r>
      <w:r>
        <w:br/>
      </w:r>
      <w:r>
        <w:t>Amgen, which posted total sales last year of $20.06 billion, expects a final FDA ruling on Repatha by August 27.</w:t>
      </w:r>
      <w:r>
        <w:br/>
      </w:r>
      <w:r>
        <w:br/>
      </w:r>
      <w:r>
        <w:t>Both Repatha and Praluent are human monoclonal antibodies targeting a specific protein that reduces the liver's ability to remove low-density lipoprotein cholesterol, or "bad" cholesterol, from the blood.</w:t>
      </w:r>
      <w:r>
        <w:br/>
      </w:r>
      <w:r>
        <w:br/>
      </w:r>
      <w:r>
        <w:t>"There remains a significant unmet medical need for patients who, despite currently available therapies, are unable to control their high cholesterol," Amgen researcher Sean E. Harper said.</w:t>
      </w:r>
      <w:r>
        <w:br/>
      </w:r>
      <w:r>
        <w:br/>
      </w:r>
      <w:r>
        <w:t>Most of the advisory panel recommended limiting Praluent to patients predisposed to high cholesterol and at high risk of cardiovascular disease who are on maximum doses of statin therapy, according to Reuters.</w:t>
      </w:r>
      <w:r>
        <w:br/>
      </w:r>
      <w:r>
        <w:br/>
      </w:r>
      <w:r>
        <w:t>© 2015 Benzinga.com. Benzinga does not provide investment advice. All rights reserved.</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502D8246" wp14:textId="77777777">
      <w:pPr>
        <w:pStyle w:val="Heading1"/>
      </w:pPr>
      <w:r>
        <w:t>Document ID MAWK000020150102eb1500004</w:t>
      </w:r>
    </w:p>
    <w:p xmlns:wp14="http://schemas.microsoft.com/office/word/2010/wordml" w14:paraId="620308C0" wp14:textId="77777777">
      <w:r>
        <w:t>The news reporters obtained a quote from the research from Sanofi Pasteur, "The epidemiology of dengue disease in Malaysia was characterized by a non-linear increase in the number of reported cases from 7,103 in 2000 to 46,171 in 2010, and a shift in the age range predominance from children toward adults. The overall increase in dengue disease was accompanied by a rise in the number, but not the proportion, of severe cases. The dominant circulating dengue virus serotypes changed continually over the decade and differed between states."</w:t>
      </w:r>
      <w:r>
        <w:br/>
      </w:r>
      <w:r>
        <w:br/>
      </w:r>
      <w:r>
        <w:t>According to the news reporters, the research concluded: "Several gaps in epidemiological knowledge were identified; in particular, studies of regional differences, age-stratified seroprevalence, and hospital admissions."</w:t>
      </w:r>
      <w:r>
        <w:br/>
      </w:r>
      <w:r>
        <w:br/>
      </w:r>
      <w:r>
        <w:t>For more information on this research see: Epidemiology of Dengue Disease in Malaysia (2000-2012): A Systematic Literature Review. Plos Neglected Tropical Diseases, 2014;8(11):43-51. Plos Neglected Tropical Diseases can be contacted at: Public Library Science, 1160 Battery Street, Ste 100, San Francisco, CA 94111, USA. (Public Library of Science - www.plos.org; Plos Neglected Tropical Diseases - www.plosntds.org)</w:t>
      </w:r>
      <w:r>
        <w:br/>
      </w:r>
      <w:r>
        <w:br/>
      </w:r>
      <w:r>
        <w:t>Our news correspondents report that additional information may be obtained by contacting A.H. Mohd-Zaki, Sanofi Pasteur, Global Epidemiol Department, Lyon, France. Additional authors for this research include J. Brett, E. Ismail and M. L'Azou.</w:t>
      </w:r>
      <w:r>
        <w:br/>
      </w:r>
      <w:r>
        <w:br/>
      </w:r>
      <w:r>
        <w:t>Keywords for this news article include: Lyon, France, Europe, RNA Viruses, Dengue Fever, Epidemiology, Arbovirus Infections, RNA Virus Infections, Flavivirus Infections, Flaviviridae Infections, Mosquito-Borne Diseases, Viral Hemorrhagic Fevers</w:t>
      </w:r>
      <w:r>
        <w:br/>
      </w:r>
      <w:r>
        <w:br/>
      </w:r>
      <w:r>
        <w:t>Our reports deliver fact-based news of research and discoveries from around the world. Copyright 2015, NewsRx LLC</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4490BFC9" wp14:textId="77777777">
      <w:pPr>
        <w:pStyle w:val="Heading1"/>
      </w:pPr>
      <w:r>
        <w:t>Document ID NEWSTMES20150806eb750003a</w:t>
      </w:r>
    </w:p>
    <w:p xmlns:wp14="http://schemas.microsoft.com/office/word/2010/wordml" w14:paraId="31878040" wp14:textId="77777777">
      <w:r>
        <w:t>He was tested again for strep and this time it came back positive. His doctor decided to do a full work-up, and eventually diagnosed with Berger's disease, which causes inflammation of the kidneys and can lead to organ failure.</w:t>
      </w:r>
      <w:r>
        <w:br/>
      </w:r>
      <w:r>
        <w:br/>
      </w:r>
      <w:r>
        <w:t>"It was by far the most crushing day of my life," Reseska said. "I would drive by that dialysis center at Danbury Hospital, and that was heavy on my heart because I thought, 'One day I'm going to end up there.' "</w:t>
      </w:r>
      <w:r>
        <w:br/>
      </w:r>
      <w:r>
        <w:br/>
      </w:r>
      <w:r>
        <w:t>But 30 years later, Reseska, who lives in Newtown with his wife and two children, is happy, healthy and able to continue working at his sales job. Thanks to two kidney transplants, he has managed to avoid dialysis.</w:t>
      </w:r>
      <w:r>
        <w:br/>
      </w:r>
      <w:r>
        <w:br/>
      </w:r>
      <w:r>
        <w:t>Not everyone is so lucky. Each day, 12 people die waiting for a kidney.</w:t>
      </w:r>
      <w:r>
        <w:br/>
      </w:r>
      <w:r>
        <w:br/>
      </w:r>
      <w:r>
        <w:t>Of the 123,000 Americans on the waiting list for an organ transplant, more than 101,000 need a kidney. Only 17,000 people each year are able to get one.</w:t>
      </w:r>
      <w:r>
        <w:br/>
      </w:r>
      <w:r>
        <w:br/>
      </w:r>
      <w:r>
        <w:t>In Connecticut, roughly 1,250 people are waiting for a kidney, according to the National Kidney Association and the United Network of Organ Sharing.</w:t>
      </w:r>
      <w:r>
        <w:br/>
      </w:r>
      <w:r>
        <w:br/>
      </w:r>
      <w:r>
        <w:t>The waiting list is long for several reasons. First, many Americans suffer from kidney disease, which can result from a variety of common conditions including diabetes and high blood pressure. Also, the number of people opting to donate organs after they die is not growing, and the number willing and able to donate while they are alive is very small.</w:t>
      </w:r>
      <w:r>
        <w:br/>
      </w:r>
      <w:r>
        <w:br/>
      </w:r>
      <w:r>
        <w:t>Chris Reseska's kidneys started to fail for the first time about 20 years ago. Everyone in his family was tested as a possible donor. His younger brother, Mike, turned out to be the best match.</w:t>
      </w:r>
      <w:r>
        <w:br/>
      </w:r>
      <w:r>
        <w:br/>
      </w:r>
      <w:r>
        <w:t>Mike Reseska had his hesitations about the procedure, but said a surgeon at Yale-New Haven Hospital put his mind at ease. The surgeon told him, "You can still have your glass of wine, you can still live your life to its fullest. The other kidney is going to get a little stronger, you'll never know its gone and you're saving your brother's life."</w:t>
      </w:r>
      <w:r>
        <w:br/>
      </w:r>
      <w:r>
        <w:br/>
      </w:r>
      <w:r>
        <w:t>Reseska donated his kidney to his big brother in January 1998.</w:t>
      </w:r>
      <w:r>
        <w:br/>
      </w:r>
      <w:r>
        <w:br/>
      </w:r>
      <w:r>
        <w:t>About three years ago, however, Chris Reseska started having symptoms suggesting that the donated kidney was failing. He didn't know it at the time, but he was carrying more than 60 pounds of water on his 6-foot-2 frame, a symptom of his worsening condition.</w:t>
      </w:r>
      <w:r>
        <w:br/>
      </w:r>
      <w:r>
        <w:br/>
      </w:r>
      <w:r>
        <w:t>Reseska's sister, Nancy Anderson, got tested, but wasn't a match. They decided to try an organ swap, in which Anderson would donate a kidney to another transplant patient in return for a compatible kidney for Chris from another donor.</w:t>
      </w:r>
      <w:r>
        <w:br/>
      </w:r>
      <w:r>
        <w:br/>
      </w:r>
      <w:r>
        <w:t>But time wasn't on their side.</w:t>
      </w:r>
      <w:r>
        <w:br/>
      </w:r>
      <w:r>
        <w:br/>
      </w:r>
      <w:r>
        <w:t>"I was going south in a big way," Reseska said. "I was absolutely ready to be put on dialysis, and the collapse of my life as I knew it was imminent."</w:t>
      </w:r>
      <w:r>
        <w:br/>
      </w:r>
      <w:r>
        <w:br/>
      </w:r>
      <w:r>
        <w:t>But then Mike Reseska's wife, Mary Lou, 49, decided to see if she was a match. Because of improved medications, a genetic link is no longer required to ensure a successful transplant.</w:t>
      </w:r>
      <w:r>
        <w:br/>
      </w:r>
      <w:r>
        <w:br/>
      </w:r>
      <w:r>
        <w:t>"We were running out of options," she said. "Chris was really down and out. It was really hard to watch."</w:t>
      </w:r>
      <w:r>
        <w:br/>
      </w:r>
      <w:r>
        <w:br/>
      </w:r>
      <w:r>
        <w:t>Mary Lou Reseska had blood, urine and radiology tests to determine whether she could donate. After a weekend of waiting, she got the news that she was match, and immediately called her brother-in-law.</w:t>
      </w:r>
      <w:r>
        <w:br/>
      </w:r>
      <w:r>
        <w:br/>
      </w:r>
      <w:r>
        <w:t>"What were the chances that my sister-in-law would be a viable match?" Reseska said. "It was a miracle."</w:t>
      </w:r>
      <w:r>
        <w:br/>
      </w:r>
      <w:r>
        <w:br/>
      </w:r>
      <w:r>
        <w:t>Reseska wasn't the only one relieved, Mary Lou Reseska felt the same way when the hospital called.</w:t>
      </w:r>
      <w:r>
        <w:br/>
      </w:r>
      <w:r>
        <w:br/>
      </w:r>
      <w:r>
        <w:t>"I thought I was a match, and I would have been really disappointed if I wasn't," she said. "So I said, 'Let's go, let's do this.'"</w:t>
      </w:r>
      <w:r>
        <w:br/>
      </w:r>
      <w:r>
        <w:br/>
      </w:r>
      <w:r>
        <w:t>Three weeks later, in adjacent operating rooms at Yale-New Haven, Mary Lou's left kidney was removed and transplanted into her brother-in-law.</w:t>
      </w:r>
      <w:r>
        <w:br/>
      </w:r>
      <w:r>
        <w:br/>
      </w:r>
      <w:r>
        <w:t>The procedure has changed greatly since Mike Reseska donated his kidney. In the past, it involved a long incision and a long hospital stay and recovery.</w:t>
      </w:r>
      <w:r>
        <w:br/>
      </w:r>
      <w:r>
        <w:br/>
      </w:r>
      <w:r>
        <w:t>Now the surgery is less invasive. A short incision, about three inches long, is made above the pubic bone, the same spot as in a C-section, to remove the kidney.</w:t>
      </w:r>
      <w:r>
        <w:br/>
      </w:r>
      <w:r>
        <w:br/>
      </w:r>
      <w:r>
        <w:t>Dr. Richard Formica, director of transplant medicine at Yale-New Haven, said organs transplanted from a living person last longer than those harvested from a dead donor.</w:t>
      </w:r>
      <w:r>
        <w:br/>
      </w:r>
      <w:r>
        <w:br/>
      </w:r>
      <w:r>
        <w:t>Most people who decide to donate organs do so because a family member or loved one is in need. But Formica said there are some people, called "altruistic donors," who donate to perfect strangers.</w:t>
      </w:r>
      <w:r>
        <w:br/>
      </w:r>
      <w:r>
        <w:br/>
      </w:r>
      <w:r>
        <w:t>All donors go through a very thorough screening process to make sure they are healthy enough, both mentally and physically, for the surgery.</w:t>
      </w:r>
      <w:r>
        <w:br/>
      </w:r>
      <w:r>
        <w:br/>
      </w:r>
      <w:r>
        <w:t>"Donor safety comes first and foremost; there is no negotiating on that topic," Formica said.</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557F4C93" wp14:textId="77777777">
      <w:pPr>
        <w:pStyle w:val="Heading1"/>
      </w:pPr>
      <w:r>
        <w:t>Document ID DJDN000020150609eb69001qd</w:t>
      </w:r>
    </w:p>
    <w:p xmlns:wp14="http://schemas.microsoft.com/office/word/2010/wordml" w14:paraId="1A4FAD2B" wp14:textId="77777777">
      <w:r>
        <w:t>LANSING, Mich., June 9, 2015</w:t>
      </w:r>
      <w:r>
        <w:br/>
      </w:r>
      <w:r>
        <w:br/>
      </w:r>
      <w:r>
        <w:t>LANSING, Mich., June 9, 2015 /PRNewswire/ -- Neogen has released an enhanced version of its popular AccuPoint(R) ATP Hygiene Monitoring System that makes the product the most sensitive and consistent hygiene monitoring test system available.</w:t>
      </w:r>
      <w:r>
        <w:br/>
      </w:r>
      <w:r>
        <w:br/>
      </w:r>
      <w:r>
        <w:t>Neogen's new AccuPoint Advanced ATP Hygiene Monitoring System features samplers with new technology to more consistently collect any potential residues left behind after sanitation efforts; an enhanced compact instrument to better detect any residues collected by the samplers; and user-friendly data management software to organize and analyze the system's test results.</w:t>
      </w:r>
      <w:r>
        <w:br/>
      </w:r>
      <w:r>
        <w:br/>
      </w:r>
      <w:r>
        <w:t>"While the previous versions of our AccuPoint system have been very successful tools to monitor the effectiveness of the sanitation programs of our numerous customers, the feedback we've received led directly to this next generation of our AccuPoint system," said Ed Bradley, Neogen's vice president of Food Safety. "Our many years of working closely with the food industry, and other producers of consumer products, have shown us what product features matter. We are very pleased to offer a new sanitation testing system that we believe is superior to anything else in the market."</w:t>
      </w:r>
      <w:r>
        <w:br/>
      </w:r>
      <w:r>
        <w:br/>
      </w:r>
      <w:r>
        <w:t xml:space="preserve">Improvements include: </w:t>
      </w:r>
      <w:r>
        <w:br/>
      </w:r>
      <w:r>
        <w:br/>
      </w:r>
      <w:r>
        <w:br/>
      </w:r>
      <w:r>
        <w:t xml:space="preserve">   -- Improved sampler chemistry to produce more consistent results with even </w:t>
      </w:r>
      <w:r>
        <w:br/>
      </w:r>
      <w:r>
        <w:t xml:space="preserve">      greater sensitivity -- and the ability to be stored at room temperature </w:t>
      </w:r>
      <w:r>
        <w:br/>
      </w:r>
      <w:r>
        <w:t xml:space="preserve">      for up to two weeks; </w:t>
      </w:r>
      <w:r>
        <w:br/>
      </w:r>
      <w:r>
        <w:t xml:space="preserve"> </w:t>
      </w:r>
      <w:r>
        <w:br/>
      </w:r>
      <w:r>
        <w:t xml:space="preserve">   -- An enhanced instrument to produce even faster results (less than 20 </w:t>
      </w:r>
      <w:r>
        <w:br/>
      </w:r>
      <w:r>
        <w:t xml:space="preserve">      seconds); </w:t>
      </w:r>
      <w:r>
        <w:br/>
      </w:r>
      <w:r>
        <w:t xml:space="preserve"> </w:t>
      </w:r>
      <w:r>
        <w:br/>
      </w:r>
      <w:r>
        <w:t xml:space="preserve">   -- Advanced Data Manager software to easily streamline the testing process </w:t>
      </w:r>
      <w:r>
        <w:br/>
      </w:r>
      <w:r>
        <w:t xml:space="preserve">      by creating test plans and syncing important data, while keeping a </w:t>
      </w:r>
      <w:r>
        <w:br/>
      </w:r>
      <w:r>
        <w:t xml:space="preserve">      permanent record of hygiene test results. </w:t>
      </w:r>
      <w:r>
        <w:br/>
      </w:r>
      <w:r>
        <w:br/>
      </w:r>
      <w:r>
        <w:t>ATP (adenosine triphosphate) sanitation monitoring systems have evolved into the current "gold standard" for food and beverage production facilities to monitor their sanitation efforts. Using an ATP system is an easy and quick gauge of a facility's cleanliness, and is easily customized for the specific equipment, people, product, and processes used in any food production facility. The systems set an objective, recordable, and traceable standard to help avoid the consequences of substandard sanitation efforts.</w:t>
      </w:r>
      <w:r>
        <w:br/>
      </w:r>
      <w:r>
        <w:br/>
      </w:r>
      <w:r>
        <w:t>Neogen Corporation develops and markets products dedicated to food and animal safety. The company's Food Safety Division markets dehydrated culture media, and diagnostic test kits to detect foodborne bacteria, natural toxins, food allergens, drug residues, plant diseases and sanitation concerns. Neogen's Animal Safety Division is a leader in the development of animal genomics along with the manufacturing and distribution of a variety of animal healthcare products, including diagnostics, pharmaceuticals, veterinary instruments, wound care and disinfectants.</w:t>
      </w:r>
      <w:r>
        <w:br/>
      </w:r>
      <w:r>
        <w:br/>
      </w:r>
      <w:r>
        <w:t>CONTACT:</w:t>
      </w:r>
      <w:r>
        <w:br/>
      </w:r>
      <w:r>
        <w:br/>
      </w:r>
      <w:r>
        <w:t>Robert Soule</w:t>
      </w:r>
      <w:r>
        <w:br/>
      </w:r>
      <w:r>
        <w:br/>
      </w:r>
      <w:r>
        <w:t>Neogen Corporation, 517/372-9200</w:t>
      </w:r>
      <w:r>
        <w:br/>
      </w:r>
      <w:r>
        <w:br/>
      </w:r>
      <w:r>
        <w:t>To view the original version on PR Newswire, visit:http://www.prnewswire.com/news-releases/neogen-launches-accupoint-advanced-300096231.html</w:t>
      </w:r>
      <w:r>
        <w:br/>
      </w:r>
      <w:r>
        <w:br/>
      </w:r>
      <w:r>
        <w:t>SOURCE Neogen Corporation</w:t>
      </w:r>
      <w:r>
        <w:br/>
      </w:r>
      <w:r>
        <w:br/>
      </w:r>
      <w:r>
        <w:t>/Web site: http://www.neogen.com</w:t>
      </w:r>
      <w:r>
        <w:br/>
      </w:r>
      <w:r>
        <w:br/>
      </w:r>
      <w:r>
        <w:t>(END) Dow Jones Newswires</w:t>
      </w:r>
      <w:r>
        <w:br/>
      </w:r>
      <w:r>
        <w:br/>
      </w:r>
      <w:r>
        <w:t>June 09, 2015 08:45 ET (12:45 GMT)</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2E28CC13" wp14:textId="77777777">
      <w:pPr>
        <w:pStyle w:val="Heading1"/>
      </w:pPr>
      <w:r>
        <w:t>Document ID MTPW000020150330eb3u0066b</w:t>
      </w:r>
    </w:p>
    <w:p xmlns:wp14="http://schemas.microsoft.com/office/word/2010/wordml" w14:paraId="56EF0D26" wp14:textId="77777777">
      <w:r>
        <w:t>“We are excited to be able to offer this new option for our patients, as the CoreValve system has demonstrated exceptional clinical results in studies globally as well as in Japan,” said Yoshiki Sawa, M.D., professor in the Department of Cardiovascular Surgery at Osaka University Graduate School of Medicine in Osaka, Japan. “Physicians in Japan should have confidence in making TAVI treatment decisions for patients who may benefit from a less invasive valve replacement procedure with this proven self-expandable valve.”</w:t>
      </w:r>
      <w:r>
        <w:br/>
      </w:r>
      <w:r>
        <w:br/>
      </w:r>
      <w:r>
        <w:t>Data from the Extreme and High Risk Studies in the CoreValve U.S. Pivotal Trial demonstrated that the CoreValve System is safe and effective with high rates of survival and some of the lowest rates of stroke and valve leakage reported. The CoreValve System, with a supra-annular valve design, has also achieved hemodynamics, or blood flow, post-implant with results similar to the gold standard, surgical valves.</w:t>
      </w:r>
      <w:r>
        <w:br/>
      </w:r>
      <w:r>
        <w:br/>
      </w:r>
      <w:r>
        <w:t>The Medtronic CoreValve Japan Trial confirmed the performance of CoreValve shown in the U.S. Pivotal Trial. At 6 months, 91.7 percent of the transfemoral (TAVI procedure through the femoral artery) patients in the Japan trial met the primary endpoint of improvement of at least one New York Heart Association class (measures severity of heart failure symptoms) and aortic valve area (measures the severity of aortic stenosis) greater than 1.2 cm2. For all patients in the trial, freedom from all-cause mortality at 6 months was 90.8 percent. The trial also demonstrated functional and anatomical effectiveness of CoreValve.</w:t>
      </w:r>
      <w:r>
        <w:br/>
      </w:r>
      <w:r>
        <w:br/>
      </w:r>
      <w:r>
        <w:t>The CoreValve self-expanding nitinol frame enables physicians to deliver the device to the diseased valve in a controlled manner, allowing for accurate placement. Valves are delivered via the smallest (18Fr, or approximately 1/4 inch) TAVR delivery system available, making it possible to treat patients with difficult or small vasculature.</w:t>
      </w:r>
      <w:r>
        <w:br/>
      </w:r>
      <w:r>
        <w:br/>
      </w:r>
      <w:r>
        <w:t>“Medtronic has been committed to bringing this life-saving therapy to patients in Japan. The feedback from heart teams around the world using CoreValve has been overwhelmingly positive and we are confident that Japanese physicians will embrace the therapy,” said Rhonda Robb, vice president and general manager of the Heart Valve Therapies business, which is part of the Cardiac and Vascular Group at Medtronic. “We look forward to working with Japan’s Ministry of Health, Labor and Welfare to gain reimbursement for CoreValve, and to initiating comprehensive training and education programs to support heart teams so that more patients may benefit from this break-through technology.”</w:t>
      </w:r>
      <w:r>
        <w:br/>
      </w:r>
      <w:r>
        <w:br/>
      </w:r>
      <w:r>
        <w:t>Since receiving CE (Conformite Europeenne) Mark in 2007, the CoreValve System has been implanted in more than 75,000 patients in more than 60 countries. The CoreValve System was approved by the FDA for patients at extreme risk in January 2014, and approved for high risk patients in June 2014. The next-generation recapturable CoreValve Evolut R transcatheter valve and the CoreValve EnVeo R Delivery Catheter System are available in Europe and other countries that recognize the CE mark.</w:t>
      </w:r>
      <w:r>
        <w:br/>
      </w:r>
      <w:r>
        <w:br/>
      </w:r>
      <w:r>
        <w:t>In collaboration with leading clinicians, researchers and scientists worldwide, Medtronic offers the broadest range of innovative medical technology for the interventional and surgical treatment of cardiovascular disease and cardiac arrhythmias. The company strives to offer products and services that deliver clinical and economic value to healthcare consumers and providers around the world.</w:t>
      </w:r>
      <w:r>
        <w:br/>
      </w:r>
      <w:r>
        <w:br/>
      </w:r>
      <w:r>
        <w:t>About Medtronic</w:t>
      </w:r>
      <w:r>
        <w:br/>
      </w:r>
      <w:r>
        <w:br/>
      </w:r>
      <w:r>
        <w:t>Medtronic plc (www.medtronic.com), headquartered in Dublin, Ireland, is the global leader in medical technology - alleviating pain, restoring health and extending life for millions of people around the world.</w:t>
      </w:r>
      <w:r>
        <w:br/>
      </w:r>
      <w:r>
        <w:br/>
      </w:r>
      <w:r>
        <w:t>Any forward-looking statements are subject to risks and uncertainties such as those described in Medtronic’s periodic reports on file with the Securities and Exchange Commission. Actual results may differ materially from anticipated results.</w:t>
      </w:r>
      <w:r>
        <w:br/>
      </w:r>
      <w:r>
        <w:br/>
      </w:r>
      <w:r>
        <w:t>Contacts:</w:t>
      </w:r>
      <w:r>
        <w:br/>
      </w:r>
      <w:r>
        <w:br/>
      </w:r>
      <w:r>
        <w:t>Joey Lomicky</w:t>
      </w:r>
      <w:r>
        <w:br/>
      </w:r>
      <w:r>
        <w:br/>
      </w:r>
      <w:r>
        <w:t>Public Relations</w:t>
      </w:r>
      <w:r>
        <w:br/>
      </w:r>
      <w:r>
        <w:br/>
      </w:r>
      <w:r>
        <w:t>+1-763-526-2494</w:t>
      </w:r>
      <w:r>
        <w:br/>
      </w:r>
      <w:r>
        <w:br/>
      </w:r>
      <w:r>
        <w:t>Jeff Warren</w:t>
      </w:r>
      <w:r>
        <w:br/>
      </w:r>
      <w:r>
        <w:br/>
      </w:r>
      <w:r>
        <w:t>Investor Relations</w:t>
      </w:r>
      <w:r>
        <w:br/>
      </w:r>
      <w:r>
        <w:br/>
      </w:r>
      <w:r>
        <w:t>+1-763-505-2696</w:t>
      </w:r>
      <w:r>
        <w:br/>
      </w:r>
      <w:r>
        <w:br/>
      </w:r>
      <w:r>
        <w:t>((M2 Communications disclaims all liability for information provided within M2 PressWIRE. Data supplied by named party/parties. Further information on M2 PressWIRE can be obtained at http://www.m2.com on the world wide web. Inquiries to info@m2.com)).</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628DAD55" wp14:textId="77777777">
      <w:pPr>
        <w:pStyle w:val="Heading1"/>
      </w:pPr>
      <w:r>
        <w:t>Document ID LBA0000020150814eb8e00dej</w:t>
      </w:r>
    </w:p>
    <w:p xmlns:wp14="http://schemas.microsoft.com/office/word/2010/wordml" w14:paraId="103EBF49" wp14:textId="77777777">
      <w:r>
        <w:t>Mylan shareholders will vote at an Aug. 28 meeting on whether to pursue a tender offer for Perrigo shares. Mylan said on Thursday that it would go forward with the deal if it received more than 50 percent of shares through the tender offer.</w:t>
      </w:r>
      <w:r>
        <w:br/>
      </w:r>
      <w:r>
        <w:br/>
      </w:r>
      <w:r>
        <w:t>That would give the company control of Perrigo's board, and after that it would need to increase its stake to more than 80 percent in order to consolidate the company.</w:t>
      </w:r>
      <w:r>
        <w:br/>
      </w:r>
      <w:r>
        <w:br/>
      </w:r>
      <w:r>
        <w:t>Given that the acquisition would dilute shares, that the deal is not expected to add to earnings until 2019 and that Mylan does not have the leverage it needs to increase its stake above 80 percent, ISS said the proposal is not warranted.</w:t>
      </w:r>
      <w:r>
        <w:br/>
      </w:r>
      <w:r>
        <w:br/>
      </w:r>
      <w:r>
        <w:t xml:space="preserve">(Reporting by Caroline Humer) </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193EF669" wp14:textId="77777777">
      <w:pPr>
        <w:pStyle w:val="Heading1"/>
      </w:pPr>
      <w:r>
        <w:t>Document ID ATPHAM0020150831eb8u000bn</w:t>
      </w:r>
    </w:p>
    <w:p xmlns:wp14="http://schemas.microsoft.com/office/word/2010/wordml" w14:paraId="637FDB49" wp14:textId="77777777">
      <w:r>
        <w:t>TWi believes, that the sales strategies for its commercialized generic products will benefit from Dr. Chen's experience, including successfully establishing generic pharmaceutical businesses in the U.S. market and his deep relationships in the industry. Dr. Chen will also lead the Company in its continued execution and strengthening of its research and development, business strategies and further promotion of its business expansion in the United States and international generics markets. TWi believes that, under Dr. Chen's leadership, it will maintain its growth momentum.</w:t>
      </w:r>
      <w:r>
        <w:br/>
      </w:r>
      <w:r>
        <w:br/>
      </w:r>
      <w:r>
        <w:t>Source: TWi Pharmaceuticals</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522862BE" wp14:textId="77777777">
      <w:pPr>
        <w:pStyle w:val="Heading1"/>
      </w:pPr>
      <w:r>
        <w:t>Document ID PHBW000020150619eb6m000ho</w:t>
      </w:r>
    </w:p>
    <w:p xmlns:wp14="http://schemas.microsoft.com/office/word/2010/wordml" w14:paraId="44E6C5FC" wp14:textId="77777777">
      <w:r>
        <w:t>The serial number for this application is 78124802.</w:t>
      </w:r>
      <w:r>
        <w:br/>
      </w:r>
      <w:r>
        <w:br/>
      </w:r>
      <w:r>
        <w:t>As submitted by the applicant, this trademark application relates to the following goods and services: Providing healthcare, namely measurement of patient vital signs, review of patient vital signs, and review of patients' vital signs remotely via a computer network; providing an online computerized database wherein health professionals can obtain information on patients' vital signs.</w:t>
      </w:r>
      <w:r>
        <w:br/>
      </w:r>
      <w:r>
        <w:br/>
      </w:r>
      <w:r>
        <w:t>The owner/registrar information for this application is: Jeffrey M. Gitchel, Bayer, 100 Bayer Road, Pittsburgh PA 15205.</w:t>
      </w:r>
      <w:r>
        <w:br/>
      </w:r>
      <w:r>
        <w:br/>
      </w:r>
      <w:r>
        <w:t>Keywords for this news article include: Bayer, Trademarks.</w:t>
      </w:r>
      <w:r>
        <w:br/>
      </w:r>
      <w:r>
        <w:br/>
      </w:r>
      <w:r>
        <w:t>Our reports deliver fact-based news of research and discoveries from around the world. Copyright 2015, NewsRx LLC</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5D559AA5" wp14:textId="77777777">
      <w:pPr>
        <w:pStyle w:val="Heading1"/>
      </w:pPr>
      <w:r>
        <w:t>Document ID OBWK000020150619eb6r001es</w:t>
      </w:r>
    </w:p>
    <w:p xmlns:wp14="http://schemas.microsoft.com/office/word/2010/wordml" w14:paraId="78573A47" wp14:textId="77777777">
      <w:r>
        <w:t>Our news journalists obtained a quote from the research from the Faculty of Medicine, "In this novel formulation the SM-oil was the active substance and the lipid part. The in vivo study examined the preventive effects of SMEDDS containing SM native seeds oil against carbon tetrachloride (CCI4) induced hepatotoxicity in mice. Determination of alanine aminotransferase (ALT), aspartate aminotransferase (AST) levels and also liver histology investigations have been done. The liver antioxidant status was determined with the concentrations of superoxide dismutase (SOD), catalase (CAT), glutathione peroxidase (GPX), glutathione reductase (GA), and glutathione (GSH) hepatic lipid peroxidation was examined and expressed in terms of malondialdehyde (MDA) content. The plasma levels of AST and ALT significantly diminished by pretreatment with 500 mg/kg and 1000 mg/kg SMEDDS. The pre-treatment with 500 mg/kg and 1000 mg/kg SMEDDS increased GSH level by about 6% respectively 24% compared to the CCI4 group. Due to preventive administration of 500 mg/kg and 1000 mg/kg of SMEDDS in the intoxicated animals, MDA levels were reduced by 22% respectively 58%. Also, an insignificant rise by almost 17% and 19% in the animals treated with the both doses of SMEDDS could be noticed."</w:t>
      </w:r>
      <w:r>
        <w:br/>
      </w:r>
      <w:r>
        <w:br/>
      </w:r>
      <w:r>
        <w:t>According to the news editors, the research concluded: "It can be concluded that hepatotoxicity may be avoided by, the oral application of our formulation."</w:t>
      </w:r>
      <w:r>
        <w:br/>
      </w:r>
      <w:r>
        <w:br/>
      </w:r>
      <w:r>
        <w:t>For more information on this research see: Hepatoprotective effects of a self-micro emulsifying drug delivery system containing Silybum marianum native seed oil against experimentally induced liver injury. Pharmazie, 2015;70(4):231-238. Pharmazie can be contacted at: Govi-Verlag Pharmazeutischer Verlag Gmbh, Pharmazeutisccarl Mannich Str 26, D-65760 Eschborn, Germany. (Wiley-Blackwell - www.wiley.com/; Pharmazie - onlinelibrary.wiley.com/journal/10.1002/(ISSN)1615-1003)</w:t>
      </w:r>
      <w:r>
        <w:br/>
      </w:r>
      <w:r>
        <w:br/>
      </w:r>
      <w:r>
        <w:t>The news correspondents report that additional information may be obtained from P. Feher, Vasile Goldis Western Univ Arad, Fac Med Pharm &amp; Dental, Dept. of Histol, Arad, Romania. Additional authors for this research include Z. Ujhelyi, M. Vecsernyes, F. Fenyvesi, G. Damache, A. Ardelean, M. Costache, A. Dinischiotu, A. Hermenean and I. Bacskay.</w:t>
      </w:r>
      <w:r>
        <w:br/>
      </w:r>
      <w:r>
        <w:br/>
      </w:r>
      <w:r>
        <w:t>Keywords for this news article include: Arad, Europe, Romania, Glutathione, Oligopeptides, Aminotransferase, Drugs and Therapies, Drug Delivery Systems, Enzymes and Coenzymes</w:t>
      </w:r>
      <w:r>
        <w:br/>
      </w:r>
      <w:r>
        <w:br/>
      </w:r>
      <w:r>
        <w:t>Our reports deliver fact-based news of research and discoveries from around the world. Copyright 2015, NewsRx LLC</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6064E9D7" wp14:textId="77777777">
      <w:pPr>
        <w:pStyle w:val="Heading1"/>
      </w:pPr>
      <w:r>
        <w:t>Document ID CHPR000020150819eb8b0001n</w:t>
      </w:r>
    </w:p>
    <w:p xmlns:wp14="http://schemas.microsoft.com/office/word/2010/wordml" w14:paraId="0E03D553" wp14:textId="77777777">
      <w:r>
        <w:t xml:space="preserve"> The DSST performance measurement involves executive function, processing speed and attention. Original Source: Takeda, website: http://www.takeda.com/, Copyright Takeda Pharmaceutical Company Limited 2015.</w:t>
      </w:r>
      <w:r>
        <w:br/>
      </w:r>
      <w:r>
        <w:br/>
      </w:r>
      <w:r>
        <w:t>CHPR</w:t>
      </w:r>
      <w:r>
        <w:br/>
      </w:r>
      <w:r>
        <w:br/>
      </w:r>
      <w:r>
        <w:t>Takeda, website: http://www.takeda.com/</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30FD94B7" wp14:textId="77777777">
      <w:pPr>
        <w:pStyle w:val="Heading1"/>
      </w:pPr>
      <w:r>
        <w:t>Document ID MLFRDDN020151029ebas00007</w:t>
      </w:r>
    </w:p>
    <w:p xmlns:wp14="http://schemas.microsoft.com/office/word/2010/wordml" w14:paraId="0B5B6D8E" wp14:textId="77777777">
      <w:r>
        <w:t>To start, flibanserin acts quite differently than its male counterpart. Viagra boosts blood flow in the body while flibanserin, which is being marketed under the name Addyi, is a neurotransmitter drug that affects the central nervous system much like common anti-depression medications. Scientists aren't completely sure why it can increase sexual desire.</w:t>
      </w:r>
      <w:r>
        <w:br/>
      </w:r>
      <w:r>
        <w:br/>
      </w:r>
      <w:r>
        <w:t>Another key difference: its dosage and associated hurdles. To be prescribed flibanserin, a woman must first find a doctor who has received specific training on the drug. She then must locate a pharmacist who has been specially trained to dispense it. Unlike Viagra, flibanserin has to be taken every day, and it can take at least four weeks before a woman notices any change in her level of desire — and another four weeks for the drug to deliver its full effect.</w:t>
      </w:r>
      <w:r>
        <w:br/>
      </w:r>
      <w:r>
        <w:br/>
      </w:r>
      <w:r>
        <w:t>The uncertainties related to taking such a drug might be of real value to women who are diagnosed as having a distressing lack of sexual desire. But several women's health advocates have also been trying to get the word out that the oft-cited statistic that 40 percent of women in America suffer from sexual dysfunction is not accurate. This statistic came from a study with dubious methodology that was financed by Pfizer, the maker of Viagra. Health advocates say that other factors are more often at issue.</w:t>
      </w:r>
      <w:r>
        <w:br/>
      </w:r>
      <w:r>
        <w:br/>
      </w:r>
      <w:r>
        <w:t>Women's lack of lust may be most often attributed to any number of factors, including stress, fatigue, recent childbirth, drug or alcohol use, relationship satisfaction, boredom in the bedroom and emotional or psychological disorders.</w:t>
      </w:r>
      <w:r>
        <w:br/>
      </w:r>
      <w:r>
        <w:br/>
      </w:r>
      <w:r>
        <w:t>“Every woman really needs a thorough assessment," Lori Brotto, an expert on hypoactive sexual-desire disorder, told NPR's “On the Media" back in August when Sprout Pharmaceuticals, the maker of Addyi, got FDA approval. “By and large, most of the studies [about female sexual dysfunction] have pointed to psychosocial, interpersonal, individual factors. ... Women with low desire have three times the rate of depression compared to women with healthy levels of sexual desire."</w:t>
      </w:r>
      <w:r>
        <w:br/>
      </w:r>
      <w:r>
        <w:br/>
      </w:r>
      <w:r>
        <w:t>But the big issue that doesn't get enough attention is Addyi's serious effects when combined with alcohol — in particular, severe low blood pressure that could lead to loss of consciousness.</w:t>
      </w:r>
      <w:r>
        <w:br/>
      </w:r>
      <w:r>
        <w:br/>
      </w:r>
      <w:r>
        <w:t>Jen Gunter, a California-based obstetrician-gynecologist, took the “training" to be able to prescribe Addyi. She recounted on her blog that it consisted of reading 12 PowerPoint slides that boiled down to: “Don't mix Addyi with alcohol. Your patient must promise to not drink alcohol ever on Addyi. You know this medication is dangerous if mixed with alcohol? It is your responsibility to make sure your patient doesn't mix this medication with alcohol."</w:t>
      </w:r>
      <w:r>
        <w:br/>
      </w:r>
      <w:r>
        <w:br/>
      </w:r>
      <w:r>
        <w:t>It's been widely reported that the testing for the safety of flibanserin with alcohol was conducted on 23 men and two women — this for a drug designed only for women. The study took place in the early morning, and researchers found that some of the women couldn't handle drinking the equivalent of a half to a full bottle of alcohol on an empty stomach within 10 minutes of waking.</w:t>
      </w:r>
      <w:r>
        <w:br/>
      </w:r>
      <w:r>
        <w:br/>
      </w:r>
      <w:r>
        <w:t>Yet alcohol beverage sales are a $174 billion business in the United States. And the pushing of wine, high-octane fruity mixed drinks and low-cal beer on women is a big growth market for beverage distributors as well as for restaurants and bars.</w:t>
      </w:r>
      <w:r>
        <w:br/>
      </w:r>
      <w:r>
        <w:br/>
      </w:r>
      <w:r>
        <w:t>Some 5.8 million women in the U.S. are estimated to have an alcohol-use disorder, and alcohol-related deaths are the third-leading preventable cause of death in the U.S., taking the lives of approximately 26,000 women annually.</w:t>
      </w:r>
      <w:r>
        <w:br/>
      </w:r>
      <w:r>
        <w:br/>
      </w:r>
      <w:r>
        <w:t>Junk science says that drinking one glass of red wine has the equivalent benefit to your well-being as an hour at the gym, and social media glorify this factoid along with seemingly endless memes about women's obsession with wine at the end of the day, with friends or during a romantic date.</w:t>
      </w:r>
      <w:r>
        <w:br/>
      </w:r>
      <w:r>
        <w:br/>
      </w:r>
      <w:r>
        <w:t>But be forewarned: Our society's ease with turning life's travails over to pretty little pills and a drink will not end happily.</w:t>
      </w:r>
      <w:r>
        <w:br/>
      </w:r>
      <w:r>
        <w:br/>
      </w:r>
      <w:r>
        <w:t>—Washington Post columnist Esther Cepeda's email address is estherjcepeda@washpost.com. Follow her on Twitter @estherjcepeda.</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53FCCC90" wp14:textId="77777777">
      <w:pPr>
        <w:pStyle w:val="Heading1"/>
      </w:pPr>
      <w:r>
        <w:t>Document ID BHLD000020150518eb5d00011</w:t>
      </w:r>
    </w:p>
    <w:p xmlns:wp14="http://schemas.microsoft.com/office/word/2010/wordml" w14:paraId="147BBC1A" wp14:textId="77777777">
      <w:r>
        <w:t>Yee said if the drug is approved, it will likely cost around $250,000, about $50,000 less than the company's other cystic fibrosis drug.</w:t>
      </w:r>
      <w:r>
        <w:br/>
      </w:r>
      <w:r>
        <w:br/>
      </w:r>
      <w:r>
        <w:t>Jeffrey Chodakewitz, chief medical officer and executive vice president of Vertex, said, “The positive recommendation brings the cystic fibrosis community one step closer to potential approval of the first medicine to treat the underlying cause of this disease for many more people."</w:t>
      </w:r>
      <w:r>
        <w:br/>
      </w:r>
      <w:r>
        <w:br/>
      </w:r>
      <w:r>
        <w:t>The FDA must still approve the drug, and is scheduled to make a decision by July 5. The agency is not bound by the advisory panel's vote, but often follows it. The drug Orkambi will treat the largest group of cystic fibrosis patients. Orkambi, if approved, would be the first drug to treat the underlying cause of cystic fibrosis in that population of roughly 8,500 people.</w:t>
      </w:r>
      <w:r>
        <w:br/>
      </w:r>
      <w:r>
        <w:br/>
      </w:r>
      <w:r>
        <w:t>Cystic fibrosis is caused by a genetic mutation that limits the flow of salt and water into and out of cells. Mucus can build in the lungs, leading to infections and eventually death.</w:t>
      </w:r>
      <w:r>
        <w:br/>
      </w:r>
      <w:r>
        <w:br/>
      </w:r>
      <w:r>
        <w:t>“The quote I've heard several patients say is ‘it gives me my life back,'" said Matt Roden, an analyst with UBS.</w:t>
      </w:r>
      <w:r>
        <w:br/>
      </w:r>
      <w:r>
        <w:br/>
      </w:r>
      <w:r>
        <w:t>Analysts expect Orkambi to reach $5 billion in sales annually. Trading on Vertex was halted during the daylong advisory panel meeting yesterday.</w:t>
      </w:r>
      <w:r>
        <w:br/>
      </w:r>
      <w:r>
        <w:br/>
      </w:r>
      <w:r>
        <w:t>— jordan.graham@bostonherald.com</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59EAF18B" wp14:textId="77777777">
      <w:pPr>
        <w:pStyle w:val="Heading1"/>
      </w:pPr>
      <w:r>
        <w:t>Document ID NBPPBS0020150410eb4b0020b</w:t>
      </w:r>
    </w:p>
    <w:p xmlns:wp14="http://schemas.microsoft.com/office/word/2010/wordml" w14:paraId="56E1F43D" wp14:textId="77777777">
      <w:r>
        <w:t>MANAGEMENT SCORECARD FOR ZOETIS INC.:</w:t>
      </w:r>
      <w:r>
        <w:br/>
      </w:r>
      <w:r>
        <w:br/>
      </w:r>
      <w:r>
        <w:t>Paul S. Herendeen's performance for Zoetis is placed 69/2,784 in BSS News Bites's ranking of NYSE performers in the past year, a percentile ranking of 96%.</w:t>
      </w:r>
      <w:r>
        <w:br/>
      </w:r>
      <w:r>
        <w:br/>
      </w:r>
      <w:r>
        <w:t>Key Financials:</w:t>
      </w:r>
      <w:r>
        <w:br/>
      </w:r>
      <w:r>
        <w:br/>
      </w:r>
      <w:r>
        <w:t>(all figures in pct)</w:t>
      </w:r>
      <w:r>
        <w:br/>
      </w:r>
      <w:r>
        <w:br/>
      </w:r>
      <w:r>
        <w:t xml:space="preserve"> Revenue Growth  EPS Growth  Operating Margin ROE</w:t>
      </w:r>
      <w:r>
        <w:br/>
      </w:r>
      <w:r>
        <w:t>2014            4.9         14.9              -     44.5</w:t>
      </w:r>
      <w:r>
        <w:br/>
      </w:r>
      <w:r>
        <w:t>2013            5.2         16.1              -     53.6</w:t>
      </w:r>
      <w:r>
        <w:br/>
      </w:r>
      <w:r>
        <w:t>2012            2.4         77.6              17.1  10.8</w:t>
      </w:r>
      <w:r>
        <w:br/>
      </w:r>
      <w:r>
        <w:t>2011            -           -                 -     65.9</w:t>
      </w:r>
      <w:r>
        <w:br/>
      </w:r>
      <w:r>
        <w:br/>
      </w:r>
      <w:r>
        <w:br/>
      </w:r>
      <w:r>
        <w:t>Moving Annual Return (Trailing 12 months):</w:t>
      </w:r>
      <w:r>
        <w:br/>
      </w:r>
      <w:r>
        <w:br/>
      </w:r>
      <w:r>
        <w:t>Close               Dividends  Capital Gain / (Loss) %  % Yield  Annual Return %</w:t>
      </w:r>
      <w:r>
        <w:br/>
      </w:r>
      <w:r>
        <w:t>Last Traded Apr 09  US$46.55  29.70c                   61       1   62</w:t>
      </w:r>
      <w:r>
        <w:br/>
      </w:r>
      <w:r>
        <w:t>1 Year ago          US$28.92  26.70c                   (10.7)   0.8 -9.9</w:t>
      </w:r>
      <w:r>
        <w:br/>
      </w:r>
      <w:r>
        <w:br/>
      </w:r>
      <w:r>
        <w:br/>
      </w:r>
      <w:r>
        <w:t>Biography</w:t>
      </w:r>
      <w:r>
        <w:br/>
      </w:r>
      <w:r>
        <w:br/>
      </w:r>
      <w:r>
        <w:t>Paul S. Herendeen, CFO</w:t>
      </w:r>
      <w:r>
        <w:br/>
      </w:r>
      <w:r>
        <w:br/>
      </w:r>
      <w:r>
        <w:t>Mr. Herendeen has served as our Executive Vice President and Chief Financial Officer since August 2014. He served as Executive Vice President and Chief Financial Officer of Warner Chilcott PLC, a specialty pharmaceutical company, from 2005 to 2013 and from 1998 to 2000, and was a director of Warner Chilcott in 2013 and from 1996 to 2000. From 2001 to 2004, Mr. Herendeen was Executive Vice President and Chief Financial Officer of MedPointe, Inc., a specialty pharmaceutical company acquired by Meda AB.</w:t>
      </w:r>
      <w:r>
        <w:br/>
      </w:r>
      <w:r>
        <w:br/>
      </w:r>
      <w:r>
        <w:t>Original Newsbody (Release Date: Apr 10, 2015)</w:t>
      </w:r>
      <w:r>
        <w:br/>
      </w:r>
      <w:r>
        <w:br/>
      </w:r>
      <w:r>
        <w:t>http://www.sec.gov/Archives/edgar/data/1374175/000155528015000138/xslF345X03/wf-form4_142867246867088.xml</w:t>
      </w:r>
      <w:r>
        <w:br/>
      </w:r>
      <w:r>
        <w:br/>
      </w:r>
      <w:r>
        <w:t>Source: BuySellSignals.com</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7766C4F2" wp14:textId="77777777">
      <w:pPr>
        <w:pStyle w:val="Heading1"/>
      </w:pPr>
      <w:r>
        <w:t>Document ID BBPUB00020151112ebbc000ea</w:t>
      </w:r>
    </w:p>
    <w:p xmlns:wp14="http://schemas.microsoft.com/office/word/2010/wordml" w14:paraId="54F08425" wp14:textId="77777777">
      <w:r>
        <w:t>Mr Edgar Asebey</w:t>
      </w:r>
      <w:r>
        <w:br/>
      </w:r>
      <w:r>
        <w:br/>
      </w:r>
      <w:r>
        <w:t>Jones Day</w:t>
      </w:r>
      <w:r>
        <w:br/>
      </w:r>
      <w:r>
        <w:br/>
      </w:r>
      <w:r>
        <w:t>North Point</w:t>
      </w:r>
      <w:r>
        <w:br/>
      </w:r>
      <w:r>
        <w:br/>
      </w:r>
      <w:r>
        <w:t>901 Lakeside Avenue</w:t>
      </w:r>
      <w:r>
        <w:br/>
      </w:r>
      <w:r>
        <w:br/>
      </w:r>
      <w:r>
        <w:t>Cleveland</w:t>
      </w:r>
      <w:r>
        <w:br/>
      </w:r>
      <w:r>
        <w:br/>
      </w:r>
      <w:r>
        <w:t>44114</w:t>
      </w:r>
      <w:r>
        <w:br/>
      </w:r>
      <w:r>
        <w:br/>
      </w:r>
      <w:r>
        <w:t>UNITED STATES</w:t>
      </w:r>
      <w:r>
        <w:br/>
      </w:r>
      <w:r>
        <w:br/>
      </w:r>
      <w:r>
        <w:t>Tel: 2165863939</w:t>
      </w:r>
      <w:r>
        <w:br/>
      </w:r>
      <w:r>
        <w:br/>
      </w:r>
      <w:r>
        <w:t>Fax: 2165790212</w:t>
      </w:r>
      <w:r>
        <w:br/>
      </w:r>
      <w:r>
        <w:br/>
      </w:r>
      <w:r>
        <w:t>E-mail: mmtomaro@JonesDay.com</w:t>
      </w:r>
      <w:r>
        <w:br/>
      </w:r>
      <w:r>
        <w:br/>
      </w:r>
      <w:r>
        <w:t>URL: www.jonesday.com</w:t>
      </w:r>
      <w:r>
        <w:br/>
      </w:r>
      <w:r>
        <w:br/>
      </w:r>
      <w:r>
        <w:t>Click Here for related articles</w:t>
      </w:r>
      <w:r>
        <w:br/>
      </w:r>
      <w:r>
        <w:br/>
      </w:r>
      <w:r>
        <w:t>(c) Mondaq Ltd, 2015 - Tel. +44 (0)20 8544 8300 - http://www.mondaq.com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6DE56B43" wp14:textId="77777777">
      <w:pPr>
        <w:pStyle w:val="Heading1"/>
      </w:pPr>
      <w:r>
        <w:t>Document ID CTRW000020150501eb54000m3</w:t>
      </w:r>
    </w:p>
    <w:p xmlns:wp14="http://schemas.microsoft.com/office/word/2010/wordml" w14:paraId="6596CE2A" wp14:textId="77777777">
      <w:r>
        <w:t>Reporters obtained the following quote from the background information supplied by the inventors: "Maytansinoids are highly cytotoxic compounds, including maytansinol and C-3 esters of maytansinol (U.S. Pat. No. 4,151,042), as shown below:</w:t>
      </w:r>
      <w:r>
        <w:br/>
      </w:r>
      <w:r>
        <w:br/>
      </w:r>
      <w:r>
        <w:t>"##STR00001##</w:t>
      </w:r>
      <w:r>
        <w:br/>
      </w:r>
      <w:r>
        <w:br/>
      </w:r>
      <w:r>
        <w:t>"The naturally occurring and synthetic C-3 esters of maytansinol can be classified into two groups: (a) Maytansine (2) and its analogs (e.g., DM1 and DM4), which are C-3 esters with N-methyl-L-alanine or derivatives of N-methyl-L-alanine (U.S. Pat. Nos. 4,137,230; 4,260,608; 5,208,020; and Chem. Pharm. Bull. 12:3441 (1984)); (b) Ansamitocins, which are C-3 esters with simple carboxylic acids (U.S. Pat. Nos. 4,248,870; 4,265,814; 4,308,268; 4,308,269; 4,309,428; 4,317,821; 4,322,348; and 4,331,598).</w:t>
      </w:r>
      <w:r>
        <w:br/>
      </w:r>
      <w:r>
        <w:br/>
      </w:r>
      <w:r>
        <w:t>"Maytansine (2), its analogs and each of the ansamitocin species are C3 esters of maytansinol that can be prepared by esterification of maytansinol (1). U.S. Pat. Nos. 7,301,019 and 7,598,375 describe methods of acylating maytansinol (1), with an N-carboxyanhydride of an amino acid (NCA, 5), in the presence of a base to form an amino acid ester of maytansinol (May-AA, 6) as shown below:</w:t>
      </w:r>
      <w:r>
        <w:br/>
      </w:r>
      <w:r>
        <w:br/>
      </w:r>
      <w:r>
        <w:t>"##STR00002##</w:t>
      </w:r>
      <w:r>
        <w:br/>
      </w:r>
      <w:r>
        <w:br/>
      </w:r>
      <w:r>
        <w:t>"Amino acid esters of maytansinol are valuable intermediates that can be coupled to carboxylic acids to provide maytansinoids. For example, reaction of maytansinol with (4S)-3,4-dimethyl-2,5-oxazolidinedione (5a) forms N2'-deacetyl-maytansine (6a), which in turn can be coupled to 3-(methyldithio)propionic acid (7), using N-(3-dimethylaminopropyl)-N'-ethylcarbodiimide hydrochloride (EDAC) to form DM1-SMe (8) as shown below:</w:t>
      </w:r>
      <w:r>
        <w:br/>
      </w:r>
      <w:r>
        <w:br/>
      </w:r>
      <w:r>
        <w:t>"##STR00003##</w:t>
      </w:r>
      <w:r>
        <w:br/>
      </w:r>
      <w:r>
        <w:br/>
      </w:r>
      <w:r>
        <w:t>"A significant disadvantage of the acylation reaction that forms amino acid esters of maytansinol is that it also forms a by-product comprising an extra N-methyl-alanyl moiety in the C3 side chain, referred to as 'extra-NMA' (9). When N2'-deacetyl-maytansine is acylated, extra NMA (9) is also acylated to form extra NMA-DM1-SMe (9a). The structures of extra-NMA (9) and extra-NMA-DM1-SMe (9a) are shown below:</w:t>
      </w:r>
      <w:r>
        <w:br/>
      </w:r>
      <w:r>
        <w:br/>
      </w:r>
      <w:r>
        <w:t>"##STR00004##</w:t>
      </w:r>
      <w:r>
        <w:br/>
      </w:r>
      <w:r>
        <w:br/>
      </w:r>
      <w:r>
        <w:t>"DM1 (3) can be prepared from DM1-SMe (8) by reduction, which also converts any extra-NMA-DM1-SMe (9a) to extra-NMA-DM1 (10) as shown below:</w:t>
      </w:r>
      <w:r>
        <w:br/>
      </w:r>
      <w:r>
        <w:br/>
      </w:r>
      <w:r>
        <w:t>"##STR00005##</w:t>
      </w:r>
      <w:r>
        <w:br/>
      </w:r>
      <w:r>
        <w:br/>
      </w:r>
      <w:r>
        <w:t>"Extra-NMA-DM1 (10) is difficult to remove from DM1 (3) because both compounds have similar polarities and give overlapping peaks in the HPLC trace of purified DM1 (3). DM1 (3) and DM4 (4) are used to prepare antibody conjugates, several of which are currently in clinical trials.</w:t>
      </w:r>
      <w:r>
        <w:br/>
      </w:r>
      <w:r>
        <w:br/>
      </w:r>
      <w:r>
        <w:t>"Thus, there is a need to improve the yield and robustness of the processes to prepare such maytansinoids and to minimize by-products formed during reactions used in their preparation."</w:t>
      </w:r>
      <w:r>
        <w:br/>
      </w:r>
      <w:r>
        <w:br/>
      </w:r>
      <w:r>
        <w:t>In addition to obtaining background information on this patent, NewsRx editors also obtained the inventors' summary information for this patent: "It has now been found that addition of a drying agent to the reaction between maytansinol and an N-carboxyanhydride of an amino acid substantially increases the yield of an amino acid ester of maytansinol, as shown in Examples 1-4. It has also been found that addition of a pre-quenching step with a nucleophile following the reaction of maytansinol and an N-carboxyanhydride of an amino acid substantially reduces formation of undesirable by-products, such as extra-NMA, as shown in Examples 6-8. Based on these discoveries, improved methods of preparing an amino acid ester of maytansinol are disclosed herein.</w:t>
      </w:r>
      <w:r>
        <w:br/>
      </w:r>
      <w:r>
        <w:br/>
      </w:r>
      <w:r>
        <w:t>"A first embodiment of the invention is a method of preparing an amino acid ester of maytansinol represented by Formula (I):</w:t>
      </w:r>
      <w:r>
        <w:br/>
      </w:r>
      <w:r>
        <w:br/>
      </w:r>
      <w:r>
        <w:t>"##STR00006## wherein R.sub.1 is hydrogen, an optionally substituted C1-C10 alkyl group or an amino acid side chain, provided that, if the amino acid side chain has a functional group, the functional group is optionally protected; and R.sub.2 is hydrogen or an optionally substituted C1-C10 alkyl group.</w:t>
      </w:r>
      <w:r>
        <w:br/>
      </w:r>
      <w:r>
        <w:br/>
      </w:r>
      <w:r>
        <w:t>"The method comprises reacting maytansinol with an N-carboxyanhydride in a reaction mixture additionally comprising a base and a drying agent. The N-carboxyanhydride is represented by the following formula:</w:t>
      </w:r>
      <w:r>
        <w:br/>
      </w:r>
      <w:r>
        <w:br/>
      </w:r>
      <w:r>
        <w:t>"##STR00007## All the variables in Formula (II) are as defined in Formula (I).</w:t>
      </w:r>
      <w:r>
        <w:br/>
      </w:r>
      <w:r>
        <w:br/>
      </w:r>
      <w:r>
        <w:t>"A second embodiment of the invention is a method of preparing an amino acid ester of maytaninol represented by Formula (I), comprising: a) reacting maytansinol with an N-carboxyanhydride represented by Formula (II) in a reaction mixture additionally comprising a base; and b) reacting unreacted N-carboxyanhydride from step a) with a nucleophilic reagent. All the variables in Formulas (I) and (II) are as defined in the first embodiment of the invention."</w:t>
      </w:r>
      <w:r>
        <w:br/>
      </w:r>
      <w:r>
        <w:br/>
      </w:r>
      <w:r>
        <w:t>For more information, see this patent: Widdison, Wayne C.; Zhao, Robert Yongxin. Methods for the Acylation of Maytansinol. U.S. Patent Number 9012629, filed September 26, 2013, and published online on April 21, 2015. Patent URL: http://patft.uspto.gov/netacgi/nph-Parser?Sect1=PTO1&amp;Sect2=HITOFF&amp;d=PALL&amp;p=1&amp;u=%2Fnetahtml%2FPTO%2Fsrchnum.htm&amp;r=1&amp;f=G&amp;l=50&amp;s1=9012629.PN.&amp;OS=PN/9012629RS=PN/9012629</w:t>
      </w:r>
      <w:r>
        <w:br/>
      </w:r>
      <w:r>
        <w:br/>
      </w:r>
      <w:r>
        <w:t>Keywords for this news article include: Esters, Peptides, Proteins, Amino Acids, ImmunoGen Inc., Carboxylic Acids.</w:t>
      </w:r>
      <w:r>
        <w:br/>
      </w:r>
      <w:r>
        <w:br/>
      </w:r>
      <w:r>
        <w:t>Our reports deliver fact-based news of research and discoveries from around the world. Copyright 2015, NewsRx LLC</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052E578C" wp14:textId="77777777">
      <w:pPr>
        <w:pStyle w:val="Heading1"/>
      </w:pPr>
      <w:r>
        <w:t>Document ID AIWINE0020150619eb6k000s1</w:t>
      </w:r>
    </w:p>
    <w:p xmlns:wp14="http://schemas.microsoft.com/office/word/2010/wordml" w14:paraId="10F9424C" wp14:textId="77777777">
      <w:r>
        <w:t>Last year, the US Supreme Court had denied Teva's application for an injunction seeking to prevent the launch of a generic version of Copaxone.</w:t>
      </w:r>
      <w:r>
        <w:br/>
      </w:r>
      <w:r>
        <w:br/>
      </w:r>
      <w:r>
        <w:t>The pharma companies involved in the generic forms of Copaxone are Novartis' Sandoz, Momenta Pharmaceuticals, Mylan and Natco Pharma.</w:t>
      </w:r>
      <w:r>
        <w:br/>
      </w:r>
      <w:r>
        <w:br/>
      </w:r>
      <w:r>
        <w:t>As per available estimates, the annual sales of Copaxone is about $4.3 billion worldwide and account for more than half of Teva's profit. In 2003, Natco began research to develop a generic version of Copaxone in order to make a cost-effective version of the drug available to patients in India.</w:t>
      </w:r>
      <w:r>
        <w:br/>
      </w:r>
      <w:r>
        <w:br/>
      </w:r>
      <w:r>
        <w:t>Later, Natco developed a process for producing copolymer-1 and filed patent applications covering its process.</w:t>
      </w:r>
      <w:r>
        <w:br/>
      </w:r>
      <w:r>
        <w:br/>
      </w:r>
      <w:r>
        <w:t>A senior official of Natco said that the firm has submitted all the information to FDA with regard to the generic version of Copaxone, used in the treatment of relapsing-remitting multiple sclerosis.</w:t>
      </w:r>
      <w:r>
        <w:br/>
      </w:r>
      <w:r>
        <w:br/>
      </w:r>
      <w:r>
        <w:t>"We have done everything from our side. Once approval comes, we are ready to launch the product. We manufacture the drug and Mylan will market it," the official said.</w:t>
      </w:r>
      <w:r>
        <w:br/>
      </w:r>
      <w:r>
        <w:br/>
      </w:r>
      <w:r>
        <w:t>Mylan chief executive officer Heather Bresch, in a separate statement, said: "We have stated all along that the '808 patent on Copaxone is invalid... We continue to remain very confident and look forward to bringing our product to market upon approval from the US Food and Drug Administration."</w:t>
      </w:r>
      <w:r>
        <w:br/>
      </w:r>
      <w:r>
        <w:br/>
      </w:r>
      <w:r>
        <w:t>Bresch further said the ruling underscores concerns of Teva's ongoing financial prospects as the Copaxone franchise has historically been its largest and most significant revenue driver.</w:t>
      </w:r>
      <w:r>
        <w:br/>
      </w:r>
      <w:r>
        <w:br/>
      </w:r>
      <w:r>
        <w:t>With inputs from Financial Express &amp; PTI</w:t>
      </w:r>
      <w:r>
        <w:br/>
      </w:r>
      <w:r>
        <w:br/>
      </w:r>
      <w:r>
        <w:t>The pharma companies involved in the generic forms of Copaxone are Novartis’ Sandoz, Momenta Pharmaceuticals, Mylan and Natco Pharma.</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5AE06D2D" wp14:textId="77777777">
      <w:pPr>
        <w:pStyle w:val="Heading1"/>
      </w:pPr>
      <w:r>
        <w:t>Document ID CTRW000020150109eb1c0000i</w:t>
      </w:r>
    </w:p>
    <w:p xmlns:wp14="http://schemas.microsoft.com/office/word/2010/wordml" w14:paraId="7285A5F1" wp14:textId="77777777">
      <w:r>
        <w:t>Our news editors obtained a quote from the research, "The study was performed by four surgeons operating in two community hospitals. Thirty patients with bilateral chronic rhinosinusitis underwent bilateral total ethmoidectomy. Intraoperatively, each patient received 5 mL of HA hydrogel in one ethmoid cavity and 5 mL of CMC contralaterally. The material applied within each ethmoid cavity was randomly assigned before surgery. An independent surgeon, blinded to the material used to treat each ethmoid cavity, evaluated postoperative endoscopic video at 1 and 2 weeks for edema, crusting, and mucopurulence and at 6 and 12 weeks for remucosalization and scarring/synechiae. Twenty-item Sino-Nasal Outcome Test SNOT-20 data were collected at each visit. A small sample underwent endoscopic mucosal biopsy. Twenty-nine of 30 patients completed the protocol. The difference in edema, crusting, and mucopurulence at 1 and 2 weeks was not statistically significant; however, at 6 and 12 weeks, the HA hydrogel showed statistically significant reduction in both overall endoscopic grade (p &lt; 0.05), as well as synechiae formation (p &lt; 0.05), with a trend toward superiority in remucosalization (p = 0.08). Histological analysis of six subjects at 12 weeks showed a nonsignificant trend toward a greater amount of regenerated cilia present with the HA hydrogel (p = 0.23). SNOT-20 scores declined 78.8% from preoperative scores."</w:t>
      </w:r>
      <w:r>
        <w:br/>
      </w:r>
      <w:r>
        <w:br/>
      </w:r>
      <w:r>
        <w:t>According to the news editors, the research concluded: "Self-cross-linked HA hydrogel provides superior wound healing to CMC after ethmoidectomy."</w:t>
      </w:r>
      <w:r>
        <w:br/>
      </w:r>
      <w:r>
        <w:br/>
      </w:r>
      <w:r>
        <w:t>For more information on this research see: Self-cross-linked hyaluronic acid hydrogel in ethmoidectomy: A randomized, controlled trial. American Journal of Rhinology &amp; Allergy, 2014;28(6):508-513. American Journal of Rhinology &amp; Allergy can be contacted at: Ocean Side Publications Inc, 95 Pitman St, Providence, RI 02906, USA.</w:t>
      </w:r>
      <w:r>
        <w:br/>
      </w:r>
      <w:r>
        <w:br/>
      </w:r>
      <w:r>
        <w:t>The news editors report that additional information may be obtained by contacting K.E. Matheny, California Sinus Center, San Francisco, CA, United States. Additional authors for this research include E.Y. Tseng, K.B. Carter, W.B. Cobb and K.J. Fong.</w:t>
      </w:r>
      <w:r>
        <w:br/>
      </w:r>
      <w:r>
        <w:br/>
      </w:r>
      <w:r>
        <w:t>Keywords for this news article include: Alcohols, Hydrogel, California, San Francisco, United States, Clinical Research, Organic Chemicals, Polyethylene Glycols, North and Central America, Clinical Trials and Studies</w:t>
      </w:r>
      <w:r>
        <w:br/>
      </w:r>
      <w:r>
        <w:br/>
      </w:r>
      <w:r>
        <w:t>Our reports deliver fact-based news of research and discoveries from around the world. Copyright 2015, NewsRx LLC</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03CC5863" wp14:textId="77777777">
      <w:pPr>
        <w:pStyle w:val="Heading1"/>
      </w:pPr>
      <w:r>
        <w:t>Document ID RTNSIN0020150731eb7v0003f</w:t>
      </w:r>
    </w:p>
    <w:p xmlns:wp14="http://schemas.microsoft.com/office/word/2010/wordml" w14:paraId="6340385A" wp14:textId="77777777">
      <w:r>
        <w:t>According to the filing, the product will be manufactured at the company’s Oral dosage facility at Bangalore and marketed by Strides in the US market.</w:t>
      </w:r>
      <w:r>
        <w:br/>
      </w:r>
      <w:r>
        <w:br/>
      </w:r>
      <w:r>
        <w:t>The product will be launched immediately, the filing added.</w:t>
      </w:r>
      <w:r>
        <w:br/>
      </w:r>
      <w:r>
        <w:br/>
      </w:r>
      <w:r>
        <w:t>According to IMS data, the US market for Benzonatate is approximately USD 41 million.</w:t>
      </w:r>
      <w:r>
        <w:br/>
      </w:r>
      <w:r>
        <w:br/>
      </w:r>
      <w:r>
        <w:t>Meanwhile, shares of the company were trading at Rs 1273.05 a piece, up 1.20 per cent from the previous close at 12:45 hours on BSE.</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4462D2F4" wp14:textId="77777777">
      <w:pPr>
        <w:pStyle w:val="Heading1"/>
      </w:pPr>
      <w:r>
        <w:t>Document ID APRS000020150819eb8j00030</w:t>
      </w:r>
    </w:p>
    <w:p xmlns:wp14="http://schemas.microsoft.com/office/word/2010/wordml" w14:paraId="2490E4A4" wp14:textId="77777777">
      <w:r>
        <w:t>— 2009: Boehringer submits the drug to the Food and Drug Administration for approval to treat female hypoactive sexual desire disorder, a condition described as emotional distress caused by a lack of sexual desire. The FDA had never approved a drug for that condition or any other female sexual disorders.</w:t>
      </w:r>
      <w:r>
        <w:br/>
      </w:r>
      <w:r>
        <w:br/>
      </w:r>
      <w:r>
        <w:t>— June 2010: A panel of FDA advisers votes unanimously against the drug, saying its benefits are outweighed by its risks, including side effects like dizziness, fatigue and fainting.</w:t>
      </w:r>
      <w:r>
        <w:br/>
      </w:r>
      <w:r>
        <w:br/>
      </w:r>
      <w:r>
        <w:t>— Late 2011: Boehringer abandons the drug and sells it to Sprout Pharmaceuticals, a small North Carolina company.</w:t>
      </w:r>
      <w:r>
        <w:br/>
      </w:r>
      <w:r>
        <w:br/>
      </w:r>
      <w:r>
        <w:t>— March 2013: Sprout resubmits the drug to FDA with additional data showing its benefits using a new measurement technique.</w:t>
      </w:r>
      <w:r>
        <w:br/>
      </w:r>
      <w:r>
        <w:br/>
      </w:r>
      <w:r>
        <w:t>— September 2013: The FDA rejects the drug a second time, saying its benefits are "numerically small" and still don't outweigh "substantial safety concerns."</w:t>
      </w:r>
      <w:r>
        <w:br/>
      </w:r>
      <w:r>
        <w:br/>
      </w:r>
      <w:r>
        <w:t>— December 2013: Sprout files a formal dispute against the FDA, arguing the agency should approve the drug without any additional data.</w:t>
      </w:r>
      <w:r>
        <w:br/>
      </w:r>
      <w:r>
        <w:br/>
      </w:r>
      <w:r>
        <w:t>— February 2014: The FDA responds by proposing Sprout conduct additional studies, including one examining flibanserin's effects on driving, because of its drowsiness side effect.</w:t>
      </w:r>
      <w:r>
        <w:br/>
      </w:r>
      <w:r>
        <w:br/>
      </w:r>
      <w:r>
        <w:t>— February 2015: Sprout resubmits the drug to the FDA with the requested studies. At the same time, the company helps fund a campaign called Even the Score, which lobbies the FDA to approve sexual medicines for women.</w:t>
      </w:r>
      <w:r>
        <w:br/>
      </w:r>
      <w:r>
        <w:br/>
      </w:r>
      <w:r>
        <w:t>— June 2015: A panel of FDA advisers votes 18-6 in favor of approving the drug, with safety restrictions.</w:t>
      </w:r>
      <w:r>
        <w:br/>
      </w:r>
      <w:r>
        <w:br/>
      </w:r>
      <w:r>
        <w:t>— August 2015: The FDA approves flibanserin, branded Addyi, as the first drug to treat any type of female sexual dysfunction. The drug includes a black box warning about side effects.</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3E7C5D60" wp14:textId="77777777">
      <w:pPr>
        <w:pStyle w:val="Heading1"/>
      </w:pPr>
      <w:r>
        <w:t>Document ID HAMW000020150109eb1g004bm</w:t>
      </w:r>
    </w:p>
    <w:p xmlns:wp14="http://schemas.microsoft.com/office/word/2010/wordml" w14:paraId="465B37FD" wp14:textId="77777777">
      <w:r>
        <w:t>The news correspondents obtained a quote from the research from the Institute of Science, "This agent is currently in phase II clinical research. Available data report that ETC-1002 significantly decreased LDL-C levels (up to 32%) in both patients with normal and elevated baseline levels of triglycerides. Such beneficial effect is superior to currently approved non-statin lipid lowering agents. The levels of apolipoprotein B (apoB) and non-high density lipoprotein cholesterol (non-HDL-C) were also reduced with beneficial effect on other cardiometabolic factors such as inflammatory markers, blood pressure and body weight. Although, the safety and tolerability of ETC-1002 needs to be confirmed in ongoing and future, larger studies, this agent has, so far, been generally safe and well tolerated. This novel, oral, once-daily, small molecule may lead to effective LDL-C lowering treatment in hypercholesterolaemic subjects who are statin intolerant or as add-on therapy in those who are unable to reach the LDL-C goals despite being on statin therapy."</w:t>
      </w:r>
      <w:r>
        <w:br/>
      </w:r>
      <w:r>
        <w:br/>
      </w:r>
      <w:r>
        <w:t>According to the news reporters, the research concluded: "This agent might not only exert lipid-lowering related benefits, but also favourable cardiometabolic effects."</w:t>
      </w:r>
      <w:r>
        <w:br/>
      </w:r>
      <w:r>
        <w:br/>
      </w:r>
      <w:r>
        <w:t>For more information on this research see: ETC-1002: A future option for lipid disorders? Atherosclerosis, 2014;237(2):705-710. Atherosclerosis can be contacted at: Elsevier Ireland Ltd, Elsevier House, Brookvale Plaza, East Park Shannon, Co, Clare, 00000, Ireland. (Elsevier - www.elsevier.com; Atherosclerosis - www.elsevier.com/wps/product/cws_home/522790)</w:t>
      </w:r>
      <w:r>
        <w:br/>
      </w:r>
      <w:r>
        <w:br/>
      </w:r>
      <w:r>
        <w:t>Our news journalists report that additional information may be obtained by contacting D. Nikolic, Euro Mediterranean Inst Sci &amp; Technol, Milan, Italy. Additional authors for this research include D.P. Mikhailidis, M.H. Davidson, M. Rizzo and M. Banach.</w:t>
      </w:r>
      <w:r>
        <w:br/>
      </w:r>
      <w:r>
        <w:br/>
      </w:r>
      <w:r>
        <w:t>Keywords for this news article include: Milan, Italy, Europe, Lipoproteins, Lipid Research</w:t>
      </w:r>
      <w:r>
        <w:br/>
      </w:r>
      <w:r>
        <w:br/>
      </w:r>
      <w:r>
        <w:t>Our reports deliver fact-based news of research and discoveries from around the world. Copyright 2015, NewsRx LLC</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6DF250F3" wp14:textId="77777777">
      <w:pPr>
        <w:pStyle w:val="Heading1"/>
      </w:pPr>
      <w:r>
        <w:t>Document ID JOENG00020151102ebb2001ss</w:t>
      </w:r>
    </w:p>
    <w:p xmlns:wp14="http://schemas.microsoft.com/office/word/2010/wordml" w14:paraId="7D8838F6" wp14:textId="77777777">
      <w:r>
        <w:t>News editors obtained the following quote from the background information supplied by the inventors: "The pharmaceutical industry employs a variety of dosage formulations for orally administering medicinal agents to patients. Typical formulations for oral administration include liquid solutions, emulsions, or suspensions, as well as solid forms such as capsules or tablets. Solid oral dosage formulations are usually intended for adults who can easily swallow large tablets whole, the often disagreeable taste of the active ingredient need not be taken into account in formulating the medicine, except for the provision of means to prevent the taste from being apparent during the short time that the medicine is in the mouth. Such means may include the provision of an appropriate coating on the tablet, the use of a capsule form (the gelatin outer shell of the capsule keeps the active ingredient inside until the capsule has been swallowed), or simply firmly compressing a tablet so that it will not begin to disintegrate during the short time that it is intended to be in the mouth.</w:t>
      </w:r>
      <w:r>
        <w:br/>
      </w:r>
      <w:r>
        <w:br/>
      </w:r>
      <w:r>
        <w:t>"Children, older persons, and many other persons have difficulty swallowing whole tablets and even capsules. Therefore, it is often desirable to provide the medicine either in liquid form or in a chewable solid form or an alternative solid form, e.g., small particles which can be sprinkled onto soft food and swallowed intact with the food, in addition to the tablet or capsule intended to be swallowed whole. A oral liquid dosage form has many advantages for pediatric patients and for elderly patients. Many medicines have bitter or an otherwise disagreeable taste and this can be a significant problem. A further requirement of any dosage form is that it must be bioavailable; that is, once the formulation reaches the stomach, the formulation should release the active ingredient rapidly and completely to ensure that substantially the entire amount of the active ingredient is absorbed.</w:t>
      </w:r>
      <w:r>
        <w:br/>
      </w:r>
      <w:r>
        <w:br/>
      </w:r>
      <w:r>
        <w:t>"For some medicines the limited solubility of the drug in water can be a problem in formulation liquid oral dosage forms and in this case a suspension is often used. However, a suspension can present it's own type of problem if the drug has some solubility in water the tiny particles held in an aqueous suspension can change in crystal form or size. This can present problems in maintaining proper bioavailability either because crystal size can affect absorption rate or because the re-crystallization process can alter the polymorphic form of the suspended crystals and the altered form may have a different bioavailability. Thus there is a need for a suspension formulation that reduces the rate of re-crystallization and/or change in polymorphic form of a slightly soluble crystalline compound such as carisbamate."</w:t>
      </w:r>
      <w:r>
        <w:br/>
      </w:r>
      <w:r>
        <w:br/>
      </w:r>
      <w:r>
        <w:t>As a supplement to the background information on this patent, VerticalNews correspondents also obtained the inventors' summary information for this patent: "The present invention is directed to a pharmaceutical formulation comprising a suspension of carisbamate particles in water with the addition of hypromellose from about 1.8 to about 2.0 mg/ml to stabilize the suspension to act as wetting agent and to control crystal growth and re-formation and to stabilize crystal structure.</w:t>
      </w:r>
      <w:r>
        <w:br/>
      </w:r>
      <w:r>
        <w:br/>
      </w:r>
      <w:r>
        <w:t>"In another aspect is a method of formulating such a suspension comprising: (a) preparing one solution by dissolving the sodium benzoate in approximately 30% of the total water volume at room temperature 22 C; (b) adding the citric acid, the sucralose and the raspberry flavor with mixing; (c) preparing a second solution dispersing the hypromellose (HPMC) and the carisbamate in approximately 70% of the total water volume at 22 C with mixing; (d) adding the first solution to the second while mixing to form the stabilized suspension and (e) adding the citric acid monohydrate to adjust the pH of the final formulation to between pH 3.5 and 4.5 preferably with a target pH of 4.0.</w:t>
      </w:r>
      <w:r>
        <w:br/>
      </w:r>
      <w:r>
        <w:br/>
      </w:r>
      <w:r>
        <w:t>"In another aspect of the invention are methods of treating a condition selected from; epilepsy, neuropathic pain, tremor, epileptogenesis, neuroprotection, schizophrenia, non-schizophrenic psychoses, behavioral disturbances associated with neurodegenerative disorders, e.g. in dementia, behavioral disturbances in mental retardation and autism, bipolar mania, depression, and anxiety, in need thereof, which comprises administering to the mammal a therapeutically effective amount of any of the pharmaceutical compositions of the present invention."</w:t>
      </w:r>
      <w:r>
        <w:br/>
      </w:r>
      <w:r>
        <w:br/>
      </w:r>
      <w:r>
        <w:t>For additional information on this patent, see: Embrechts, Roger; De Leersnijder, Cedric. Stabilized Pediatric Suspension of Carisbamate. U.S. Patent Number 9161913, filed August 9, 2012, and published online on October 20, 2015. Patent URL: http://patft.uspto.gov/netacgi/nph-Parser?Sect1=PTO1&amp;Sect2=HITOFF&amp;d=PALL&amp;p=1&amp;u=%2Fnetahtml%2FPTO%2Fsrchnum.htm&amp;r=1&amp;f=G&amp;l=50&amp;s1=9161913.PN.&amp;OS=PN/9161913RS=PN/9161913</w:t>
      </w:r>
      <w:r>
        <w:br/>
      </w:r>
      <w:r>
        <w:br/>
      </w:r>
      <w:r>
        <w:t>Keywords for this news article include: Pediatrics, SK BIOPHARMACEUTICALS CO. LTD.</w:t>
      </w:r>
      <w:r>
        <w:br/>
      </w:r>
      <w:r>
        <w:br/>
      </w:r>
      <w:r>
        <w:t>Our reports deliver fact-based news of research and discoveries from around the world. Copyright 2015, NewsRx LLC</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2D515150" wp14:textId="77777777">
      <w:pPr>
        <w:pStyle w:val="Heading1"/>
      </w:pPr>
      <w:r>
        <w:t>Document ID PHBW000020151102ebb200089</w:t>
      </w:r>
    </w:p>
    <w:p xmlns:wp14="http://schemas.microsoft.com/office/word/2010/wordml" w14:paraId="3B754432" wp14:textId="77777777">
      <w:r>
        <w:t>"We will work quickly to address the FDA's requests related to lifitegrast, as we are committed to delivering a new prescription treatment option for the 29 million adults in the U.S. living with the symptoms of this chronic and progressive disease," said Philip J. Vickers, Ph.D., Head of Research and Development, Shire.</w:t>
      </w:r>
      <w:r>
        <w:br/>
      </w:r>
      <w:r>
        <w:br/>
      </w:r>
      <w:r>
        <w:t>Symptoms of dry eye disease vary by patient, but typically may include eye dryness, overall eye discomfort, stinging, burning, a gritty feeling and episodes of blurred vision.</w:t>
      </w:r>
      <w:r>
        <w:br/>
      </w:r>
      <w:r>
        <w:br/>
      </w:r>
      <w:r>
        <w:t>OPUS-3, a randomized, double-masked, 12-week Phase 3 study enrolled 711 patients to evaluate the efficacy and safety of lifitegrast. The clinical trial's primary endpoint is patient-reported symptom improvement as measured by the Eye Dryness Score EDS scale.</w:t>
      </w:r>
      <w:r>
        <w:br/>
      </w:r>
      <w:r>
        <w:br/>
      </w:r>
      <w:r>
        <w:t>The new drug application for lifitegrast included data from four randomized, controlled clinical trials with more than 1,800 patients. These include one Phase 2 study, two Phase 3 efficacy and safety studies (OPUS-1 and OPUS-2), and one long-term Phase 3 safety study (SONATA).</w:t>
      </w:r>
      <w:r>
        <w:br/>
      </w:r>
      <w:r>
        <w:br/>
      </w:r>
      <w:r>
        <w:t>Shire's Commitment to Ophthalmics</w:t>
      </w:r>
      <w:r>
        <w:br/>
      </w:r>
      <w:r>
        <w:br/>
      </w:r>
      <w:r>
        <w:t>In May 2014, Shire established its Ophthalmics Business Unit, solidifying its commitment to growing in this therapeutic area. Shire's multi-faceted approach to discovery, development, and delivery in both rare diseases and specialty conditions includes our efforts to address unmet needs in eye care.</w:t>
      </w:r>
      <w:r>
        <w:br/>
      </w:r>
      <w:r>
        <w:br/>
      </w:r>
      <w:r>
        <w:t>Shire's growth in ophthalmics has been driven by a combination of strategic acquisitions and organic growth. Committed to growing its reputation as a leading biotech company, Shire is focused on continuing to expand its ophthalmics portfolio to include treatment options for rare diseases and those for anterior and posterior eye conditions. In just over two years, acquisitions include Foresight Biotherapeutics, SARcode Bioscience, Premacure AB, and BIKAM Pharmaceuticals, which have helped bolster Shire's early-, mid- and late-stage ophthalmics pipeline. The Company currently has an ophthalmics pipeline of investigational candidates in dry eye disease, retinopathy of prematurity, autosomal dominant retinitis pigmentosa, glaucoma, and infectious conjunctivitis.</w:t>
      </w:r>
      <w:r>
        <w:br/>
      </w:r>
      <w:r>
        <w:br/>
      </w:r>
      <w:r>
        <w:t>Keywords for this news article include: Shire plc, FDA Actions, Government Agencies Offices and Entities.</w:t>
      </w:r>
      <w:r>
        <w:br/>
      </w:r>
      <w:r>
        <w:br/>
      </w:r>
      <w:r>
        <w:t>Our reports deliver fact-based news of research and discoveries from around the world. Copyright 2015, NewsRx LLC</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7E71F9DC" wp14:textId="77777777">
      <w:pPr>
        <w:pStyle w:val="Heading1"/>
      </w:pPr>
      <w:r>
        <w:t>Document ID OBWK000020151030ebau0005h</w:t>
      </w:r>
    </w:p>
    <w:p xmlns:wp14="http://schemas.microsoft.com/office/word/2010/wordml" w14:paraId="0882DDD3" wp14:textId="77777777">
      <w:r>
        <w:t>Our news journalists obtained a quote from the research from the University of Pennsylvania, "Patients underwent placement of a Vector Flow or Ash Split Cath catheter at the discretion of the inserting interventional radiologist. Patient demographics, catheter patency, mean blood flow rate, and arterial and venous pressures were compared according to catheter type. Catheter failure was analyzed based on clinical and anatomic variables by using a multivariate Cox proportional-hazards model. A total of 33 Vector Flow and 46 Ash Split Cath catheters were placed. Patients in the Vector Flow group had significantly higher body mass index (P = .013) and Charlson Comorbidity Index (P = .049), as well as more non internal jugular vein placements. At 120 days, 89% of VectorFlow catheters remained functional, compared with 45% of Ash Split Cath catheters (P = .046). The VectorFlow catheter was associated with 16% lower arterial pressures during dialysis (P = .009); mean blood flow rate was equivalent. On multivariate analysis, the risk of catheter failure was 13.3 times higher in the Ash Split Cath group compared with the VectorFlow group (P = .004). Left-sided catheters were also predictive of catheter failure (relative risk = 5.5; P = .02)."</w:t>
      </w:r>
      <w:r>
        <w:br/>
      </w:r>
      <w:r>
        <w:br/>
      </w:r>
      <w:r>
        <w:t>According to the news editors, the research concluded: "The VectorFlow catheter was associated with a significant increase in intervention-free catheter patency compared with the Ash Split Cath catheter, with equivalent flow at lower arterial pressures during dialysis."</w:t>
      </w:r>
      <w:r>
        <w:br/>
      </w:r>
      <w:r>
        <w:br/>
      </w:r>
      <w:r>
        <w:t>For more information on this research see: Initial Clinical Experience: Symmetric-Tip Dialysis Catheter with Helical Flow Characteristics Improves Patient Outcomes. Journal of Vascular and Interventional Radiology, 2015;26(10):1501-1508. Journal of Vascular and Interventional Radiology can be contacted at: Elsevier Science Inc, 360 Park Ave South, New York, NY 10010-1710, USA.</w:t>
      </w:r>
      <w:r>
        <w:br/>
      </w:r>
      <w:r>
        <w:br/>
      </w:r>
      <w:r>
        <w:t>The news correspondents report that additional information may be obtained from T.W.I. Clark, University of Pennsylvania, Penn Presbyterian Med Center, Dept. of Med, Div Nephrol, Philadelphia, PA 19104, United States. Additional authors for this research include J.W. Redmond, M.P. Mantell, G.J. Nadolski, J.I. Mondschein, M.F. Dowd, M.S. Dagli, D. Sudheendra, R.D. Shlansky-Goldberg and R.D. Cohen.</w:t>
      </w:r>
      <w:r>
        <w:br/>
      </w:r>
      <w:r>
        <w:br/>
      </w:r>
      <w:r>
        <w:t>Keywords for this news article include: Angiology, Philadelphia, Pennsylvania, United States, North and Central America</w:t>
      </w:r>
      <w:r>
        <w:br/>
      </w:r>
      <w:r>
        <w:br/>
      </w:r>
      <w:r>
        <w:t>Our reports deliver fact-based news of research and discoveries from around the world. Copyright 2015, NewsRx LLC</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15A9C23B" wp14:textId="77777777">
      <w:pPr>
        <w:pStyle w:val="Heading1"/>
      </w:pPr>
      <w:r>
        <w:t>Document ID BWR0000020150227eb2r0000g</w:t>
      </w:r>
    </w:p>
    <w:p xmlns:wp14="http://schemas.microsoft.com/office/word/2010/wordml" w14:paraId="2D05CB35" wp14:textId="77777777">
      <w:r>
        <w:t>Avedro, Inc., a Boston-based ophthalmic pharmaceutical and medical device company, announced today that on February 24, 2015 the U.S. Food and Drug Administration (FDA) Dermatologic and Ophthalmic Drugs Advisory Committee and Ophthalmic Devices Panel of the Medical Devices Advisory Committee voted in support of approval for Avedro's new drug application (NDA) for riboflavin ophthalmic solutions with UVA irradiation for use in corneal collagen cross linking for the treatment of the conditions underlying progressive keratoconus or corneal ectasia following refractive surgery. The panel voted 10 to 4 in support of approval for progressive keratoconus with 1 abstention and 6 to 4 in support of approval for corneal ectasia following refractive surgery with 4 abstentions and 1 member not voting. The FDA is not required to follow the recommendation of the panel, though it usually considers the recommendation when making its decision on approval of the product.</w:t>
      </w:r>
      <w:r>
        <w:br/>
      </w:r>
      <w:r>
        <w:br/>
      </w:r>
      <w:r>
        <w:t>"We are pleased with the panel recommendation, which represents an important milestone toward making this innovative therapeutic treatment available to patients with either keratoconus or corneal ectasia following refractive surgery," said David Muller, PhD, President and Chief Executive Officer for Avedro. "We appreciate the opportunity to present our comprehensive findings and look forward to continuing discussions with the FDA as their review of the NDA continues."</w:t>
      </w:r>
      <w:r>
        <w:br/>
      </w:r>
      <w:r>
        <w:br/>
      </w:r>
      <w:r>
        <w:t>The Avedro NDA submission encompasses data from three prospective, randomized, parallel-group, open-label, placebo-controlled, 12-month trials conducted in the United States to determine the safety and effectiveness of certain riboflavin ophthalmic solutions used in conjunction with UVA irradiation for performing corneal cross-linking in eyes with progressive keratoconus and corneal ectasia following refractive surgery. Avedro's KXL System, used in combination with riboflavin ophthalmic solutions, received orphan drug designation for both keratoconus and corneal ectasia following refractive surgery, which may provide the Company with up to seven years of market exclusivity for the KXL System and certain riboflavin ophthalmic solutions for those indications, if approved.</w:t>
      </w:r>
      <w:r>
        <w:br/>
      </w:r>
      <w:r>
        <w:br/>
      </w:r>
      <w:r>
        <w:t>The PDUFA goal date for the NDA is March 29, 2015.</w:t>
      </w:r>
      <w:r>
        <w:br/>
      </w:r>
      <w:r>
        <w:br/>
      </w:r>
      <w:r>
        <w:t>About Avedro, Inc.</w:t>
      </w:r>
      <w:r>
        <w:br/>
      </w:r>
      <w:r>
        <w:br/>
      </w:r>
      <w:r>
        <w:t>Avedro is a privately held pharmaceutical and medical device company advancing the science and technology of corneal cross linking and refractive correction.</w:t>
      </w:r>
      <w:r>
        <w:br/>
      </w:r>
      <w:r>
        <w:br/>
      </w:r>
      <w:r>
        <w:t>Avedro distributes its products in various countries outside of the United States through a network of ophthalmic medical device distributors. Avedro's CE Marked products include capital equipment such as the UV-X devices, the KXL(R) and KXL II(TM) Systems, and related proprietary pharmaceuticals such as the VibeX(R) and MedioCROSS(R) formulations. These systems and products are used in a variety of treatments including accelerated cross linking for keratoconus, Lasik Xtra(R) and PiXL(TM). Avedro's KXL System and pharmaceuticals are being used in an open-label study involving 83 KXL Systems placed in U.S. clinical sites. Avedro products are not approved for sale in the United States.</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362518AF" wp14:textId="77777777">
      <w:pPr>
        <w:pStyle w:val="Heading1"/>
      </w:pPr>
      <w:r>
        <w:t>Document ID ATPHAM0020150807eb850002u</w:t>
      </w:r>
    </w:p>
    <w:p xmlns:wp14="http://schemas.microsoft.com/office/word/2010/wordml" w14:paraId="29C6345C" wp14:textId="77777777">
      <w:r>
        <w:t>An archived replay of the webcast will be available on the Company's website for 30 days after the conference.</w:t>
      </w:r>
      <w:r>
        <w:br/>
      </w:r>
      <w:r>
        <w:br/>
      </w:r>
      <w:r>
        <w:t>Source: Tenax Therapeutics</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5898af6-6ddb-4cec-bcc3-5cfde8da48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AC2CF5-816A-46E1-A91F-42C5E4527991}"/>
</file>

<file path=customXml/itemProps3.xml><?xml version="1.0" encoding="utf-8"?>
<ds:datastoreItem xmlns:ds="http://schemas.openxmlformats.org/officeDocument/2006/customXml" ds:itemID="{2EFB0C3B-C481-46B2-99E0-87E8FEF501B8}"/>
</file>

<file path=customXml/itemProps4.xml><?xml version="1.0" encoding="utf-8"?>
<ds:datastoreItem xmlns:ds="http://schemas.openxmlformats.org/officeDocument/2006/customXml" ds:itemID="{7ECBE86F-DCE6-4C72-910B-760A27C0AD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