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Start of Article 1</w:t>
      </w:r>
    </w:p>
    <w:p>
      <w:pPr>
        <w:pStyle w:val="Heading1"/>
      </w:pPr>
      <w:r>
        <w:t>Document ID DJDN000020151012ebac0001t</w:t>
      </w:r>
    </w:p>
    <w:p>
      <w:r>
        <w:t>PR Newswire</w:t>
        <w:br/>
        <w:br/>
        <w:t>INDIANAPOLIS and SHANGHAI, Oct. 11, 2015</w:t>
        <w:br/>
        <w:br/>
        <w:t>INDIANAPOLIS and SHANGHAI, Oct. 11, 2015 /PRNewswire/ -- Eli Lilly and Company (NYSE:LLY) and Innovent Biologics, Inc. (Innovent) today announced an expansion of their drug development collaboration, already one of the largest in China between a multi-national and domestic biopharmaceutical company.</w:t>
        <w:br/>
        <w:br/>
        <w:t xml:space="preserve">Below are details of the expanded agreement: </w:t>
        <w:br/>
        <w:br/>
        <w:br/>
        <w:t xml:space="preserve">   -- The companies will collaborate to support the development and potential </w:t>
        <w:br/>
        <w:t xml:space="preserve">      commercialization of up to three anti-PD-1 based bispecific antibodies </w:t>
        <w:br/>
        <w:t xml:space="preserve">      for cancer treatments over the next decade, both inside and outside of </w:t>
        <w:br/>
        <w:t xml:space="preserve">      China. </w:t>
        <w:br/>
        <w:t xml:space="preserve"> </w:t>
        <w:br/>
        <w:t xml:space="preserve">   -- Under the previous agreement, Lilly will exercise its rights to develop, </w:t>
        <w:br/>
        <w:t xml:space="preserve">      manufacture and commercialize these potential cancer treatments outside </w:t>
        <w:br/>
        <w:t xml:space="preserve">      of China. </w:t>
        <w:br/>
        <w:t xml:space="preserve"> </w:t>
        <w:br/>
        <w:t xml:space="preserve">   -- Innovent will now have the rights to develop, manufacture and </w:t>
        <w:br/>
        <w:t xml:space="preserve">      commercialize these potential cancer treatments for China, subject to a </w:t>
        <w:br/>
        <w:t xml:space="preserve">      Lilly opt-in right for co-development and commercialization. </w:t>
        <w:br/>
        <w:br/>
        <w:t>Under the terms of the expanded agreement, Innovent could receive additional milestones totaling more than $1 billion if the products reach certain development, regulatory and sales milestones, both inside and outside of China. Sales royalties and other payments would occur on certain products if commercialized outside China. Further financial terms were not disclosed.</w:t>
        <w:br/>
        <w:br/>
        <w:t>Lilly will create the three preclinical anti-PD-1 based bispecific antibodies using an antibody sequence contributed by Innovent.</w:t>
        <w:br/>
        <w:br/>
        <w:t>"We believe that combination therapy in immuno-oncology has the potential to transform the way cancer is treated," said Greg Plowman, M.D., Ph.D., vice president of oncology research at Lilly. "We are pleased to be expanding our collaboration with Innovent to further the development of potential therapies for those fighting cancer in China and around the world."</w:t>
        <w:br/>
        <w:br/>
        <w:t>Michael Yu, Ph.D., co-founder, president and CEO of Innovent, stated, "We are honored that Lilly is so quickly expanding our relationship and that Lilly is trusting Innovent to develop and manufacture their newly created bispecific antibodies for China. We are excited to be at the forefront of immuno-oncology drug development and to benefit from Lilly's deep experience in bispecific antibodies."</w:t>
        <w:br/>
        <w:br/>
        <w:t>About Eli Lilly and Company</w:t>
        <w:br/>
        <w:br/>
        <w:t>Lilly is a global healthcare leader that unites caring with discovery to make life better for people around the world. We were founded more than a century ago by a man committed to creating high-quality medicines that meet real needs, and today we remain true to that mission in all our work. Across the globe, Lilly employees work to discover and bring life-changing medicines to those who need them, improve the understanding and management of disease, and give back to communities through philanthropy and volunteerism. To learn more about Lilly, please visit us at www.lilly.com and http://newsroom.lilly.com/social-channels.</w:t>
        <w:br/>
        <w:br/>
        <w:t>About Innovent Biologics, Inc.</w:t>
        <w:br/>
        <w:br/>
        <w:t>Innovent Biologics, Inc. is a leading biopharmaceutical company in China focused on the discovery, development and manufacturing of complex, high-end biologics for both the Asian and global markets that meet EMA and FDA/cGMP standards. Innovent has an expanding biologics pipeline focused on oncology, inflammatory diseases and ophthalmology. Innovent's strategy is to advance its internal pipeline of proprietary biologic drugs and establish in/out-licensing agreements with global pharmaceutical/biotech companies. Because of its location and emphasis on quality, Innovent is able to leverage China's cost-efficient environment without compromising its world-class quality standards. To learn more about Innovent, please visit www.innoventbio.com.</w:t>
        <w:br/>
        <w:br/>
        <w:t>This press release contains forward-looking statements about the development and commercialization collaboration between Innovent Biologics and Lilly and reflects Lilly's current beliefs. However, there are substantial risks and uncertainties in the process of drug research, development and commercialization. There is no guarantee that the collaboration will yield successful results or that either company will achieve the anticipated benefits. For further discussion of these and other risks and uncertainties, see Lilly's most recent 10-K and 10-Q filings with the United States Securities and Exchange Commission. Lilly undertakes no duty to update forward-looking statements.</w:t>
        <w:br/>
        <w:br/>
        <w:t>C-LLY</w:t>
        <w:br/>
        <w:br/>
        <w:t>Refer to:</w:t>
        <w:br/>
        <w:br/>
        <w:t>+1-317-277-6524; lauren_zierke@lilly.com; Lauren Zierke (Lilly U.S.)</w:t>
        <w:br/>
        <w:br/>
        <w:t>+1-212-375-2694; amielach@tiberend.com; Andrew Mielach (Tiberend Strategic Advisors, Inc./Innovent U.S)</w:t>
        <w:br/>
        <w:br/>
        <w:t>Logo- http://photos.prnewswire.com/prnh/20031219/LLYLOGO</w:t>
        <w:br/>
        <w:br/>
        <w:t>Logo- http://photos.prnewswire.com/prnh/20150319/183207LOGO</w:t>
        <w:br/>
        <w:br/>
        <w:t>To view the original version on PR Newswire, visit:http://www.prnewswire.com/news-releases/lilly-and-innovent-biologics-expand-their-strategic-alliance-to-include-immuno-oncology-bispecific-antibodies-in-china-and-globally-300157687.html</w:t>
        <w:br/>
        <w:br/>
        <w:t>SOURCE Eli Lilly and Company</w:t>
        <w:br/>
        <w:br/>
        <w:t>/Web site: http://www.lilly.com</w:t>
        <w:br/>
        <w:br/>
        <w:t>(END) Dow Jones Newswires</w:t>
        <w:br/>
        <w:br/>
        <w:t>October 11, 2015 22:00 ET (02:00 GMT)</w:t>
      </w:r>
    </w:p>
    <w:p>
      <w:pPr>
        <w:pStyle w:val="Heading1"/>
      </w:pPr>
      <w:r>
        <w:t>End of Article 1</w:t>
      </w:r>
    </w:p>
    <w:p>
      <w:r>
        <w:br w:type="page"/>
      </w:r>
    </w:p>
    <w:p>
      <w:pPr>
        <w:pStyle w:val="Heading1"/>
      </w:pPr>
      <w:r>
        <w:t>Start of Article 2</w:t>
      </w:r>
    </w:p>
    <w:p>
      <w:pPr>
        <w:pStyle w:val="Heading1"/>
      </w:pPr>
      <w:r>
        <w:t>Document ID CONGDP0020150514eb5d00063</w:t>
      </w:r>
    </w:p>
    <w:p>
      <w:r>
        <w:t>The letter, signed by 70 House members, also asks the Secretary to increase consumer education and awareness of the women's health benefits in the ACA and to encourage states to enforce compliance.</w:t>
        <w:br/>
        <w:br/>
        <w:t>"The rules prohibiting cost-sharing on preventive care, including contraception, are clear and insurers who are not following them are in violation of the law," DeLauro said. "The Affordable Care Act was intended, and is beginning, to transform our health care system, expand access to care and better the lives of Americans. A key part of that was putting women's health care on equal footing with men's to ensure that future generations of American women will lead healthier, more productive lives. I applaud Secretary Burwell for the steps she has taken thus far and look forward to continuing to work with her to ensure women have the crucial preventive services they need."</w:t>
        <w:br/>
        <w:br/>
        <w:t>"Insurance companies should not overrule a woman's reproductive health care choices," Bonamici said. "I am pleased with the department's new rules, which will provide women with more reproductive options and in turn greater economic freedom. The Affordable Care Act acknowledges the critical economic role reproductive health plays in the lives of women, and I encourage Secretary Burwell to continue to support the ACA's benefits to women."</w:t>
        <w:br/>
        <w:br/>
        <w:t>"Women have the right to make their own personal health care decisions, and these new clarifying guidelines will ensure that women have access to all reproductive health care options as they and their health care provider decide what is best for them," Capps said. "Under the Affordable Care Act, all forms of birth control methods must be covered by health insurers and I am pleased that HHS has eliminated any uncertainty or confusion with these guidelines. I will continue to work with my colleagues to ensure women have every opportunity to make their own personal health care decisions."</w:t>
        <w:br/>
        <w:br/>
        <w:t>The letter can be read here http://delauro.house.gov/images/pdf/2015.05.13LTRtoBurwellreACAContraception.pdf and below:</w:t>
        <w:br/>
        <w:br/>
        <w:t>May 13, 2015</w:t>
        <w:br/>
        <w:br/>
        <w:t>The Honorable Sylvia Mathews Burwell Secretary</w:t>
        <w:br/>
        <w:br/>
        <w:t>Department of Health and Human Services</w:t>
        <w:br/>
        <w:br/>
        <w:t>200 Independence Ave SW</w:t>
        <w:br/>
        <w:br/>
        <w:t>Washington, D.C. 20201</w:t>
        <w:br/>
        <w:br/>
        <w:t>Dear Secretary Burwell:</w:t>
        <w:br/>
        <w:br/>
        <w:t>As strong advocates for improving access to women's health care, we are writing to offer our support for the new guidance on the birth control benefit that aims to ensure insurers' compliance with the Affordable Care Act's (ACA) requirement to provide full coverage for all FDA-approved contraceptive methods with no copay.</w:t>
        <w:br/>
        <w:br/>
        <w:t>Reducing unintended pregnancies through increased access to contraception is a worthy goal and we applaud the recent decision by HHS to include all FDA-approved methods of contraception as preventive services under the ACA. This important decision will allow women across the country to access their contraceptive of choice with no out-of-pocket cost other than their monthly premium.</w:t>
        <w:br/>
        <w:br/>
        <w:t>In 2014, 67 percent of privately insured U. S. women accessed an oral contraceptive with no-copay, up from 15 percent in 2012, according to a Guttmacher Institute study published in the journal Contraception. Similar trends were seen with women using injectable contraceptives, rings, and IUDs. Studies have shown that when contraception is covered by insurance, women choose to use longer, more effective forms of contraception, experiencing fewer unplanned pregnancies as a result.</w:t>
        <w:br/>
        <w:br/>
        <w:t>Although more women are now able to access contraception without a copay, insurers continue to create barriers. Some insurers are not covering all FDA-approved methods. Additionally, through the use of so-called "reasonable medical management," insurers are restricting access to long-acting birth control and steering women away from accessing their contraceptive method of choice. Determining which method of contraception is right for a woman is a personal decision that should be made with her doctor.</w:t>
        <w:br/>
        <w:br/>
        <w:t>We strongly support the newly-issued guidance to clarify the scope of the requirement and ensure that women have reliable and meaningful access to their contraceptive method of choice.</w:t>
        <w:br/>
        <w:br/>
        <w:t>The Department of Health and Human Services should be closely monitoring and ensuring compliance with the law, and working with all stakeholders to reach that end.</w:t>
        <w:br/>
        <w:br/>
        <w:t>Specifically, we request that you:</w:t>
        <w:br/>
        <w:br/>
        <w:t>* Increase consumer education and awareness of the women's health benefits of the ACA, specifically contraception; and</w:t>
        <w:br/>
        <w:br/>
        <w:t>* Proactively encourage states to properly enforce compliance, and ensure that local stakeholders and states develop plans of action for compliance.</w:t>
        <w:br/>
        <w:br/>
        <w:t>We look forward to working with you on this issue to provide women with these crucial preventive services.</w:t>
        <w:br/>
        <w:br/>
        <w:t>Read this original document at: http://delauro.house.gov/index.php?option=com_content&amp;view=article&amp;id=1925:delauro-bonamici-capps-praise-new-guidelines-on-contraception-coverage&amp;catid=2&amp;Itemid=21</w:t>
      </w:r>
    </w:p>
    <w:p>
      <w:pPr>
        <w:pStyle w:val="Heading1"/>
      </w:pPr>
      <w:r>
        <w:t>End of Article 2</w:t>
      </w:r>
    </w:p>
    <w:p>
      <w:r>
        <w:br w:type="page"/>
      </w:r>
    </w:p>
    <w:p>
      <w:pPr>
        <w:pStyle w:val="Heading1"/>
      </w:pPr>
      <w:r>
        <w:t>Start of Article 3</w:t>
      </w:r>
    </w:p>
    <w:p>
      <w:pPr>
        <w:pStyle w:val="Heading1"/>
      </w:pPr>
      <w:r>
        <w:t>Document ID HAMW000020150820eb8k000bg</w:t>
      </w:r>
    </w:p>
    <w:p>
      <w:r>
        <w:t>"Hollister Incorporated is honored to be the only awarded Signature Supplier of neonatal and pediatric ostomy products for NOVAKIDS," explained Chad Ruston, General Manager, Ostomy Sales. "Our company is proud to provide quality pediatric ostomy products that deliver clinical value and educational support to young patients."</w:t>
        <w:br/>
        <w:br/>
        <w:t>Diverse portfolio of pediatric products</w:t>
        <w:br/>
        <w:br/>
        <w:t>The Hollister Incorporated portfolio of one- and two-piece products, along with a range of educational materials and patient services, are designed to help promote positive outcomes for preemies, infants, toddlers and adolescents. The Hollister Pouchkins pediatric pouching system, for example, is designed to provide small children and their caregivers with a sense of security during what can be a stressful time.</w:t>
        <w:br/>
        <w:br/>
        <w:t>Education and support services for as long as needed Additionally, Hollister Incorporated offers a variety of education options, like Shadow Buddies. These instructional dolls are specially made for children who have had or will have ostomy surgery. They are a great teaching tool to help with education and care giving.</w:t>
        <w:br/>
        <w:br/>
        <w:t>Keywords for this news article include: Pediatrics, Hollister Incorporated.</w:t>
        <w:br/>
        <w:br/>
        <w:t>Our reports deliver fact-based news of research and discoveries from around the world. Copyright 2015, NewsRx LLC</w:t>
      </w:r>
    </w:p>
    <w:p>
      <w:pPr>
        <w:pStyle w:val="Heading1"/>
      </w:pPr>
      <w:r>
        <w:t>End of Article 3</w:t>
      </w:r>
    </w:p>
    <w:p>
      <w:r>
        <w:br w:type="page"/>
      </w:r>
    </w:p>
    <w:p>
      <w:pPr>
        <w:pStyle w:val="Heading1"/>
      </w:pPr>
      <w:r>
        <w:t>Start of Article 4</w:t>
      </w:r>
    </w:p>
    <w:p>
      <w:pPr>
        <w:pStyle w:val="Heading1"/>
      </w:pPr>
      <w:r>
        <w:t>Document ID DRGW000020151127ebbr0002q</w:t>
      </w:r>
    </w:p>
    <w:p>
      <w:r>
        <w:t>According to the news editors, the research concluded: "Certain limitations of commercial nanosuspension products are also reviewed."</w:t>
        <w:br/>
        <w:br/>
        <w:t>For more information on this research see: Nanosuspensions of poorly water-soluble drugs prepared by bottom-up technologies. International Journal of Pharmaceutics, 2015;495(2):738-749. International Journal of Pharmaceutics can be contacted at: Elsevier Science Bv, PO Box 211, 1000 Ae Amsterdam, Netherlands. (Elsevier - www.elsevier.com; International Journal of Pharmaceutics - www.journals.elsevier.com/international-journal-of-pharmaceutics/)</w:t>
        <w:br/>
        <w:br/>
        <w:t>Our news journalists report that additional information may be obtained by contacting J. Du, Shandong Academy Med Sci, Inst Mat Med, Jinan 250062, Shandong, People's Republic of China. Additional authors for this research include X.G. Li, H.X. Zhao, Y.Q. Zhou, L.L. Wang, S.S. Tian and Y.C. Wang.</w:t>
        <w:br/>
        <w:br/>
        <w:t>Keywords for this news article include: Asia, Shandong, Technology, Drugs and Therapies, People's Republic of China</w:t>
        <w:br/>
        <w:br/>
        <w:t>Our reports deliver fact-based news of research and discoveries from around the world. Copyright 2015, NewsRx LLC</w:t>
      </w:r>
    </w:p>
    <w:p>
      <w:pPr>
        <w:pStyle w:val="Heading1"/>
      </w:pPr>
      <w:r>
        <w:t>End of Article 4</w:t>
      </w:r>
    </w:p>
    <w:p>
      <w:r>
        <w:br w:type="page"/>
      </w:r>
    </w:p>
    <w:p>
      <w:pPr>
        <w:pStyle w:val="Heading1"/>
      </w:pPr>
      <w:r>
        <w:t>Start of Article 5</w:t>
      </w:r>
    </w:p>
    <w:p>
      <w:pPr>
        <w:pStyle w:val="Heading1"/>
      </w:pPr>
      <w:r>
        <w:t>Document ID FLYWAL0020150304eb340033j</w:t>
      </w:r>
    </w:p>
    <w:p>
      <w:r>
        <w:t xml:space="preserve"> Health care professionals should prescribe testosterone therapy only for men with low testosterone levels caused by certain medical conditions and confirmed by laboratory tests." Makers of testosterone products include Repros Therapeutics (RPRX), Lipocine (LPCN), Antares Pharma (ATRS), AbbVie (ABBV), Eli Lilly (LLY) and Endo (ENDP).</w:t>
      </w:r>
    </w:p>
    <w:p>
      <w:pPr>
        <w:pStyle w:val="Heading1"/>
      </w:pPr>
      <w:r>
        <w:t>End of Article 5</w:t>
      </w:r>
    </w:p>
    <w:p>
      <w:r>
        <w:br w:type="page"/>
      </w:r>
    </w:p>
    <w:p>
      <w:pPr>
        <w:pStyle w:val="Heading1"/>
      </w:pPr>
      <w:r>
        <w:t>Start of Article 6</w:t>
      </w:r>
    </w:p>
    <w:p>
      <w:pPr>
        <w:pStyle w:val="Heading1"/>
      </w:pPr>
      <w:r>
        <w:t>Document ID NBPPBS0020150508eb5900043</w:t>
      </w:r>
    </w:p>
    <w:p>
      <w:r>
        <w:t>Mr. Chahil is a Silicon Valley based Innovations Advisor and Social Entrepreneur. Since January 2010, Mr. Chahil has been an Executive Adviser to several global high tech companies, including Hewlett-Packard, Beats Electronics, Blackberry (RIM), Starkey Hearing Technologies, and Sony Electronics. Prior to that, Mr. Chahil was the Senior Vice President-Marketing of Hewlett Packard's Personal Systems Group, and prior to that, he was advisor to the Chairman of Palm, Inc. (a manufacturer and marketer of handheld computing and mobile and wireless Internet solutions). He is also Trustee of the American India Foundation.</w:t>
        <w:br/>
        <w:br/>
        <w:t>Mr. Chahil earned a bachelor's degree in commerce from Punjab University in Chandigarh, India and a master's degree from the American (Thunderbird) Graduate School of International Management in Arizona.</w:t>
        <w:br/>
        <w:br/>
        <w:t>Mr. Chahil has been a Class II director of the Company since 2002. He also serves as a member of our Compensation and Corporate Governance and Nominating Committees. At the 2014 Annual Meeting of Stockholders, Mr. Chahil was reelected as a Class II Director of the Company to serve until the 2016 Annual Meeting of Stockholders.</w:t>
        <w:br/>
        <w:br/>
        <w:t>Mr. Chahil provides our Board with proven leadership and business experience in the areas of digital convergence, new media and global marketing gained from serving in various executive management positions with multinational information technology, computing and wireless control companies and the extensive management and corporate governance experience gained from those roles.</w:t>
        <w:br/>
        <w:br/>
        <w:t>MANAGEMENT SCORECARD FOR UNIVERSAL ELECTRONICS INC.:</w:t>
        <w:br/>
        <w:br/>
        <w:t>Satjiv S. Chahil's performance for Universal Electronics is placed 367/2,362 in BSS News Bites's ranking of NASDAQ performers in the past year, a percentile ranking of 83%.</w:t>
        <w:br/>
        <w:br/>
        <w:t>Key Financials:</w:t>
        <w:br/>
        <w:br/>
        <w:t>(all figures in pct)</w:t>
        <w:br/>
        <w:br/>
        <w:t xml:space="preserve"> Revenue Growth  EPS Growth ROE</w:t>
        <w:br/>
        <w:t>2014            6.2         36.7  10.3</w:t>
        <w:br/>
        <w:t>2013            14.3        33.6 7.9</w:t>
        <w:br/>
        <w:t>2012            -1.2        -16  6.6</w:t>
        <w:br/>
        <w:t>2011            41.2        22.4 8.7</w:t>
        <w:br/>
        <w:br/>
        <w:br/>
        <w:t xml:space="preserve"> Share Price (USD)  Market Capitalisation ($)</w:t>
        <w:br/>
        <w:t>Last               56.4 895.8 million</w:t>
        <w:br/>
        <w:t>1 Year ago         40.3 640.3 million</w:t>
        <w:br/>
        <w:t>2 Years ago        24.1 360.4 million</w:t>
        <w:br/>
        <w:t>3 Years ago        15.3 225.4 million</w:t>
        <w:br/>
        <w:t>4 Years ago        26.0 383.9 million</w:t>
        <w:br/>
        <w:t>5 Years ago        20.5 303.1 million</w:t>
        <w:br/>
        <w:br/>
        <w:br/>
        <w:t>Source: BuySellSignals.com</w:t>
      </w:r>
    </w:p>
    <w:p>
      <w:pPr>
        <w:pStyle w:val="Heading1"/>
      </w:pPr>
      <w:r>
        <w:t>End of Article 6</w:t>
      </w:r>
    </w:p>
    <w:p>
      <w:r>
        <w:br w:type="page"/>
      </w:r>
    </w:p>
    <w:p>
      <w:pPr>
        <w:pStyle w:val="Heading1"/>
      </w:pPr>
      <w:r>
        <w:t>Start of Article 7</w:t>
      </w:r>
    </w:p>
    <w:p>
      <w:pPr>
        <w:pStyle w:val="Heading1"/>
      </w:pPr>
      <w:r>
        <w:t>Document ID BOSBJO0020151002eba20008e</w:t>
      </w:r>
    </w:p>
    <w:p>
      <w:r>
        <w:t>The lawsuit appears to be wholly based on a blog post on the investor website, Seeking Alpha. The author of the blog, identified as "Mako Research," a self-described short-seller of Cellceutix stock, claimed the company is a sham and that no one actually works there. Those claims were at least partially debunked when  I visited the company in August and spoke to CEO Leo Ehrlich, co-founder and Chief Scientific Officer Krishna Menon.</w:t>
        <w:br/>
        <w:br/>
        <w:t>Sullivan said the lawsuit by Rosen "appears to be simply a cut and paste" of the blog post, and said the fact that it was filed so soon after the blog post suggests that Rosen didn't conduct due diligence beforehand.</w:t>
        <w:br/>
        <w:br/>
        <w:t>The company's shares have declined 32 percent since that blog post.</w:t>
        <w:br/>
        <w:br/>
        <w:t>"The catastrophic harm is first and foremost to the shareholders," he said. "But long term, the consequences could be that these life-changing therapies might never get developed."</w:t>
        <w:br/>
        <w:br/>
        <w:t>Sullivan said he enjoyed a close relationship with the Securities and Exchange Commission as U.S. attorney, and he plans to draw the agency's attention to issue, in hopes of identifying the author of the blog.</w:t>
        <w:br/>
        <w:br/>
        <w:t>Mako Research has also posted blog posts recently attacking a Marlborough-based biotech working on treatments for some types of blindness, called Ocata Therapeutics (Nasdaq: OCAT). CEO Paul Wotton declined to comment on  the blog posts last week, which made many claims similar to those made against Cellceutix.</w:t>
        <w:br/>
        <w:br/>
        <w:t>Sullivan said his initial goal is to get Rosen to voluntarily withdraw the lawsuit, but said, "I don't think this company will be satisfied with just that."</w:t>
        <w:br/>
        <w:br/>
        <w:t>Did you find this article useful? Why not subscribe to Boston Business Journal for more articles and leads? Visit bizjournals.com/subscribe or call 1-866-853-3661.</w:t>
      </w:r>
    </w:p>
    <w:p>
      <w:pPr>
        <w:pStyle w:val="Heading1"/>
      </w:pPr>
      <w:r>
        <w:t>End of Article 7</w:t>
      </w:r>
    </w:p>
    <w:p>
      <w:r>
        <w:br w:type="page"/>
      </w:r>
    </w:p>
    <w:p>
      <w:pPr>
        <w:pStyle w:val="Heading1"/>
      </w:pPr>
      <w:r>
        <w:t>Start of Article 8</w:t>
      </w:r>
    </w:p>
    <w:p>
      <w:pPr>
        <w:pStyle w:val="Heading1"/>
      </w:pPr>
      <w:r>
        <w:t>Document ID PRGRSS0020150725eb7p0001h</w:t>
      </w:r>
    </w:p>
    <w:p>
      <w:r>
        <w:t>Praluent is the first in a new class of biotech medications that use a novel approach to lower bad, or LDL, cholesterol. The drugs are considered the first major advance in treatment since the introduction of statin drugs more than 20 years ago, and analysts expect them to generate billions in sales.</w:t>
      </w:r>
    </w:p>
    <w:p>
      <w:pPr>
        <w:pStyle w:val="Heading1"/>
      </w:pPr>
      <w:r>
        <w:t>End of Article 8</w:t>
      </w:r>
    </w:p>
    <w:p>
      <w:r>
        <w:br w:type="page"/>
      </w:r>
    </w:p>
    <w:p>
      <w:pPr>
        <w:pStyle w:val="Heading1"/>
      </w:pPr>
      <w:r>
        <w:t>Start of Article 9</w:t>
      </w:r>
    </w:p>
    <w:p>
      <w:pPr>
        <w:pStyle w:val="Heading1"/>
      </w:pPr>
      <w:r>
        <w:t>Document ID DJDN000020150331eb3v003pl</w:t>
      </w:r>
    </w:p>
    <w:p>
      <w:r>
        <w:t>Regulatory News:</w:t>
        <w:br/>
        <w:br/>
        <w:t>IMPLANET (Euronext: IMPL, FR0010458729, PEA-PME eligible), a medical technology company specializing in vertebral and knee-surgery implants, today announces its annual results for the financial year to December 31, 2014, as approved by the Board on March 18, 2015.</w:t>
        <w:br/>
        <w:br/>
        <w:t xml:space="preserve">Ludovic Lastennet, CEO of Implanet, states: "The sale of 4,260 JAZZ implants in 2014 represents an impressive achievement. We met our sales targets, notably thanks to the rapid structuring of our subsidiary in the United States. We generated growth in our Knee platform, while the impact of the discontinuation of our Hip activity should disappear in early 2015. We are highly optimistic for the future, notably because of strict structural cost management and the substantial success of our recent capital increase, which has given us the resources to accelerate JAZZ's expansion in spine surgery and make it a global benchmark in healthcare." </w:t>
        <w:br/>
        <w:br/>
        <w:br/>
        <w:t xml:space="preserve"> </w:t>
        <w:br/>
        <w:t xml:space="preserve">In EUR thousands -- IFRS              2014     2013  &lt;DELTA&gt; </w:t>
        <w:br/>
        <w:t xml:space="preserve">-------------------------------     ------  -------  ------- </w:t>
        <w:br/>
        <w:t xml:space="preserve">Revenue                              7,038    6,690    +5.2% </w:t>
        <w:br/>
        <w:t xml:space="preserve">----------------------------------  ------  -------  ------- </w:t>
        <w:br/>
        <w:t xml:space="preserve">Cost of products sold               -4,100  - 4,180    -1.9% </w:t>
        <w:br/>
        <w:t xml:space="preserve">----------------------------------  ------  -------  ------- </w:t>
        <w:br/>
        <w:t xml:space="preserve">Gross margin                         2,938    2,510   +17.1% </w:t>
        <w:br/>
        <w:t xml:space="preserve">Gross margin %                       41.7%    37.5%        - </w:t>
        <w:br/>
        <w:t xml:space="preserve">----------------------------------  ------  -------  ------- </w:t>
        <w:br/>
        <w:t xml:space="preserve">Research &amp; Development              -1,177     -930   +26.6% </w:t>
        <w:br/>
        <w:t xml:space="preserve">Regulatory matters, Quality </w:t>
        <w:br/>
        <w:t xml:space="preserve"> control                              -812   -1,002   -19.0% </w:t>
        <w:br/>
        <w:t xml:space="preserve">Sales, distribution, marketing      -3,301   -2,215   +49.0% </w:t>
        <w:br/>
        <w:t xml:space="preserve">Operating costs                       -922   -2,402   -61.6% </w:t>
        <w:br/>
        <w:t xml:space="preserve">General costs                       -3,363   -2,456   +36.9% </w:t>
        <w:br/>
        <w:t xml:space="preserve">----------------------------------  ------  -------  ------- </w:t>
        <w:br/>
        <w:t xml:space="preserve">Operating P/L                       -6,637   -6,495        - </w:t>
        <w:br/>
        <w:t xml:space="preserve">----------------------------------  ------  -------  ------- </w:t>
        <w:br/>
        <w:t xml:space="preserve">Net P/L                             -6,872   -6,843        - </w:t>
        <w:br/>
        <w:t xml:space="preserve">----------------------------------  ------  -------  ------- </w:t>
        <w:br/>
        <w:t xml:space="preserve"> </w:t>
        <w:br/>
        <w:t xml:space="preserve"> </w:t>
        <w:br/>
        <w:br/>
        <w:t>2014: significant acceleration in global JAZZ sales</w:t>
        <w:br/>
        <w:br/>
        <w:t>Excluding Hip activity, discontinued in early 2014, Implanet generated strong revenue growth of +28%. Including Hip activity, in 2014 the Company generated growth of +5% to EUR7,037 thousand. French sales totaled EUR3,985 thousand (57% of 2014 revenue), while Export sales totaled EUR3,052 thousand (43% of 2014 revenue). The U.S. subsidiary continued its progression with sales of EUR821 thousand (12% of 2014 revenue), equaling one million dollars in sales in its first full year.</w:t>
        <w:br/>
        <w:br/>
        <w:t>This performance illustrates the excellent momentum gained in Spine, with 2.4X sales growth, to EUR1,930 thousand, compared with the previous year. In 2014, Implanet sold 4,260 JAZZ implants (vs. 1,829 in 2013), an increase of +133%.</w:t>
        <w:br/>
        <w:br/>
        <w:t>Improvement in the gross margin, operating costs under control</w:t>
        <w:br/>
        <w:br/>
        <w:t>The 2014 gross margin was 41.7%, up 4.2 percentage points (vs. 37.5% in 2013), reflecting the higher contribution of increased JAZZ sales in the product mix. In cash terms, the 2014 gross margin improved by +EUR428 thousand to EUR2,938 thousand (from EUR2,510 thousand in 2013).</w:t>
        <w:br/>
        <w:br/>
        <w:t>Operating costs rose by +EUR570 thousand to EUR9,575 thousand (vs. EUR9,005 thousand in 2013). The most significant impacts were investment in the Implanet America subsidiary, spending of EUR1,295 thousand, a 2013 provision for the impairment of inventories (mainly for Hip activity) leading to a positive variation of +EUR1,253 thousand on the cost of operations in 2014, and the impact of the IFRS restatement of the fair value of warrants issued to staff for EUR552 thousand. The remaining structural costs were stable, illustrating the Company's control of its operating costs.</w:t>
        <w:br/>
        <w:br/>
        <w:t>Once these elements are taken into account, Implanet recorded an operating loss of -EUR6,637 thousand (vs. -EUR6,495 thousand in 2013) and a net loss of -EUR6,872 thousand (vs. -EUR6,843 thousand in 2013) in 2014.</w:t>
        <w:br/>
        <w:br/>
        <w:t>As of December 31, 2014, Implanet had cash and financial placements of EUR5.2 million (vs. EUR8.7 million at the end of June 2014), split between "cash and cash equivalents" (EUR2.1 million), "other current financial assets" (EUR2.8 million) and "other non-current financial assets" (EUR0.3 million). Following the capital increase completed in March 2015, cash and financial placements totaled EUR12.5 million at March 31.</w:t>
        <w:br/>
        <w:br/>
        <w:t>As of December 31, 2014, Implanet had a workforce of 45, including 6 staff in the United States.</w:t>
        <w:br/>
        <w:br/>
        <w:t>2014/2015 achievements and key events</w:t>
        <w:br/>
        <w:br/>
        <w:t>Implanet has continued to follow the roadmap announced at the time of its IPO in order to accelerate its development, with a number of major achievements:</w:t>
        <w:br/>
        <w:br/>
        <w:t xml:space="preserve">Substantial success of the capital increase with preemptive rights carried out in March 2015, which raised EUR11.2 million </w:t>
        <w:br/>
        <w:br/>
        <w:br/>
        <w:t xml:space="preserve">   -- Total demand of EUR16.5 million (initial amount of EUR9.7 million), a </w:t>
        <w:br/>
        <w:t xml:space="preserve">      subscription rate of 170% </w:t>
        <w:br/>
        <w:t xml:space="preserve"> </w:t>
        <w:br/>
        <w:t xml:space="preserve">   -- Full exercise of the extension clause </w:t>
        <w:br/>
        <w:br/>
        <w:t xml:space="preserve">Maximize JAZZ adoption </w:t>
        <w:br/>
        <w:br/>
        <w:br/>
        <w:t xml:space="preserve">   -- Publication of a medico-economic study carried out in the United States </w:t>
        <w:br/>
        <w:t xml:space="preserve">      by Health Advances on the cost effectiveness of JAZZ. The study estimates </w:t>
        <w:br/>
        <w:t xml:space="preserve">      the cost benefit of JAZZ at $11,700 per surgical procedure </w:t>
        <w:br/>
        <w:t xml:space="preserve"> </w:t>
        <w:br/>
        <w:t xml:space="preserve">   -- Publication of a study regarding the restoration of frontal and sagittal </w:t>
        <w:br/>
        <w:t xml:space="preserve">      alignments in adolescent scoliosis surgery; </w:t>
        <w:br/>
        <w:t xml:space="preserve"> </w:t>
        <w:br/>
        <w:t xml:space="preserve">   -- Publication of a study showing the efficiency of JAZZ implanted in the </w:t>
        <w:br/>
        <w:t xml:space="preserve">      vertebrae of patients with degenerative bone pathologies </w:t>
        <w:br/>
        <w:t xml:space="preserve"> </w:t>
        <w:br/>
        <w:t xml:space="preserve">   -- Encouraging preliminary results from an in-vitro biomechanical study in </w:t>
        <w:br/>
        <w:t xml:space="preserve">      osteoporotic specimens completed by the Mayo Clinic . </w:t>
        <w:br/>
        <w:br/>
        <w:t xml:space="preserve">Product range extension </w:t>
        <w:br/>
        <w:br/>
        <w:br/>
        <w:t xml:space="preserve">   -- Development of the JAZZ technological platform </w:t>
        <w:br/>
        <w:t xml:space="preserve"> </w:t>
        <w:br/>
        <w:t xml:space="preserve">   -- Adaptation of JAZZ to various existing rod sizes </w:t>
        <w:br/>
        <w:t xml:space="preserve"> </w:t>
        <w:br/>
        <w:t xml:space="preserve">   -- Harmonization of the CE and FDA regulatory files for the entire range </w:t>
        <w:br/>
        <w:t xml:space="preserve"> </w:t>
        <w:br/>
        <w:t xml:space="preserve">   -- Validation of a first generation of instruments for less-invasive surgery </w:t>
        <w:br/>
        <w:br/>
        <w:t>Large-scale commercial deployment</w:t>
        <w:br/>
        <w:br/>
        <w:t>Acceleration in the United States with the signing of 25 sales partner contracts along with significant strengthening of the Management Team (3 Sales Directors, 1 Marketing and Training Director, 2 Independent Board Members and 1 Medical Advisor)Structuring the rest of the world sales team: 1 European Sales Director, 1 International Product Officer and 1 Training Officer</w:t>
        <w:br/>
        <w:br/>
        <w:t>Next financial press release: Q1 2015 revenue, on April 28, 2015</w:t>
        <w:br/>
        <w:br/>
        <w:t>About IMPLANET</w:t>
        <w:br/>
        <w:br/>
        <w:t>Founded in 2007, IMPLANET is a medical technology company that manufactures high-quality implants for orthopedic surgery. Its flagship product, the JAZZ latest-generation implant, aims to treat spinal pathologies requiring vertebral fusion surge Protected by four families of international patents, JAZZ has obtained 510(k) regulatory clearance from the Food and Drug Administration (FDA) in the United States and the CE mark. IMPLANET employs 45 staff and recorded 2014 sales of EUR7.0 million. For further information, please visit www.implanet.com.</w:t>
        <w:br/>
        <w:br/>
        <w:t>Based near Bordeaux in France, IMPLANET established a US subsidiary in Boston in 2013.</w:t>
        <w:br/>
        <w:br/>
        <w:t>IMPLANET is listed on Compartment C of the Euronext(TM) regulated market in Paris.</w:t>
        <w:br/>
        <w:br/>
        <w:t xml:space="preserve">Ticker: IMPL - ISIN code: FR0010458729 </w:t>
        <w:br/>
        <w:br/>
        <w:br/>
        <w:t xml:space="preserve"> </w:t>
        <w:br/>
        <w:t xml:space="preserve">    CONTACT:    IMPLANET </w:t>
        <w:br/>
        <w:br/>
        <w:t>Ludovic Lastennet</w:t>
        <w:br/>
        <w:br/>
        <w:t>CEO</w:t>
        <w:br/>
        <w:br/>
        <w:t>Tel.: +33 (0)5 57 99 55 55</w:t>
        <w:br/>
        <w:br/>
        <w:t>investors@implanet.com</w:t>
        <w:br/>
        <w:br/>
        <w:t>or</w:t>
        <w:br/>
        <w:br/>
        <w:t>NewCap</w:t>
        <w:br/>
        <w:br/>
        <w:t>Investor Relations</w:t>
        <w:br/>
        <w:br/>
        <w:t>Florent Alba</w:t>
        <w:br/>
        <w:br/>
        <w:t>Tel.: +33 (0)1 44 71 94 94</w:t>
        <w:br/>
        <w:br/>
        <w:t>implanet@newcap.fr</w:t>
        <w:br/>
        <w:br/>
        <w:t>or</w:t>
        <w:br/>
        <w:br/>
        <w:t>NewCap</w:t>
        <w:br/>
        <w:br/>
        <w:t>Press Relations</w:t>
        <w:br/>
        <w:br/>
        <w:t>Nicolas Merigeau</w:t>
        <w:br/>
        <w:br/>
        <w:t>Tel.: +33 (0)1 44 71 94 98</w:t>
        <w:br/>
        <w:br/>
        <w:t>implanet@newcap.fr</w:t>
        <w:br/>
        <w:br/>
        <w:t>(END) Dow Jones Newswires</w:t>
        <w:br/>
        <w:br/>
        <w:t>March 31, 2015 12:34 ET (16:34 GMT)</w:t>
      </w:r>
    </w:p>
    <w:p>
      <w:pPr>
        <w:pStyle w:val="Heading1"/>
      </w:pPr>
      <w:r>
        <w:t>End of Article 9</w:t>
      </w:r>
    </w:p>
    <w:p>
      <w:r>
        <w:br w:type="page"/>
      </w:r>
    </w:p>
    <w:p>
      <w:pPr>
        <w:pStyle w:val="Heading1"/>
      </w:pPr>
      <w:r>
        <w:t>Start of Article 10</w:t>
      </w:r>
    </w:p>
    <w:p>
      <w:pPr>
        <w:pStyle w:val="Heading1"/>
      </w:pPr>
      <w:r>
        <w:t>Document ID MPRMPR0020150929eb9s0000b</w:t>
      </w:r>
    </w:p>
    <w:p>
      <w:r>
        <w:t>The autoinjector will be available for patients taking Betaseron (interferon beta-1b). After preparing Betaserson lyophilized powder, patients may administer the drug using Betaconnect with the specific syringes provided in the packaging. The autoinjector allows customizable injection speed and depth settings for quiet and precise injections. It also offers an optional back-up reminder function to alert patients when it is time for their next injection. The automatic needle insertion and retraction with a visual and audio end-of-dose indication informs patients when the injection is complete.</w:t>
        <w:br/>
        <w:br/>
        <w:t>RELATED: Ocrelizumab: Promising Results for Primary Progressive MS</w:t>
        <w:br/>
        <w:br/>
        <w:t>The immunomodulatory effects of interferon beta-1b include the enhancement of suppressor T cell activity, reduction of proinflammatory cytokine production, down-regulation of antigen presentation, and inhibition of lymphocyte trafficking into the central nervous system.</w:t>
        <w:br/>
        <w:br/>
        <w:t>Betaseron is currently supplied as single-use vials in 5- or 14-count cartons. Betaconnect autoinjector is anticipated to be available starting in early 2016.</w:t>
        <w:br/>
        <w:br/>
        <w:t>For more information call (888) 842-2937 or visit Bayer.com.</w:t>
      </w:r>
    </w:p>
    <w:p>
      <w:pPr>
        <w:pStyle w:val="Heading1"/>
      </w:pPr>
      <w:r>
        <w:t>End of Article 10</w:t>
      </w:r>
    </w:p>
    <w:p>
      <w:r>
        <w:br w:type="page"/>
      </w:r>
    </w:p>
    <w:p>
      <w:pPr>
        <w:pStyle w:val="Heading1"/>
      </w:pPr>
      <w:r>
        <w:t>Start of Article 11</w:t>
      </w:r>
    </w:p>
    <w:p>
      <w:pPr>
        <w:pStyle w:val="Heading1"/>
      </w:pPr>
      <w:r>
        <w:t>Document ID GLOMCP0020151105ebb500ky4</w:t>
      </w:r>
    </w:p>
    <w:p>
      <w:r>
        <w:t>Regulatory Approval : In August, the company received Marketing Authorisation for Unituxin (dinutuximab) from European Commission (EC) to treat high risk neuroblastoma.</w:t>
        <w:br/>
        <w:br/>
        <w:t>Date : 2015</w:t>
        <w:br/>
        <w:br/>
        <w:t>Regulatory Approval : In March, the company received approval from United States Food and Drug Administration for Unituxin injection for the treatment of pediatric high-risk neuroblastoma.</w:t>
        <w:br/>
        <w:br/>
        <w:t>Date : 2014</w:t>
        <w:br/>
        <w:br/>
        <w:t>Contracts/Agreements : IN December, the company entered into an agreement with DEKA Research &amp; Development Corp. for the development of a potential technology breakthrough in the subcutaneous delivery of Remodulin.</w:t>
        <w:br/>
        <w:br/>
        <w:t>Date : 2014</w:t>
        <w:br/>
        <w:br/>
        <w:t>Contracts/Agreements : In May, Lung Biotechnology Inc., a subsidiary of UTC entered into a research and development agreement with Synthetic Genomics Inc. to develop humanized pig organs for transplantation.</w:t>
        <w:br/>
        <w:br/>
        <w:t>Date : 2014</w:t>
        <w:br/>
        <w:br/>
        <w:t>Litigation : In August, the company won the case against Sandoz, Inc. regarding the patent infringement of U.S. Patent No. 6,765,117 related to its Remodulin.</w:t>
        <w:br/>
        <w:br/>
        <w:t>Date : 2014</w:t>
        <w:br/>
        <w:br/>
        <w:t>New Product Approvals : In March, the company’s Remodulin received approval from Japan's Ministry of Health, Labour and Welfare for the treatment of pulmonary arterial hypertension (PAH) by subcutaneous and intravenous administration. Remodulin is to be sold in Japan under the brand name Treprost.</w:t>
        <w:br/>
        <w:br/>
        <w:t>Date : 2013</w:t>
        <w:br/>
        <w:br/>
        <w:t>Litigation : In December, the company received a subpoena from the Office of the Inspector General of the Department of Health and Human Services regarding marketing practices relating to its products including Remodulin (treprostinil) injection, Tyvaso (treprostinil) inhalation solution and Adcirca (tadalafil) tablets.</w:t>
        <w:br/>
        <w:br/>
        <w:t>Date : 2013</w:t>
        <w:br/>
        <w:br/>
        <w:t>New Product Approvals : In December, the company received approval for its Orenitram (treprostinil) Extended-Release Tablets for the treatment of pulmonary arterial hypertension from the US FDA.</w:t>
        <w:br/>
        <w:br/>
        <w:t>Date : 2013</w:t>
        <w:br/>
        <w:br/>
        <w:t>Regulatory Approval : In September, the US FDA accepted the company resubmission of new drug application (NDA) for treprostinil diolamine extended release tablets (oral treprostinil) for the treatment of PAH.</w:t>
        <w:br/>
        <w:br/>
        <w:t>Date : 2012</w:t>
        <w:br/>
        <w:br/>
        <w:t>Litigation : In March, the company filed lawsuit against Sandoz for the infringement of patents related to Remodulin.</w:t>
        <w:br/>
        <w:br/>
        <w:t>Date : 2012</w:t>
        <w:br/>
        <w:br/>
        <w:t>New Product Approvals : In February, the company's treprostinil diethanolamine was approved for review by FDA for new drug application.</w:t>
        <w:br/>
        <w:br/>
        <w:t>Date : 2011</w:t>
        <w:br/>
        <w:br/>
        <w:t>Contracts/Agreements : In October, the company's subsidiary, Unither Virology, LLC entered into a contract with the National Institute of Allergy and Infectious Diseases for supporting glycobiology antiviral platform.</w:t>
        <w:br/>
        <w:br/>
        <w:t>Date : 2011</w:t>
        <w:br/>
        <w:br/>
        <w:t>Official Trials/Tests : In January, the company completed the enrollment of FREEDOM-M registration trial.</w:t>
        <w:br/>
        <w:br/>
        <w:t>Date : 2011</w:t>
        <w:br/>
        <w:br/>
        <w:t>Official Trials/Tests : In June, the company completed FREEDOM-M Phase 3 trial of treprostinil diethanolamine (oral treprostinil).</w:t>
        <w:br/>
        <w:br/>
        <w:t>Date : 2011</w:t>
        <w:br/>
        <w:br/>
        <w:t>Official Trials/Tests : In March, the company completed the enrollment of its FREEDOM-C(2) registration trial.</w:t>
        <w:br/>
        <w:br/>
        <w:t>Date : 2011</w:t>
        <w:br/>
        <w:br/>
        <w:t>Others : In December, the company's Remodulin(treprostinil) was approved for the treatment of pulmonary arterial hypertension by the French regulatory agency Agence Francaise de Securite Sanitaire des Produits de Sante.</w:t>
        <w:br/>
        <w:br/>
        <w:t>Date : 2010</w:t>
        <w:br/>
        <w:br/>
        <w:t>Contracts/Agreements : In February, the company's subsidiary, Lung Rx, LLC entered into an agreement with ImmuneWorks, Inc. to co-develop ImmuneWorks' lead compound, IW001, a purified bovine Type V Collagen oral solution.</w:t>
        <w:br/>
        <w:br/>
        <w:t>Date : 2010</w:t>
        <w:br/>
        <w:br/>
        <w:t>Contracts/Agreements : In July, the company signed a distribution agreement with Lee's Pharmaceutical Holdings Ltd., through which its lead product Remodulin would be marketed by Lee in China.</w:t>
        <w:br/>
        <w:br/>
        <w:t>Date : 2010</w:t>
        <w:br/>
        <w:br/>
        <w:t>Others : In February, the company withdrew the marketing authorization application for Tyvaso (treprostinil sodium) solution, which is for the treatment of pulmonary arterial hypertension in the European Union.</w:t>
        <w:br/>
        <w:br/>
        <w:t>Date : 2009</w:t>
        <w:br/>
        <w:br/>
        <w:t>New Product Approvals : The company received the United States Food and Drug Administration approval for its TYVASO (treprostinil) Inhalation Solution, used for the treatment of pulmonary arterial hypertension.</w:t>
        <w:br/>
        <w:br/>
        <w:t>Date : 2009</w:t>
        <w:br/>
        <w:br/>
        <w:t>New Product Approvals : The company's product ADCIRCA tablets for oral administration approved by the United States Food and Drug Administration, for the treatment of Pulmonary Arterial Hypertension.</w:t>
        <w:br/>
        <w:br/>
        <w:t>Date : 2008</w:t>
        <w:br/>
        <w:br/>
        <w:t>Contracts/Agreements : The company inlicensed the US Rights for Tadalafil PAH Indication from Eli Lilly.</w:t>
        <w:br/>
        <w:br/>
        <w:t>Date : 2007</w:t>
        <w:br/>
        <w:br/>
        <w:t>Contracts/Agreements : In 2007, the company entered into a distributor agreement with Mochida Pharmaceutical Co., Ltd. (Mochida) to market subcutaneous and intravenous Remodulin in Japan.</w:t>
        <w:br/>
        <w:br/>
        <w:t>Date : 2003</w:t>
        <w:br/>
        <w:br/>
        <w:t>Contracts/Agreements : In May, the company entered into a distribution agreement with Caremark Inc for distributing Remodulin in the US.</w:t>
        <w:br/>
        <w:br/>
        <w:t>Date : 2000</w:t>
        <w:br/>
        <w:br/>
        <w:t>Acquisitions/Mergers/Takeovers : United Therapeutics acquired Medicomp, Inc. in December 2000.</w:t>
        <w:br/>
        <w:br/>
        <w:t>Date : 2000</w:t>
        <w:br/>
        <w:br/>
        <w:t>Contracts/Agreements : The company entered into an agreement with Toray Industries, Inc. to develop and market beraprost in the United States and Canada for the treatment of cardiovascular indications.</w:t>
        <w:br/>
        <w:br/>
        <w:t>Date : 2000</w:t>
        <w:br/>
        <w:br/>
        <w:t>Corporate Changes/Expansions : The company formed Northern Therapeutics, Inc. in Canada in December 2000.</w:t>
        <w:br/>
        <w:br/>
        <w:t>Date : 1996</w:t>
        <w:br/>
        <w:br/>
        <w:t>Incorporation/Establishment : In June, the company was incorporated.</w:t>
        <w:br/>
        <w:br/>
        <w:t>Note</w:t>
        <w:br/>
        <w:br/>
        <w:t>Note : GlobalData uses a range of research techniques to gather and verify its information and analysis. These include primary research, in-house knowledge and expertise, proprietary databases, and secondary sources such as company websites, annual reports, SEC filings and press releases. Disclaimer: No part of this publication may be reproduced, stored in a retrieval system or transmitted in any form by any means, electronic, mechanical, photocopying, recording or otherwise, without the prior permission of the publisher, GlobalData. The facts of this report are believed to be correct at the time of publication but cannot be guaranteed. Please note that the findings, conclusions and recommendations that GlobalData delivers will be based on information gathered in good faith from both primary and secondary sources, whose accuracy we are not always in a position to guarantee. As such GlobalData can accept no liability whatever for actions taken based on any information that may subsequently prove to be incorrect.</w:t>
      </w:r>
    </w:p>
    <w:p>
      <w:pPr>
        <w:pStyle w:val="Heading1"/>
      </w:pPr>
      <w:r>
        <w:t>End of Article 11</w:t>
      </w:r>
    </w:p>
    <w:p>
      <w:r>
        <w:br w:type="page"/>
      </w:r>
    </w:p>
    <w:p>
      <w:pPr>
        <w:pStyle w:val="Heading1"/>
      </w:pPr>
      <w:r>
        <w:t>Start of Article 12</w:t>
      </w:r>
    </w:p>
    <w:p>
      <w:pPr>
        <w:pStyle w:val="Heading1"/>
      </w:pPr>
      <w:r>
        <w:t>Document ID ATPHAM0020150115eb1e000eq</w:t>
      </w:r>
    </w:p>
    <w:p>
      <w:r>
        <w:t>EnteroMedics Inc. (NASDAQ: ETRM) today announced that the U.S. Food and Drug Administration (FDA) has approved VBLOC vagal blocking therapy, delivered via the Maestro System, for the treatment of adult patients with obesity who have a Body Mass Index (BMI) of at least 40 to 45 kg/m2, or a BMI of at least 35 to 39.9 kg/m2 with a related health condition such as high blood pressure or high cholesterol levels, and who have tried to lose weight in a supervised weight management program within the past five years. The Maestro System is the first new medical device to be approved by the FDA for obesity in over ten years. EnteroMedics anticipates that the device will be available, on a limited basis, at select Bariatric Centers of Excellence in the U.S. this year. The Maestro System has received CE Mark and is listed on the Australian Register of Therapeutic Goods.</w:t>
        <w:br/>
        <w:br/>
        <w:t>"VBLOC Therapy offers an entirely new approach to the treatment of obesity," said Scott Shikora, MD, FACS, EnteroMedics' Chief Consulting Medical Officer. "By blocking signals along the nerves that connect the brain and stomach, VBLOC to reduces feelings of hunger and promotes earlier feelings of fullness, which can help people with obesity reduce the number of calories consumed and promote safe, healthy and durable weight loss."</w:t>
        <w:br/>
        <w:br/>
        <w:t>The Maestro System is a pacemaker-like device that is implanted, usually in an outpatient procedure, to control both hunger and fullness by intermittently blocking the primary nerve which regulates the digestive system, the vagus nerve. VBLOC Therapy does not surgically alter or restrict the digestive system, does not create barriers to prevent absorption of nutrients and is completely reversible, allowing patients to lose weight without lifestyle compromises.</w:t>
        <w:br/>
        <w:br/>
        <w:t>"Obesity is a global epidemic with far-reaching cost and consequences to both public and personal health," said Caroline M. Apovian, MD, FACP, FACN, Professor of Medicine at Boston University School of Medicine, and Director, Nutrition and Weight Management at Boston Medical Center. "From diet and exercise to bypass surgery, existing treatment options have failed to stop the advance of this disease. The Maestro System adds a safe and effective new weapon to our armamentarium, offering the patient a treatment option that does not physically restrict or alter the anatomy, and is reversible."</w:t>
        <w:br/>
        <w:br/>
        <w:t>"The Obesity Action Coalition applauds the FDA and EnteroMedics for making available the first device for the treatment of obesity in more than a decade. There is no 'one-size-fits-all' approach to treating the disease of obesity. We believe strongly that expanded treatment options are essential to individuals affected by obesity, so that along with their healthcare provider, they can make an informed decision on which option, or options, may work best to improve their health," said Joe Nadglowski, Obesity Action Coalition President and CEO.</w:t>
        <w:br/>
        <w:br/>
        <w:t>"FDA approval of VBLOC Therapy is a transformational event for not only EnteroMedics and the many supporters who have helped us achieve this milestone but, more importantly, for the people with the diseases of obesity that have been waiting for a new option," said Mark B. Knudson, Ph.D., EnteroMedics' President and Chief Executive Officer. "The Maestro System fills a significant gap in the currently available treatment options, offering clinically meaningful weight loss without the fear or many of the side effects associated with existing bariatric options. We thank the many patients, and their families, who have participated in the clinical trials of VBLOC Therapy. We are also grateful to the physicians and healthcare providers who have worked with us on these clinical trials, our dedicated employees, as well as to the FDA for their efforts in making this technology available."</w:t>
        <w:br/>
        <w:br/>
        <w:t>Information about the Maestro System and VBLOC Therapy</w:t>
        <w:br/>
        <w:br/>
        <w:t>Approval of the Maestro Rechargeable System was based on the ReCharge Study, a randomized, double-blind, sham-controlled trial to evaluate the safety and effectiveness of the Maestro Rechargeable System in treating obesity. In an intention to treat (ITT) analysis of the study results, VBLOC-treated patients achieved 24.4% excess weight loss (EWL) at 12 months. At 18 months, VBLOC-treated patients maintained a 23.5% EWL. In a responder analysis of the ITT population at 12 months, over 50% of VBLOC-treated patients achieved 20% or greater EWL.</w:t>
        <w:br/>
        <w:br/>
        <w:t>The SAE (severe adverse event) rate, defined as the proportion of subjects in the VBLOC treated group who experienced an implant/revision procedure, device or therapy-related SAE through 12 months post-implant, was 3.7% (n=6; 95% CI: 1.4% to 7.9%) in the ITT population. The most common (&gt;10%) non-serious adverse events related to device, implant/revision procedure or therapy were pain at the neuroregulator site, and transient sensations of therapy such as heartburn/dyspepsia.</w:t>
        <w:br/>
        <w:br/>
        <w:t>VBLOC Therapy is contraindicated for use in patients with cirrhosis of the liver, portal hypertension, esophageal varices or an uncorrectable, clinically significant hiatal hernia; patients for whom magnetic resonance imaging (MRI) or diathermy use is planned; patients at high risk for surgical complications; and patients who have a permanently implanted, electrical-powered medical device or gastrointestinal device or prosthesis (e.g. pacemakers, implanted defibrillators, neurostimulators).</w:t>
        <w:br/>
        <w:br/>
        <w:t>If you are interested in learning more about VBLOC Therapy, please visit (www.enteromedics.com/vbloc or call 1-800-MY-VBLOC).</w:t>
        <w:br/>
        <w:br/>
        <w:t>For additional prescribing information, please visit (www.enteromedics.com)</w:t>
        <w:br/>
        <w:br/>
        <w:t>Obesity Facts and Figures</w:t>
        <w:br/>
        <w:br/>
        <w:t>According to the CDC, more than one-third of U.S. adults live with obesity1. The estimated annual cost of obesity in the U.S. was $147 billion in 2008, accounting for more than twice previous estimates, approximately 21 percent, of U.S. healthcare costs.,2,3. Higher BMI is a major risk factor for over 70 comorbidities associated with obesity, such as cardiovascular disease which was the leading cause of death in 2012, diabetes, hypertension, musculoskeletal disorders and some cancers4.</w:t>
        <w:br/>
        <w:br/>
        <w:t>Conference Call for Investors</w:t>
        <w:br/>
        <w:br/>
        <w:t>EnteroMedics will host a webcast and conference call for investors Apto discuss the recent FDA action today at 12:00 PM Eastern Time (9:00 AM Pacific Time). To participate, please dial (877) 280-7473 (US) or (707) 287-9370 (International). Use conference ID 67146231. To access a live audio webcast of the conference call, please visit "Events" under "Investors" section on the company's website at: (www.enteromedics.com).</w:t>
        <w:br/>
        <w:br/>
        <w:t>A replay of the call will be made available from 3:00 PM ET on January 15, 2015 until April 14, 2015 at 11:59 PM ET.To hear a replay of the call, dial (855) 859-2056 (US) or (404) 537-3406 (International). A replay of the call will also be available under "Events" in the "Investors" section on the company's website at: (www.enteromedics.com).</w:t>
        <w:br/>
        <w:br/>
        <w:t>Source: EnteroMedics Inc.</w:t>
      </w:r>
    </w:p>
    <w:p>
      <w:pPr>
        <w:pStyle w:val="Heading1"/>
      </w:pPr>
      <w:r>
        <w:t>End of Article 12</w:t>
      </w:r>
    </w:p>
    <w:p>
      <w:r>
        <w:br w:type="page"/>
      </w:r>
    </w:p>
    <w:p>
      <w:pPr>
        <w:pStyle w:val="Heading1"/>
      </w:pPr>
      <w:r>
        <w:t>Start of Article 13</w:t>
      </w:r>
    </w:p>
    <w:p>
      <w:pPr>
        <w:pStyle w:val="Heading1"/>
      </w:pPr>
      <w:r>
        <w:t>Document ID MTPW000020151207ebc7004ph</w:t>
      </w:r>
    </w:p>
    <w:p>
      <w:r>
        <w:t>“We believe GSK’s industry insights will help further shape the future of our industry,” said Kevin Julian, managing director in Accenture Accelerated R&amp;D Services, Life Sciences. “The Accenture Life Sciences Cloud for R&amp;D and Life Sciences Cloud Coalition are exciting initiatives that are bringing together like-minded leaders to collaborate for a stronger industry by creating significant R&amp;D efficiencies in non-competitive areas.”</w:t>
        <w:br/>
        <w:br/>
        <w:t>About Accenture</w:t>
        <w:br/>
        <w:br/>
        <w:t>Accenture is a leading global professional services company, providing a broad range of services and solutions in strategy, consulting, digital, technology and operations. Combining unmatched experience and specialized skills across more than 40 industries and all business functions - underpinned by the world’s largest delivery network - Accenture works at the intersection of business and technology to help clients improve their performance and create sustainable value for their stakeholders. With more than 358,000 people serving clients in more than 120 countries, Accenture drives innovation to improve the way the world works and lives. Its home page is www.accenture.com.</w:t>
        <w:br/>
        <w:br/>
        <w:t>Contacts:</w:t>
        <w:br/>
        <w:br/>
        <w:t>Cam Granstra</w:t>
        <w:br/>
        <w:br/>
        <w:t>Accenture</w:t>
        <w:br/>
        <w:br/>
        <w:t>+ 1 312 693 5992</w:t>
        <w:br/>
        <w:br/>
        <w:t>cameria.l.granstra@accenture.com</w:t>
        <w:br/>
        <w:br/>
        <w:t>Stefanie Schumann</w:t>
        <w:br/>
        <w:br/>
        <w:t>Accenture</w:t>
        <w:br/>
        <w:br/>
        <w:t>+ 1 312 693 1332</w:t>
        <w:br/>
        <w:br/>
        <w:t>stefanie.l.schumann@accenture.com</w:t>
        <w:br/>
        <w:br/>
        <w:t>((M2 Communications disclaims all liability for information provided within M2 PressWIRE. Data supplied by named party/parties. Further information on M2 PressWIRE can be obtained at http://www.m2.com on the world wide web. Inquiries to info@m2.com)).</w:t>
      </w:r>
    </w:p>
    <w:p>
      <w:pPr>
        <w:pStyle w:val="Heading1"/>
      </w:pPr>
      <w:r>
        <w:t>End of Article 13</w:t>
      </w:r>
    </w:p>
    <w:p>
      <w:r>
        <w:br w:type="page"/>
      </w:r>
    </w:p>
    <w:p>
      <w:pPr>
        <w:pStyle w:val="Heading1"/>
      </w:pPr>
      <w:r>
        <w:t>Start of Article 14</w:t>
      </w:r>
    </w:p>
    <w:p>
      <w:pPr>
        <w:pStyle w:val="Heading1"/>
      </w:pPr>
      <w:r>
        <w:t>Document ID DTMNTR0020150616eb6f0004l</w:t>
      </w:r>
    </w:p>
    <w:p>
      <w:r>
        <w:t>Spinal cord stimulators alleviate pain by stimulating the nerve fibers in the spinal cord to reduce pain signals. While primary cell (also referred to as non-rechargeable) devices are typically larger due to limitations in technology and battery size, the Precision Novi System represents a significant technology advance, with the smallest high-capacity battery on the market, allowing effective pain relief to be delivered from a much smaller device. The Precision Novi System is also the only primary cell device that couples with a wireless remote, empowering patients with flexibility and control over their pain management.</w:t>
        <w:br/>
        <w:br/>
        <w:t>Unlike any other primary cell system, the Precision Novi intuitive Illumina 3D neural targeting software incorporates three-dimensional lead location, as well as the conductivity of the spinal cord and surrounding tissue. This point-and-click technology automatically calculates the optimal programming configuration to target the selected pain area. Further, unique for primary cell devices, Precision Novi is a MultiWave Platform capable of delivering a variety of field shapes and waveforms with or without paresthesia, including burst and higher rate frequencies. The Precision Novi SCS System is not available in the US.</w:t>
        <w:br/>
        <w:br/>
        <w:t>"We are excited to expand upon our range of therapeutic solutions for patients suffering from chronic pain," said Maulik Nanavaty, president, Neuromodulation, Boston Scientific. "The Precision Novi System brings the power of our Illumina 3D Algorithm to the more than sixty percent of SCS patients in Europe who are treated with primary cell therapy."</w:t>
      </w:r>
    </w:p>
    <w:p>
      <w:pPr>
        <w:pStyle w:val="Heading1"/>
      </w:pPr>
      <w:r>
        <w:t>End of Article 14</w:t>
      </w:r>
    </w:p>
    <w:p>
      <w:r>
        <w:br w:type="page"/>
      </w:r>
    </w:p>
    <w:p>
      <w:pPr>
        <w:pStyle w:val="Heading1"/>
      </w:pPr>
      <w:r>
        <w:t>Start of Article 15</w:t>
      </w:r>
    </w:p>
    <w:p>
      <w:pPr>
        <w:pStyle w:val="Heading1"/>
      </w:pPr>
      <w:r>
        <w:t>Document ID DJDN000020150520eb5k00188</w:t>
      </w:r>
    </w:p>
    <w:p>
      <w:r>
        <w:t>7:15 EDT - Order trends continue to worsen at Emerson (EMR). In the manufacturer's monthly report with the SEC, it says total orders for February-April were down 15%, versus 10-15% for January-March and 10% for December-February. Hurting is "a global slowdown in capital spending, most notably in energy-related markets, and significant strength" in the dollar, which itself made up half the latest period's order decline. EMR 2 weeks ago said it would "further accelerate restructuring" amid "the rapid weakening of both orders and sales" in F2Q. The quarter's results were much worse than consensus and prompted EMR to cut forecasts. Shares, inactive premarket, have actually rebounded following a post-2Q selloff to trade up 1.8% for the month. (kevin.kingsbury@wsj.com; @kevinkingsbury)</w:t>
        <w:br/>
        <w:br/>
        <w:t>7:08 EDT - ScottsMiracle-Gro (SMG) has reached a deal to expand how it can sell Monsanto's (MON) Roundup herbicide. The lawn-and-garden firm, which has been able to offer consumer Roundup since 1999, will now be able to expand the line--including "the ability to introduce the brand into the lawn-service industry for the first time." There's also expanded geography in the new agreement, such as China and Latin America. "Only Japan and countries with US trade embargoes are excluded from the agreement." In addition, SMG will have the first right to buy the consumer Roundup business if MON decides to sell. SMG is paying MON $300M for the new deal, which CEO Jim Hagedorn says will give SMG "greater ability to control our own destiny." Both are inactive premarket.</w:t>
        <w:br/>
        <w:br/>
        <w:t>6:54 EDT - Staples' (SPLS) lower F1Q profit owes to a confluence of factors, including store shutdowns and an ongoing merger effort with rival Office Depot (ODP). Web sales might be hurting, too. Operating margins from its North American stores and online division fell to 3.2% from 3.5% a year earlier, partly due to "increased delivery expense as a percentage of sales" even as physical stores cut their labor costs. Thin margins at Staples.com, like bigger rival Amazon (AMZN), show growth online often comes at the expense of a retailer's bottom line. Shares remain inactive premarket. (andrew.fitzgerald@wsj.com; @drewfitzgerald)</w:t>
        <w:br/>
        <w:br/>
        <w:t>6:50 EDT - Yesterday's surprise ECB announcement it would frontload some bond-buying to avoid summer market-liquidity shortfalls has changed the ball game in Europe. Whereas a week or so ago markets were worried about an earlier withdrawal of ECB stimulus and had pushed eurozone bond yields sharply higher in response, now things are headed in the other direction and looking more like they did at the start of this year. The euro is falling, the dollar rallying and German bund yields have dropped sharply again. One question: what does this do to non-eurozone nations on the periphery of the monetary union? Some already have interest rates in negative territory, and now a new flood of euro liquidity will bring even-more unwanted upward currency pressure. The framework of a stealth currency war has been re-established. (michael.casey@wsj.com)</w:t>
        <w:br/>
        <w:br/>
        <w:t>6:37 EDT - A nice F2Q EPS beat for Hormel (HRL), though revenue rose less than expected as volume increased 5%. Refrigerated foods looks soft by comparison with the rest of the company, with volume down 1%. However, that segment's earnings popped 52%. Meanwhile, as acquisitions helped grocery and specialty foods, volume for both would have fallen at a mid-single-digit rate without them. Meanwhile, though Jennie-O turkey logged strong growth last quarter, that business should "be significantly challenged" due to supply-chain impacts from the bird-flu outbreak in the US. For now, HRL is sticking with its FY EPS view. Shares, inactive premarket, has rebounded 2.7% this month. (kevin.kingsbury@wsj.com; @kevinkingsbury)</w:t>
        <w:br/>
        <w:br/>
        <w:t>6:28 EDT - With yesterday's US housing data being unequivocally good for the dollar and Friday's BoJ meeting possibly hinting of further unconventional easing, Commerzbank says the greenback's next leg up versus the yen could be near. It recommends being long with a tight stop at Y119.50 and looks to take profit towards Y124. The dollar is currently at $120.88. (gary.stride@wsj.com)</w:t>
        <w:br/>
        <w:br/>
        <w:t>6:24 EDT - Chinese solar-panel maker Yingli Green's (YGE) 2014 report, filed late Friday with the late Friday, included a going-concern warning--sometimes just an accounting requirement but others a signal the future isn't looking good. Investors have gone with the latter, sending YGE tumbling 45% this week, including 37% yesterday to hit a record low. The company issues a statement regarding "media coverage of its ability as a going concern," saying some have "taken and interpreted [things] out of context." YGE is being "transparent...about the risks and challenges it faces," but that it's "optimistic about and confident in its ability to continue servicing the global solar market, and feel well-positioned with our quality products and access to capital." YGE, which is holding an 8:15 conference call, rises 2c premarket to 96c. (kevin.kingsbury@wsj.com; @kevinkingsbury)</w:t>
        <w:br/>
        <w:br/>
        <w:t>6:13 EDT - In-line F1Q EPS for Staples (SPLS), but revenue fell more than analysts anticipated amid a bigger-than-expected 5% drop in North America same-store sales thanks to weakness in hardware and accessories demand while traffic levels contracted 2%. The results help show that despite closures in the industry, there's still too many office-supply-specific stores. That's why SPLS and Office Depot (ODP)--which bought OfficeMax in late 2013--are looking to combined in efforts to further streamline efforts amid online and other brick-and-mortar competition. And it's why regulators are liable to let the marriage happen. SPLS, whose 2Q EPS view meets consensus estimates, is inactive premarket and down 9.4% this year. (kevin.kingsbury@wsj.com; @kevinkingsbury)</w:t>
        <w:br/>
        <w:br/>
        <w:t>6:07 EDT - Weaker-than-consensus F1Q sales growth at Lowe's (LOW), though at 5.3% in the US is hardly anything to sniff at. Nonetheless, that meant both overall sales and EPS didn't rise as much as analysts expected, either. The results, which follow a tiny 1Q beat from Home Depot (HD), show that Street expectations may have finally caught up with reality for the home-improvement giants. LOW, which reiterates, FY guidance, fell 1.7% yesterday amid HD's report to cut the month's rebound to 4.3%. (kevin.kingsbury@wsj.com; @kevinkingsbury)</w:t>
        <w:br/>
        <w:br/>
        <w:t>(END) Dow Jones Newswires</w:t>
        <w:br/>
        <w:br/>
        <w:t>May 20, 2015 07:17 ET (11:17 GMT)</w:t>
      </w:r>
    </w:p>
    <w:p>
      <w:pPr>
        <w:pStyle w:val="Heading1"/>
      </w:pPr>
      <w:r>
        <w:t>End of Article 15</w:t>
      </w:r>
    </w:p>
    <w:p>
      <w:r>
        <w:br w:type="page"/>
      </w:r>
    </w:p>
    <w:p>
      <w:pPr>
        <w:pStyle w:val="Heading1"/>
      </w:pPr>
      <w:r>
        <w:t>Start of Article 16</w:t>
      </w:r>
    </w:p>
    <w:p>
      <w:pPr>
        <w:pStyle w:val="Heading1"/>
      </w:pPr>
      <w:r>
        <w:t>Document ID CTRW000020150306eb39000ad</w:t>
      </w:r>
    </w:p>
    <w:p>
      <w:r>
        <w:t>Our news journalists obtained a quote from the research from University Hospital, "They show promising results toward a patient stratification according to the mechanisms underlying the pain, as reflected in their symptoms. Several promising new drugs produced negative study results in clinical phase III trials. However, retrospective analysis of treatment response based on baseline pain phenotyping could demonstrate positive results for certain subgroups of patients. Thus, a prospective classification of patients according to pain phenotype may play an increasingly important role in personalized treatment of neuropathic pain states."</w:t>
        <w:br/>
        <w:br/>
        <w:t>According to the news editors, the research concluded: "A recent prospective study using stratification based on pain-related sensory abnormalities confirmed the concept of personalized pharmacological treatment of neuropathic pain."</w:t>
        <w:br/>
        <w:br/>
        <w:t>For more information on this research see: Individualized Pharmacological Treatment of Neuropathic Pain. Clinical Pharmacology &amp; Therapeutics, 2015;97(2):135-142. Clinical Pharmacology &amp; Therapeutics can be contacted at: Wiley-Blackwell, 111 River St, Hoboken 07030-5774, NJ, USA. (Nature Publishing Group - www.nature.com/; Clinical Pharmacology &amp; Therapeutics - www.nature.com/clpt/)</w:t>
        <w:br/>
        <w:br/>
        <w:t>Our news journalists report that additional information may be obtained by contacting S.M. Helfert, University Hospital, Div Neurol Pain Res &amp; Therapy, Dept. of Neurol, Kiel, Germany. Additional authors for this research include M. Reimer, J. Hoeper and R. Baron.</w:t>
        <w:br/>
        <w:br/>
        <w:t>Keywords for this news article include: Kiel, Germany, Therapy, Pharmacology, Neuropathic Pain, Nervous System Diseases, Neurologic Manifestations</w:t>
        <w:br/>
        <w:br/>
        <w:t>Our reports deliver fact-based news of research and discoveries from around the world. Copyright 2015, NewsRx LLC</w:t>
      </w:r>
    </w:p>
    <w:p>
      <w:pPr>
        <w:pStyle w:val="Heading1"/>
      </w:pPr>
      <w:r>
        <w:t>End of Article 16</w:t>
      </w:r>
    </w:p>
    <w:p>
      <w:r>
        <w:br w:type="page"/>
      </w:r>
    </w:p>
    <w:p>
      <w:pPr>
        <w:pStyle w:val="Heading1"/>
      </w:pPr>
      <w:r>
        <w:t>Start of Article 17</w:t>
      </w:r>
    </w:p>
    <w:p>
      <w:pPr>
        <w:pStyle w:val="Heading1"/>
      </w:pPr>
      <w:r>
        <w:t>Document ID DRGW000020150619eb6q00057</w:t>
      </w:r>
    </w:p>
    <w:p>
      <w:r>
        <w:t>Our news editors obtained a quote from the research, "In this study, we evaluated the structure-activity relationships of 46 commercially available analogs of MMV665852 on newly transformed schistosomula (NTS) and adult Schistosoma mansoni worms in vitro. Active compounds were evaluated with a cytotoxicity assay, in silico calculations, metabolic stability studies, and an in vivo assay with mice harboring adult S. mansoni worms. Of the 46 compounds tested at 33.3 mu M, 13 and 14 compounds killed NTS and adult worms, respectively, within 72 h. Nine compounds had 90% inhibitory concentrations (IC(90)s) of &lt;= 10 mu M against adult worms, with selectivity indexes of &gt;= 2.8. Their physicochemical properties and permeation through an artificial membrane indicated good to moderate intestinal absorption. Their metabolic stabilities ranged from low to high. Despite satisfactory in vitro results and in silico predictions, only one compound resulted in a statistically significant worm burden reduction (66%) after administration of a single oral dose of 400 mg/kg of body weight to S. mansoni-infected mice. Worm burden reductions of 0 to 43% were observed for the remaining eight compounds tested."</w:t>
        <w:br/>
        <w:br/>
        <w:t>According to the news editors, the research concluded: "Several analogs of the N,N '-diarylurea MMV665852 had high efficacy against S. mansoni in vitro and favorable physicochemical properties for permeation through the intestinal wall. To counteract the low efficacy observed in the mouse model, further investigations should focus on identifying compounds with improved solubility and pharmacokinetic properties."</w:t>
        <w:br/>
        <w:br/>
        <w:t>For more information on this research see: Activities of N,N '-Diarylurea MMV665852 Analogs against Schistosoma mansoni. Antimicrobial Agents and Chemotherapy, 2015;59(4):1935-1941. Antimicrobial Agents and Chemotherapy can be contacted at: Amer Soc Microbiology, 1752 N St NW, Washington, DC 20036-2904, USA. (American Society for Microbiology - www.asm.org; Antimicrobial Agents and Chemotherapy - aac.asm.org)</w:t>
        <w:br/>
        <w:br/>
        <w:t>The news editors report that additional information may be obtained by contacting N. Cowan, MMV, Geneva, Switzerland. Additional authors for this research include P. Datwyler, B. Ernst, C.K. Wang, J.L. Vennerstrom, T. Spangenberg and J. Keiser.</w:t>
        <w:br/>
        <w:br/>
        <w:t>Keywords for this news article include: Geneva, Europe, Switzerland, Drugs and Therapies</w:t>
        <w:br/>
        <w:br/>
        <w:t>Our reports deliver fact-based news of research and discoveries from around the world. Copyright 2015, NewsRx LLC</w:t>
      </w:r>
    </w:p>
    <w:p>
      <w:pPr>
        <w:pStyle w:val="Heading1"/>
      </w:pPr>
      <w:r>
        <w:t>End of Article 17</w:t>
      </w:r>
    </w:p>
    <w:p>
      <w:r>
        <w:br w:type="page"/>
      </w:r>
    </w:p>
    <w:p>
      <w:pPr>
        <w:pStyle w:val="Heading1"/>
      </w:pPr>
      <w:r>
        <w:t>Start of Article 18</w:t>
      </w:r>
    </w:p>
    <w:p>
      <w:pPr>
        <w:pStyle w:val="Heading1"/>
      </w:pPr>
      <w:r>
        <w:t>Document ID HAMW000020150723eb7n000ai</w:t>
      </w:r>
    </w:p>
    <w:p>
      <w:r>
        <w:t>Upon completion of the acquisition of I.V.S., which is subject to the satisfaction of certain closing conditions, OphthaliX's portfolio of products in development will include two medical devices, Glance(TM), a desktop application, and vView(TM), wearable virtual reality goggles. These devices are based on breakthrough technologies that aim to diagnose, improve sight and offer therapy for a variety of ocular diseases and eye conditions including age related macular degeneration (AMD), glaucoma, diabetic retinopathy and oculo-motor pathologies.</w:t>
        <w:br/>
        <w:br/>
        <w:t>OphthaliX continues to develop its drug candidate, CF101, a novel first in class small molecule orally bioavailable drug for ophthalmic indications, glaucoma and uveitis.</w:t>
        <w:br/>
        <w:br/>
        <w:t>Keywords for this news article include: OpthaliX.</w:t>
        <w:br/>
        <w:br/>
        <w:t>Our reports deliver fact-based news of research and discoveries from around the world. Copyright 2015, NewsRx LLC</w:t>
      </w:r>
    </w:p>
    <w:p>
      <w:pPr>
        <w:pStyle w:val="Heading1"/>
      </w:pPr>
      <w:r>
        <w:t>End of Article 18</w:t>
      </w:r>
    </w:p>
    <w:p>
      <w:r>
        <w:br w:type="page"/>
      </w:r>
    </w:p>
    <w:p>
      <w:pPr>
        <w:pStyle w:val="Heading1"/>
      </w:pPr>
      <w:r>
        <w:t>Start of Article 19</w:t>
      </w:r>
    </w:p>
    <w:p>
      <w:pPr>
        <w:pStyle w:val="Heading1"/>
      </w:pPr>
      <w:r>
        <w:t>Document ID BSFLVO0020151030ebau0005m</w:t>
      </w:r>
    </w:p>
    <w:p>
      <w:r>
        <w:t>Amgen (NASDAQ: AMGN) wants to make the treatment available to patients in the United States within a week, according to the release.</w:t>
        <w:br/>
        <w:br/>
        <w:t>IMLYGIC is a "big deal," said Brown Cancer Center deputy director Dr. Jason Chesney, because it's "the first time that a virus has been approved for the treatment of cancer."</w:t>
        <w:br/>
        <w:br/>
        <w:t>Louisville Business First reported on Chesney's immunotherapy work as part of its  "Cutting Edge Cancer Care" package earlier this month.</w:t>
        <w:br/>
        <w:br/>
        <w:t>The Amgen therapy involves injecting a melanoma tumor with an "oncolytic virus" — in this case, a version of the herpes virus that has been engineered to activate the body's immune system to attack cancer cells while not causing the patient to contract the virus.</w:t>
        <w:br/>
        <w:br/>
        <w:t>The IMLYGIC oncolytic virus "causes the tumor to rupture and die," releasing antigens that may help trigger the body's immune system to fight future tumors, according to the Amgen news release.</w:t>
        <w:br/>
        <w:br/>
        <w:t>The virus treatment was tested in Louisville and other locations as part of a study by Amgen, a California-based biotechnology company that owns a distribution facility in Louisville at 12000 Plantside Drive. The study enrolled 436 patients as part of the company's application for FDA approval, said Amgen director of corporate affairs Kelley Davenport.</w:t>
        <w:br/>
        <w:br/>
        <w:t>Chesney said he has seen patients respond to IMLYGIC whose cancer still progressed when treated with other, already FDA-approved drugs.</w:t>
        <w:br/>
        <w:br/>
        <w:t>That's why he thinks the new approval "means that lives will be saved," he said. And the treatment could be used for other cancer types. Another study is being planned for metastases from breast, lung, kidney, colon and other cancers.</w:t>
        <w:br/>
        <w:br/>
        <w:t>Immunotherapy drugs are expected to lead to $20 billion to $40 billion in annual U.S. sales by 2020, according to a Barron's story, citing analysts.</w:t>
        <w:br/>
        <w:br/>
        <w:t>But the new drug offering isn't expected to do much for Amgen's overall earnings. According to Forbes, citing biotech analyst Eric Schmidt of Cowen &amp; Co., the drug may bring in a high of only about $200 million a year in sales. The company posts about $20 billion in annual sales, according to Forbes.</w:t>
        <w:br/>
        <w:br/>
        <w:t>But it is an important step in cancer care, Dr. Sean E. Harper, executive vice president of research and development at Amgen, said in the release.</w:t>
        <w:br/>
        <w:br/>
        <w:t>"Not all melanoma patients currently benefit from available therapies, and IMLYGIC represents an important new option that can provide meaningful durable responses for patients with this aggressive and complex disease," he said.</w:t>
        <w:br/>
        <w:br/>
        <w:t>And while lots of biotech companies have been working on similar treatments, Amgen is the first to market it, Forbes reported. Amgen entered the oncolytic virus arena in 2011, when it spent a total of $1 billion to buy IMLYGIC's inventor, Biovex Inc., which now manufactures the therapy, according to the Forbes story.</w:t>
        <w:br/>
        <w:br/>
        <w:t>Did you find this article useful? Why not subscribe to Louisville Business First for more articles and leads? Visit bizjournals.com/subscribe or call 1-866-853-3661.</w:t>
      </w:r>
    </w:p>
    <w:p>
      <w:pPr>
        <w:pStyle w:val="Heading1"/>
      </w:pPr>
      <w:r>
        <w:t>End of Article 19</w:t>
      </w:r>
    </w:p>
    <w:p>
      <w:r>
        <w:br w:type="page"/>
      </w:r>
    </w:p>
    <w:p>
      <w:pPr>
        <w:pStyle w:val="Heading1"/>
      </w:pPr>
      <w:r>
        <w:t>Start of Article 20</w:t>
      </w:r>
    </w:p>
    <w:p>
      <w:pPr>
        <w:pStyle w:val="Heading1"/>
      </w:pPr>
      <w:r>
        <w:t>Document ID MTPW000020150330eb3u0066b</w:t>
      </w:r>
    </w:p>
    <w:p>
      <w:r>
        <w:t>“We are excited to be able to offer this new option for our patients, as the CoreValve system has demonstrated exceptional clinical results in studies globally as well as in Japan,” said Yoshiki Sawa, M.D., professor in the Department of Cardiovascular Surgery at Osaka University Graduate School of Medicine in Osaka, Japan. “Physicians in Japan should have confidence in making TAVI treatment decisions for patients who may benefit from a less invasive valve replacement procedure with this proven self-expandable valve.”</w:t>
        <w:br/>
        <w:br/>
        <w:t>Data from the Extreme and High Risk Studies in the CoreValve U.S. Pivotal Trial demonstrated that the CoreValve System is safe and effective with high rates of survival and some of the lowest rates of stroke and valve leakage reported. The CoreValve System, with a supra-annular valve design, has also achieved hemodynamics, or blood flow, post-implant with results similar to the gold standard, surgical valves.</w:t>
        <w:br/>
        <w:br/>
        <w:t>The Medtronic CoreValve Japan Trial confirmed the performance of CoreValve shown in the U.S. Pivotal Trial. At 6 months, 91.7 percent of the transfemoral (TAVI procedure through the femoral artery) patients in the Japan trial met the primary endpoint of improvement of at least one New York Heart Association class (measures severity of heart failure symptoms) and aortic valve area (measures the severity of aortic stenosis) greater than 1.2 cm2. For all patients in the trial, freedom from all-cause mortality at 6 months was 90.8 percent. The trial also demonstrated functional and anatomical effectiveness of CoreValve.</w:t>
        <w:br/>
        <w:br/>
        <w:t>The CoreValve self-expanding nitinol frame enables physicians to deliver the device to the diseased valve in a controlled manner, allowing for accurate placement. Valves are delivered via the smallest (18Fr, or approximately 1/4 inch) TAVR delivery system available, making it possible to treat patients with difficult or small vasculature.</w:t>
        <w:br/>
        <w:br/>
        <w:t>“Medtronic has been committed to bringing this life-saving therapy to patients in Japan. The feedback from heart teams around the world using CoreValve has been overwhelmingly positive and we are confident that Japanese physicians will embrace the therapy,” said Rhonda Robb, vice president and general manager of the Heart Valve Therapies business, which is part of the Cardiac and Vascular Group at Medtronic. “We look forward to working with Japan’s Ministry of Health, Labor and Welfare to gain reimbursement for CoreValve, and to initiating comprehensive training and education programs to support heart teams so that more patients may benefit from this break-through technology.”</w:t>
        <w:br/>
        <w:br/>
        <w:t>Since receiving CE (Conformite Europeenne) Mark in 2007, the CoreValve System has been implanted in more than 75,000 patients in more than 60 countries. The CoreValve System was approved by the FDA for patients at extreme risk in January 2014, and approved for high risk patients in June 2014. The next-generation recapturable CoreValve Evolut R transcatheter valve and the CoreValve EnVeo R Delivery Catheter System are available in Europe and other countries that recognize the CE mark.</w:t>
        <w:br/>
        <w:br/>
        <w:t>In collaboration with leading clinicians, researchers and scientists worldwide, Medtronic offers the broadest range of innovative medical technology for the interventional and surgical treatment of cardiovascular disease and cardiac arrhythmias. The company strives to offer products and services that deliver clinical and economic value to healthcare consumers and providers around the world.</w:t>
        <w:br/>
        <w:br/>
        <w:t>About Medtronic</w:t>
        <w:br/>
        <w:br/>
        <w:t>Medtronic plc (www.medtronic.com), headquartered in Dublin, Ireland, is the global leader in medical technology - alleviating pain, restoring health and extending life for millions of people around the world.</w:t>
        <w:br/>
        <w:br/>
        <w:t>Any forward-looking statements are subject to risks and uncertainties such as those described in Medtronic’s periodic reports on file with the Securities and Exchange Commission. Actual results may differ materially from anticipated results.</w:t>
        <w:br/>
        <w:br/>
        <w:t>Contacts:</w:t>
        <w:br/>
        <w:br/>
        <w:t>Joey Lomicky</w:t>
        <w:br/>
        <w:br/>
        <w:t>Public Relations</w:t>
        <w:br/>
        <w:br/>
        <w:t>+1-763-526-2494</w:t>
        <w:br/>
        <w:br/>
        <w:t>Jeff Warren</w:t>
        <w:br/>
        <w:br/>
        <w:t>Investor Relations</w:t>
        <w:br/>
        <w:br/>
        <w:t>+1-763-505-2696</w:t>
        <w:br/>
        <w:br/>
        <w:t>((M2 Communications disclaims all liability for information provided within M2 PressWIRE. Data supplied by named party/parties. Further information on M2 PressWIRE can be obtained at http://www.m2.com on the world wide web. Inquiries to info@m2.com)).</w:t>
      </w:r>
    </w:p>
    <w:p>
      <w:pPr>
        <w:pStyle w:val="Heading1"/>
      </w:pPr>
      <w:r>
        <w:t>End of Article 20</w:t>
      </w:r>
    </w:p>
    <w:p>
      <w:r>
        <w:br w:type="page"/>
      </w:r>
    </w:p>
    <w:p>
      <w:pPr>
        <w:pStyle w:val="Heading1"/>
      </w:pPr>
      <w:r>
        <w:t>Start of Article 21</w:t>
      </w:r>
    </w:p>
    <w:p>
      <w:pPr>
        <w:pStyle w:val="Heading1"/>
      </w:pPr>
      <w:r>
        <w:t>Document ID MTEU000020150107eb17000gr</w:t>
      </w:r>
    </w:p>
    <w:p>
      <w:r>
        <w:t>As of October 2014, Diovan (Valsartan) tablets had annual sales of approximately USD1.8bn in the US, according to IMS data.</w:t>
        <w:br/>
        <w:br/>
        <w:t>((Comments on this story may be sent to info@m2.com))</w:t>
      </w:r>
    </w:p>
    <w:p>
      <w:pPr>
        <w:pStyle w:val="Heading1"/>
      </w:pPr>
      <w:r>
        <w:t>End of Article 21</w:t>
      </w:r>
    </w:p>
    <w:p>
      <w:r>
        <w:br w:type="page"/>
      </w:r>
    </w:p>
    <w:p>
      <w:pPr>
        <w:pStyle w:val="Heading1"/>
      </w:pPr>
      <w:r>
        <w:t>Start of Article 22</w:t>
      </w:r>
    </w:p>
    <w:p>
      <w:pPr>
        <w:pStyle w:val="Heading1"/>
      </w:pPr>
      <w:r>
        <w:t>Document ID CHEMEC0020151225ebcp000sm</w:t>
      </w:r>
    </w:p>
    <w:p>
      <w:r>
        <w:t>News editors obtained the following quote from the background information supplied by the inventors: "Apixaban, chemically known as 1-(4-methoxyphenyl)-7-oxo-6-[4-(2-oxopiperidin-1-yl) phenyl]-4,5,6,7-tetrahydro-1H-pyrazolo[3,4-c]pyridine-3-carboxamide is represented by the structural formula,</w:t>
        <w:br/>
        <w:br/>
        <w:t>"##STR00001##</w:t>
        <w:br/>
        <w:br/>
        <w:t>"Apixaban belongs to a group of medicines called anticoagulants. Apixaban is commercially available as Eliquis.RTM. in the form of pharmaceutical preparations. Eliquis.RTM. is a factor Xa inhibitor anticoagulant indicated to reduce the risk of stroke and systemic embolism in patients with nonvalvular atrial fibrillation.</w:t>
        <w:br/>
        <w:br/>
        <w:t>"U.S. Pat. No. 6,967,208 discloses apixaban and the process for its preparation which utilizes flash chromatography for product isolation.</w:t>
        <w:br/>
        <w:br/>
        <w:t>"U.S. Pat. No. 6,919,451 discloses process for preparation of 1-(4-methoxy-phenyl)-7-oxo-6-[4-(2-oxo-piperidin-1-yl)-phenyl]-4,5, 6,7-tetrahydro-1H-pyrazolo [3,4-c]pyridine-3-carboxylic acid ethyl ester by flash column chromatography.</w:t>
        <w:br/>
        <w:br/>
        <w:t>"These prior art processes are not suitable for large scale productions because they require laborious chromatographic purification with subsequent low product yields.</w:t>
        <w:br/>
        <w:br/>
        <w:t>"Presently, we have developed a cost effective, industrially feasible process for the preparation and purification of apixaban which is less time consuming."</w:t>
        <w:br/>
        <w:br/>
        <w:t>As a supplement to the background information on this patent application, VerticalNews correspondents also obtained the inventors' summary information for this patent application: "In one embodiment, the present invention provides a process for the preparation of a compound of formula I,</w:t>
        <w:br/>
        <w:br/>
        <w:t>"##STR00002##</w:t>
        <w:br/>
        <w:br/>
        <w:t>"comprising: a) deprotecting a compound of formula IX, wherein R is selected from the group consisting of phenyl, optionally substituted phenyl, benzyl, optionally substituted benzyl, allyl, trityl, silyl or C(O)R1, wherein R1 is H, loweralkyl; and</w:t>
        <w:br/>
        <w:br/>
        <w:t>"##STR00003##</w:t>
        <w:br/>
        <w:br/>
        <w:t>"b) methylating the compound of formula X to obtain apixaban, a compound of formula I.</w:t>
        <w:br/>
        <w:br/>
        <w:t>"In one embodiment, the present invention provides a process for the preparation of apixaban, a compound of formula I, comprising:</w:t>
        <w:br/>
        <w:br/>
        <w:t>"##STR00004##</w:t>
        <w:br/>
        <w:br/>
        <w:t>"isolating apixaban from a mixture of water and an organic solvent selected from the group consisting of alcohols, ethers, amides, esters, nitriles, sulfoxides, ketones, hydrocarbons, acetates and halogenated hydrocarbons.</w:t>
        <w:br/>
        <w:br/>
        <w:t>"In one embodiment, the present invention provides a process for the purification of apixaban, a compound of formula I, comprising treating crude apixaban with a base.</w:t>
        <w:br/>
        <w:br/>
        <w:t>"In one embodiment, the present invention provides use Of a compound selected from the following:</w:t>
        <w:br/>
        <w:br/>
        <w:t>"##STR00005##</w:t>
        <w:br/>
        <w:br/>
        <w:t>"in the preparation of apixaban.</w:t>
        <w:br/>
        <w:br/>
        <w:t>"In one embodiment, the present invention provides a compound selected from the following:</w:t>
        <w:br/>
        <w:br/>
        <w:t>"##STR00006## BRIEF DESCRIPTION OF THE ACCOMPANYING FIGURES</w:t>
        <w:br/>
        <w:br/>
        <w:t>"FIG. 1: PXRD pattern of apixaban, which is substantially in accordance with example III.</w:t>
        <w:br/>
        <w:br/>
        <w:t>"FIG. 2: DSC pattern of apixaban, which is substantially in accordance with example III.</w:t>
        <w:br/>
        <w:br/>
        <w:t>"FIG. 3: TGA of apixaban, which is substantially in accordance with example III."</w:t>
        <w:br/>
        <w:br/>
        <w:t>For additional information on this patent application, see: BHIRUD, Shekhar Bhaskar; MISHRA, Sushanta; Narayanan, Suresh Babu; NAYKODI, Sachin Bhagwan; NAIK, Samir; SRIVASTAVA, Sachin; PATIL, Pramod Vitthal. Process for the Preparation and Purification of Apixaban. Filed January 15, 2014 and posted December 17, 2015. Patent URL: http://appft.uspto.gov/netacgi/nph-Parser?Sect1=PTO2&amp;Sect2=HITOFF&amp;u=%2Fnetahtml%2FPTO%2Fsearch-adv.html&amp;r=5616&amp;p=113&amp;f=G&amp;l=50&amp;d=PG01&amp;S1=20151210.PD.&amp;OS=PD/20151210&amp;RS=PD/20151210</w:t>
        <w:br/>
        <w:br/>
        <w:t>Keywords for this news article include: Glenmark Pharmaceuticals Limited.</w:t>
        <w:br/>
        <w:br/>
        <w:t>Our reports deliver fact-based news of research and discoveries from around the world. Copyright 2016, NewsRx LLC</w:t>
      </w:r>
    </w:p>
    <w:p>
      <w:pPr>
        <w:pStyle w:val="Heading1"/>
      </w:pPr>
      <w:r>
        <w:t>End of Article 22</w:t>
      </w:r>
    </w:p>
    <w:p>
      <w:r>
        <w:br w:type="page"/>
      </w:r>
    </w:p>
    <w:p>
      <w:pPr>
        <w:pStyle w:val="Heading1"/>
      </w:pPr>
      <w:r>
        <w:t>Start of Article 23</w:t>
      </w:r>
    </w:p>
    <w:p>
      <w:pPr>
        <w:pStyle w:val="Heading1"/>
      </w:pPr>
      <w:r>
        <w:t>Document ID DRGW000020150529eb650005a</w:t>
      </w:r>
    </w:p>
    <w:p>
      <w:r>
        <w:t>Chronic viral hepatitis is the leading cause of liver failure, liver transplantation and hepatocellular carcinoma. The U.S. Centers for Disease Control and Prevention (CDC) estimates that more than three million people in the U.S., and 170 million individuals worldwide, are infected with HCV. Since 2011, the U.S. Food and Drug Administration (FDA) has approved six new drug applications for HCV treatment that include one or more direct acting antiviral (DAA) agents. DAA-based regimens have dramatically improved HCV cure rates compared to interferon-based treatment regimens, which have been standard of care for over two decades.</w:t>
        <w:br/>
        <w:br/>
        <w:t>Although DAA treatment is highly successful, DAA treatment can fail if a patient is infected with certain HCV variants that are drug resistant. LabCorp's HCV drug resistance assays provide clinicians with actionable knowledge that can guide treatment decisions. The HCV NS5B Drug Resistance Assay assesses resistance to sofosbuvir, which was approved as a single DAA in 2013 and as a co-formulation with the NS5A inhibitor, ledipasvir, in 2014. The HCV NS5A Drug Resistance Assay assesses resistance to ledipasvir. In addition, LabCorp's portfolio of HCV resistance assays can assess resistance to each component of the latest FDA-approved DAA-based regimen, which is comprised of paritaprevir, ombitasvir and dasabuvir.</w:t>
        <w:br/>
        <w:br/>
        <w:t>LabCorp's HCV DAA resistance assays are the first to be developed using state of the art next generation sequencing (NGS) technology, which features improved discrimination of small populations of drug resistant virus. The complete portfolio of LabCorp HCV drug resistance assays is also available through Monogram and for customers of Covance Drug Development to support pre-clinical development and clinical evaluation of new HCV DAA candidates.</w:t>
        <w:br/>
        <w:br/>
        <w:t>Keywords for this news article include: Hepatitis, Liver Diseases, Gastroenterology, Infectious Disease, Viral Drug Resistance, Digestive System Diseases, Microbial Drug Resistance, Virus Physiological Phenomena, Laboratory Corporation of America Holdings, Laboratory Corporation of America(R) Holdings.</w:t>
        <w:br/>
        <w:br/>
        <w:t>Our reports deliver fact-based news of research and discoveries from around the world. Copyright 2015, NewsRx LLC</w:t>
      </w:r>
    </w:p>
    <w:p>
      <w:pPr>
        <w:pStyle w:val="Heading1"/>
      </w:pPr>
      <w:r>
        <w:t>End of Article 23</w:t>
      </w:r>
    </w:p>
    <w:p>
      <w:r>
        <w:br w:type="page"/>
      </w:r>
    </w:p>
    <w:p>
      <w:pPr>
        <w:pStyle w:val="Heading1"/>
      </w:pPr>
      <w:r>
        <w:t>Start of Article 24</w:t>
      </w:r>
    </w:p>
    <w:p>
      <w:pPr>
        <w:pStyle w:val="Heading1"/>
      </w:pPr>
      <w:r>
        <w:t>Document ID ATPHAB0020151019ebaj00036</w:t>
      </w:r>
    </w:p>
    <w:p>
      <w:r>
        <w:t>Each partner will bring its respective world-leading expertise and technologies to the GHVCI and, collectively, the parties will collaborate with a wide range of other vaccine development organizations. Funding for the establishment, operation and growth of the GHVCI will come from Sanofi and the Gates Foundation, and additional funding will be sought to support collaborative research activities with respect to specific vaccines to be developed at the GHVCI.</w:t>
        <w:br/>
        <w:br/>
        <w:t>This distinctive collaboration leverages the potential power of the partners' collective expertise, combining IDRI's vaccine design, formulation and production technologies; Sanofi's position as a leading multi-national vaccine developer, manufacturer and seller; and the Gates Foundation's knowledge, influence and financial support regarding the discovery and development of global health interventions, including vaccines. A key component is the application of IDRI's vaccine adjuvant technologies and formulation expertise, which have been developed over the past few years with strong financial support from the Gates Foundation. These adjuvant technologies are uniquely designed to improve immune responses, broaden vaccine protection and significantly save costs by reducing the amount of vaccine needed.</w:t>
        <w:br/>
        <w:br/>
        <w:t>According to the World Health Organisation, vaccines have greatly reduced the burden of infectious diseases, including death tolls, disability and inequity, making "formerly fearsome" diseases a rarity in many parts of the world.</w:t>
        <w:br/>
        <w:br/>
        <w:t>"History has shown us that vaccines are one of the best ways to improve public health, but in today's world, we are faced with a newly emerging infectious diseases, as well as age-old threats, that either have no vaccines or vaccines that are not effective," said Steven G. Reed, Ph.D., founder, president and chief scientific officer for IDRI.</w:t>
        <w:br/>
        <w:br/>
        <w:t>"Combining that with the speed with which infectious diseases can travel the world, we need a new model for vaccine development, one that enables us to rapidly produce vaccines at a lower cost. The blend of the Gates Foundation's knowledge of global health and Sanofi's depth of vaccine development expertise is a perfect match for IDRI's unique technologies and research and development engine, allowing us to take a new approach to vaccine development."</w:t>
        <w:br/>
        <w:br/>
        <w:t>A Joint Steering Committee, comprised of representatives from each of the three partners, will mutually identify areas of research to discover, evaluate and develop novel human vaccines, as well as adjuvant/formulation platforms for the rapid response to emerging pathogens, that can prevent or treat infectious diseases.</w:t>
        <w:br/>
        <w:br/>
        <w:t>Initial funding will be used to establish and operate the GHVCI, build capacity as the collaboration grows, and provide management and scientific recruitment as well as training.</w:t>
        <w:br/>
        <w:br/>
        <w:t>"We are excited to be involved in this novel partnership and proud of the confidence shown in IDRI's technology and our science team's expertise by these two powerhouses, Sanofi and the Gates Foundation," said Erik Iverson, IDRI's president, business and operations.</w:t>
        <w:br/>
        <w:br/>
        <w:t>"IDRI has a proven history of developing global health products that have a positive impact. This alliance will significantly accelerate the development of a wide range of vaccines and other health interventions that will save the lives of millions of people globally."</w:t>
      </w:r>
    </w:p>
    <w:p>
      <w:pPr>
        <w:pStyle w:val="Heading1"/>
      </w:pPr>
      <w:r>
        <w:t>End of Article 24</w:t>
      </w:r>
    </w:p>
    <w:p>
      <w:r>
        <w:br w:type="page"/>
      </w:r>
    </w:p>
    <w:p>
      <w:pPr>
        <w:pStyle w:val="Heading1"/>
      </w:pPr>
      <w:r>
        <w:t>Start of Article 25</w:t>
      </w:r>
    </w:p>
    <w:p>
      <w:pPr>
        <w:pStyle w:val="Heading1"/>
      </w:pPr>
      <w:r>
        <w:t>Document ID DJDN000020150702eb72001pv</w:t>
      </w:r>
    </w:p>
    <w:p>
      <w:r>
        <w:t>PR Newswire</w:t>
        <w:br/>
        <w:br/>
        <w:t>WASHINGTON, July 2, 2015</w:t>
        <w:br/>
        <w:br/>
        <w:t>WASHINGTON, July 2, 2015 /PRNewswire/ -- Vanda Pharmaceuticals Inc. (Vanda) (NASDAQ: VNDA) today announced that a HETLIOZ(R) patent, number 9,060,995 ('995 patent), is now listed in the U.S. Food and Drug Administration publication Approved Drug Products With Therapeutic Equivalence Evaluations, commonly known as the Orange Book. The '995 patent was issued by the United States Patent and Trademark Office on June 23rd, 2015 and expires in January 2033. Prior to this newly listed '995 patent, the HETLIOZ(R) Orange Book listed patents were the U.S. composition of matter '529 patent and the '492 patent, expected to expire in December 2022 (assuming receipt of the five year patent term extension under the Hatch-Waxman Act) and January 2033, respectively.</w:t>
        <w:br/>
        <w:br/>
        <w:t>About Vanda Pharmaceuticals Inc.</w:t>
        <w:br/>
        <w:br/>
        <w:t>Vanda Pharmaceuticals Inc. is a biopharmaceutical company focused on the development and commercialization of products for the treatment of central nervous system disorders. For more on Vanda, please visit www.vandapharma.com.</w:t>
        <w:br/>
        <w:br/>
        <w:t>CAUTIONARY NOTE REGARDING FORWARD LOOKING STATEMENTS</w:t>
        <w:br/>
        <w:br/>
        <w:t>Various statements in this release are "forward-looking statements" under the securities laws. Forward-looking statements are based upon current expectations that involve risks, changes in circumstances, assumptions and uncertainties. Important factors that could cause actual results to differ materially from those reflected in Vanda's forward-looking statements include, among others, Vanda's assumptions regarding the life of the HETLIOZ(R) patents and other factors that are described in the "Risk Factors" and "Management's Discussion and Analysis of Financial Condition and Results of Operations" sections of Vanda's annual report on Form 10-K for the fiscal year ended December 31, 2014 and quarterly report on Form 10-Q for the quarter ended March 31, 2015, which are on file with the SEC and available on the SEC's website at www.sec.gov. In addition to the risks described above and in Vanda's annual report on Form 10-K and quarterly reports on Form 10-Q, other unknown or unpredictable factors also could affect Vanda's results. There can be no assurance that the actual results or developments anticipated by Vanda will be realized or, even if substantially realized, that they will have the expected consequences to, or effects on, Vanda. Therefore, no assurance can be given that the outcomes stated in such forward-looking statements and estimates will be achieved.</w:t>
        <w:br/>
        <w:br/>
        <w:t>Corporate Contact:</w:t>
        <w:br/>
        <w:br/>
        <w:t>Jim Kelly</w:t>
        <w:br/>
        <w:br/>
        <w:t>Senior Vice President and Chief Financial Officer</w:t>
        <w:br/>
        <w:br/>
        <w:t>Vanda Pharmaceuticals Inc.</w:t>
        <w:br/>
        <w:br/>
        <w:t>(202) 734-3428</w:t>
        <w:br/>
        <w:br/>
        <w:t>jim.kelly@vandapharma.com</w:t>
        <w:br/>
        <w:br/>
        <w:t>Media Contact:</w:t>
        <w:br/>
        <w:br/>
        <w:t>Laney Landsman</w:t>
        <w:br/>
        <w:br/>
        <w:t>Vice President</w:t>
        <w:br/>
        <w:br/>
        <w:t>Makovsky</w:t>
        <w:br/>
        <w:br/>
        <w:t>(212) 508-9643</w:t>
        <w:br/>
        <w:br/>
        <w:t>llandsman@makovsky.com</w:t>
        <w:br/>
        <w:br/>
        <w:t>To view the original version on PR Newswire, visit:http://www.prnewswire.com/news-releases/vanda-announces-listing-of-a-new-hetlioz-patent-in-the-fda-orange-book-300108112.html</w:t>
        <w:br/>
        <w:br/>
        <w:t>SOURCE Vanda Pharmaceuticals Inc.</w:t>
        <w:br/>
        <w:br/>
        <w:t>/Web site: http://www.vandapharma.com</w:t>
        <w:br/>
        <w:br/>
        <w:t>(END) Dow Jones Newswires</w:t>
        <w:br/>
        <w:br/>
        <w:t>July 02, 2015 09:00 ET (13:00 GMT)</w:t>
      </w:r>
    </w:p>
    <w:p>
      <w:pPr>
        <w:pStyle w:val="Heading1"/>
      </w:pPr>
      <w:r>
        <w:t>End of Article 25</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3B78816B-D41E-4F76-8EFD-E755F8FAEA93}"/>
</file>

<file path=customXml/itemProps3.xml><?xml version="1.0" encoding="utf-8"?>
<ds:datastoreItem xmlns:ds="http://schemas.openxmlformats.org/officeDocument/2006/customXml" ds:itemID="{4E0579AB-B36E-45AC-A4D9-47278269C60D}"/>
</file>

<file path=customXml/itemProps4.xml><?xml version="1.0" encoding="utf-8"?>
<ds:datastoreItem xmlns:ds="http://schemas.openxmlformats.org/officeDocument/2006/customXml" ds:itemID="{5C23D517-F83F-48D4-84ED-818427AE9505}"/>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ies>
</file>