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4FF899FA" wp14:textId="77777777">
      <w:pPr>
        <w:pStyle w:val="Heading1"/>
      </w:pPr>
      <w:r>
        <w:t>Document ID PZON000020151124ebbo0000y</w:t>
      </w:r>
    </w:p>
    <w:p xmlns:wp14="http://schemas.microsoft.com/office/word/2010/wordml" w14:paraId="77D549E4" wp14:textId="77777777">
      <w:r>
        <w:t>A live and archived webcast of the Piper presentation will be available on the Presentations page of the company's website at http://recropharma.com.</w:t>
      </w:r>
      <w:r>
        <w:br/>
      </w:r>
      <w:r>
        <w:br/>
      </w:r>
      <w:r>
        <w:t>About Recro Pharma, Inc.</w:t>
      </w:r>
      <w:r>
        <w:br/>
      </w:r>
      <w:r>
        <w:br/>
      </w:r>
      <w:r>
        <w:t>Recro Pharma is a revenue generating specialty pharmaceutical company developing multiple non-opioid therapeutics for the treatment of pain. Recro Pharma is currently developing IV/IM meloxicam, a proprietary, long-acting preferential COX-2 inhibitor for treatment of acute post-operative pain, and Dex-IN, a proprietary intranasal formulation of dexmedetomidine, for the treatment of peri-procedural pain. Both compounds have successfully completed Phase II clinical trials. As Recro Pharma's product candidates are not in the opioid class of drugs, the Company believes its candidates would avoid many of the side effects associated with commonly prescribed opioid therapeutics, such as addiction, constipation and respiratory distress, while maintaining analgesic effect.</w:t>
      </w:r>
      <w:r>
        <w:br/>
      </w:r>
      <w:r>
        <w:br/>
      </w:r>
      <w:r>
        <w:t>Recro Pharma also owns and operates an 87,000 square foot, DEA-licensed facility that manufactures five commercial products and receives royalties associated with the sales of these products.</w:t>
      </w:r>
      <w:r>
        <w:br/>
      </w:r>
      <w:r>
        <w:br/>
      </w:r>
      <w:r>
        <w:t>Cautionary Statement Regarding Forward Looking Statements</w:t>
      </w:r>
      <w:r>
        <w:br/>
      </w:r>
      <w:r>
        <w:br/>
      </w:r>
      <w:r>
        <w:t>This press release contains forward-looking statements that involve risks and uncertainties. Such forward looking statements reflect Recro Pharma's expectations about its future performance and opportunities that involve substantial risks and uncertainties. When used herein, the words "anticipate," "believe," "estimate," "upcoming," "plan," "target", "intend" and "expect" and similar expressions, as they relate to Recro Pharma or its management, are intended to identify such forward-looking statements. These forward-looking statements are based on information available to Recro Pharma as of the date of this press release and are subject to a number of risks, uncertainties, and other factors that could cause Recro Pharma's performance to differ materially from those expressed in, or implied by, these forward looking statements. Recro Pharma assumes no obligation to update any such forward-looking statements. Factors that could cause Recro Pharma's actual performance to materially differ from those expressed in the forward-looking statements set forth in this press release include, without limitation: results and timing of the clinical trials of IV/IM meloxicam and Dex-IN; the ability to obtain and maintain regulatory approval of IV/IM meloxicam and Dex-IN, and the labeling under any such approval; regulatory developments in the United States and foreign countries; the Company's ability to raise future financing for continued development; the Company's ability to pay its debt; the performance of third-party suppliers and manufacturers; the Company's ability to obtain, maintain and successfully enforce adequate patent and other intellectual property protection; the successful commercialization of IV/IM meloxicam and Dex-IN; In addition, the forward looking statements in this press release should be considered together with the risks and uncertainties that may affect Recro Pharma's business and future results included in Recro Pharma's filings with the Securities and Exchange Commission at www.sec.gov. Recro Pharma assumes no obligation to update any such forward looking statements.</w:t>
      </w:r>
      <w:r>
        <w:br/>
      </w:r>
      <w:r>
        <w:br/>
      </w:r>
      <w:r>
        <w:br/>
      </w:r>
      <w:r>
        <w:t xml:space="preserve">CONTACT: Media and Investors: </w:t>
      </w:r>
      <w:r>
        <w:br/>
      </w:r>
      <w:r>
        <w:t xml:space="preserve">         Argot Partners </w:t>
      </w:r>
      <w:r>
        <w:br/>
      </w:r>
      <w:r>
        <w:t xml:space="preserve">         Susan Kim </w:t>
      </w:r>
      <w:r>
        <w:br/>
      </w:r>
      <w:r>
        <w:t xml:space="preserve">         (212) 600-1902 </w:t>
      </w:r>
      <w:r>
        <w:br/>
      </w:r>
      <w:r>
        <w:t xml:space="preserve">         susan@argotpartners.com </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4CBC64BD" wp14:textId="77777777">
      <w:pPr>
        <w:pStyle w:val="Heading1"/>
      </w:pPr>
      <w:r>
        <w:t>Document ID RTTNEW0020151027ebar001ur</w:t>
      </w:r>
    </w:p>
    <w:p xmlns:wp14="http://schemas.microsoft.com/office/word/2010/wordml" w14:paraId="7E4617CF" wp14:textId="77777777">
      <w:r>
        <w:t>BDSI closed Monday's trading at $5.72, up 8.33%.</w:t>
      </w:r>
      <w:r>
        <w:br/>
      </w:r>
      <w:r>
        <w:br/>
      </w:r>
      <w:r>
        <w:t>Merck's (MRK) approved cancer drug KEYTRUDA has shown superior overall survival compared to chemotherapy in patients with previously treated advanced non-small cell lung cancer whose tumors express PD-L1 in a pivotal phase 2/3 trial.</w:t>
      </w:r>
      <w:r>
        <w:br/>
      </w:r>
      <w:r>
        <w:br/>
      </w:r>
      <w:r>
        <w:t>In the trial, dubbed KEYNOTE-010, two doses of KEYTRUDA - the FDA-approved 2mg/kg dose and a higher, investigational 10mg/kg dose, each given every 3 weeks - were compared to Docetaxel, a commonly used chemotherapy. A topline analysis revealed that treatment with both the doses of KEYTRUDA was associated with longer overall survival compared with Docetaxel treatment.</w:t>
      </w:r>
      <w:r>
        <w:br/>
      </w:r>
      <w:r>
        <w:br/>
      </w:r>
      <w:r>
        <w:t>KEYTRUDA is approved by the FDA for the treatment of metastatic melanoma and metastatic non-small cell lung cancer. These indications are approved under accelerated approval based on tumor response rate and durability of response.</w:t>
      </w:r>
      <w:r>
        <w:br/>
      </w:r>
      <w:r>
        <w:br/>
      </w:r>
      <w:r>
        <w:t>The label for KEYTRUDA currently says that an improvement in survival or disease-related symptoms has not yet been established, and the continued approval for these indications may be contingent upon verification and description of clinical benefit in the confirmatory trials.</w:t>
      </w:r>
      <w:r>
        <w:br/>
      </w:r>
      <w:r>
        <w:br/>
      </w:r>
      <w:r>
        <w:t>Merck is planning regulatory submissions in the U.S. in late 2015 and in the European Union in early 2016.</w:t>
      </w:r>
      <w:r>
        <w:br/>
      </w:r>
      <w:r>
        <w:br/>
      </w:r>
      <w:r>
        <w:t>MRK closed Monday's trading at $52.91, up 0.06%.</w:t>
      </w:r>
      <w:r>
        <w:br/>
      </w:r>
      <w:r>
        <w:br/>
      </w:r>
      <w:r>
        <w:t>Ophthotech Corp. (OPHT) has completed patient recruitment for its second phase III trial of its investigational drug Fovista in combination with Roche's blockbuster Lucentis for the treatment of wet age-related macular degeneration. Patient recruitment in the first phase III trial of Fovista in combination with Lucentis was completed in May of this year.</w:t>
      </w:r>
      <w:r>
        <w:br/>
      </w:r>
      <w:r>
        <w:br/>
      </w:r>
      <w:r>
        <w:t>The company expects to announce initial, topline data from both phase III trials of Fovista in combination with Lucentis in the fourth quarter of 2016.</w:t>
      </w:r>
      <w:r>
        <w:br/>
      </w:r>
      <w:r>
        <w:br/>
      </w:r>
      <w:r>
        <w:t>A third phase III trial, which is investigating Fovista in combination with either Eylea or Avastin, continues to enroll patients with recruitment on track, according to the company.</w:t>
      </w:r>
      <w:r>
        <w:br/>
      </w:r>
      <w:r>
        <w:br/>
      </w:r>
      <w:r>
        <w:t>OPHT closed Monday's trading at $46.82, up 0.54%.</w:t>
      </w:r>
      <w:r>
        <w:br/>
      </w:r>
      <w:r>
        <w:br/>
      </w:r>
      <w:r>
        <w:t>Recro Pharma Inc. (REPH) is scheduled to initiate a pivotal Phase III clinical development program with IV Meloxicam, a long-acting, preferential COX-2 inhibitor, for the treatment of moderate to severe acute post operative pain in the first quarter of 2016.</w:t>
      </w:r>
      <w:r>
        <w:br/>
      </w:r>
      <w:r>
        <w:br/>
      </w:r>
      <w:r>
        <w:t>Recro acquired IV/IM Meloxicam from Alkermes in April 2015.</w:t>
      </w:r>
      <w:r>
        <w:br/>
      </w:r>
      <w:r>
        <w:br/>
      </w:r>
      <w:r>
        <w:t>REPH closed Monday's trading at $10.82, down 4.16%.</w:t>
      </w:r>
      <w:r>
        <w:br/>
      </w:r>
      <w:r>
        <w:br/>
      </w:r>
      <w:r>
        <w:t>RedHill Biopharma Ltd.'s (RDHL) phase I study with YELIVA in patients with advanced solid cancers has successfully met its primary and secondary endpoints.</w:t>
      </w:r>
      <w:r>
        <w:br/>
      </w:r>
      <w:r>
        <w:br/>
      </w:r>
      <w:r>
        <w:t>A phase I/II clinical study evaluating YELIVA in patients with refractory/relapsed diffuse large B-cell lymphoma (DLBCL), primarily in patients with HIV-related DLBCL is underway. A phase I/II study with YELIVA for the treatment of refractory or relapsed multiple myeloma is planned to be initiated by early 2016.</w:t>
      </w:r>
      <w:r>
        <w:br/>
      </w:r>
      <w:r>
        <w:br/>
      </w:r>
      <w:r>
        <w:t>RDHL closed Monday's trading at $12.54, up 0.56%.</w:t>
      </w:r>
      <w:r>
        <w:br/>
      </w:r>
      <w:r>
        <w:br/>
      </w:r>
      <w:r>
        <w:t>TriVascular Technologies Inc. (TRIV) is all set to be acquired by Endologix Inc. (ELGX) for $9.10 per share or a total of approximately $211 million, in a stock and cash transaction.</w:t>
      </w:r>
      <w:r>
        <w:br/>
      </w:r>
      <w:r>
        <w:br/>
      </w:r>
      <w:r>
        <w:t>Upon completion of the merger, Endologix stockholders will own roughly 84% of the shares of the combined company on a fully diluted basis and TriVascular stockholders will own approximately 16%. The transaction is expected to close in January of 2016, subject to customary closing conditions.</w:t>
      </w:r>
      <w:r>
        <w:br/>
      </w:r>
      <w:r>
        <w:br/>
      </w:r>
      <w:r>
        <w:t>TRIV closed Monday's trading at $5.04, down 1.75%. In after hours, the stock was up 54.76% at $7.80.</w:t>
      </w:r>
      <w:r>
        <w:br/>
      </w:r>
      <w:r>
        <w:br/>
      </w:r>
      <w:r>
        <w:t>For comments and feedback: contact editorial@rttnews.com</w:t>
      </w:r>
      <w:r>
        <w:br/>
      </w:r>
      <w:r>
        <w:br/>
      </w:r>
      <w:r>
        <w:t>Copyright(c) 2015 RTTNews.com. All Rights Reserved</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54170C12" wp14:textId="77777777">
      <w:pPr>
        <w:pStyle w:val="Heading1"/>
      </w:pPr>
      <w:r>
        <w:t>Document ID CTRW000020150529eb6100017</w:t>
      </w:r>
    </w:p>
    <w:p xmlns:wp14="http://schemas.microsoft.com/office/word/2010/wordml" w14:paraId="2BF02571" wp14:textId="77777777">
      <w:r>
        <w:t>Our news journalists obtained a quote from the research from the University of Southampton, "To gain more detailed insights into this hypothesis, we performed a systematic literature review. Literature about occurrence of TCR was systematically identified through searching in Cochrane Central Register of Controlled Trials (CENTRAL), PubMed (MEDLINE), EMBASE (Ovid SP), and the Institute for Scientific Information (ISI Web of Sciences) databases until June 2013, as well as reference lists of articles for risk calculation. In this study, TCR was defined as drop in mean arterial blood pressure and heart rate, both &gt;20% to baseline. We calculated intraoperative cerebral state index (CSI) of each TCR-case using a newly developed method. These data were further divided into 3 subgroups: CSI &lt;40 (deep anesthesia), CSI 40-60 (regular anesthesia), and CSI &gt;60 (slight anesthesia). Including 45 studies with 910 patients, 140 (15%) presented with TCR, and 770 (85%) without TCR during operation. TCR occurrence showed a 1.2-fold higher pooled risk slighter anesthesia (CSI &lt;40: 13%, at CSI 40-60: 21%, and at CSI &gt;60: 27%) compared with deeper anesthesia. In addition, we could discover a 1.3-fold higher pooled risk of higher MABP drop with a strong negative correlation (r = -0.935; r(2) = 0.89) and a 4.5-fold higher pooled risk of asystole during TCR under slight anesthesia compared with deeper anesthesia. Our work is the first systematic review about TCR and demonstrates clear evidence for TCR occurrence and a more severe course of the TCR in slight anesthesia underlying the importance of skills in anesthesia management during skull base surgery."</w:t>
      </w:r>
      <w:r>
        <w:br/>
      </w:r>
      <w:r>
        <w:br/>
      </w:r>
      <w:r>
        <w:t>According to the news editors, the research concluded: "Furthermore, we have introduced a new standard method to calculate the depth of anesthesia."</w:t>
      </w:r>
      <w:r>
        <w:br/>
      </w:r>
      <w:r>
        <w:br/>
      </w:r>
      <w:r>
        <w:t>For more information on this research see: Anesthetic Influence on Occurrence and Treatment of the Trigemino-Cardiac Reflex A Systematic Literature Review. Medicine, 2015;94(18):46-53. Medicine can be contacted at: Lippincott Williams &amp; Wilkins, Two Commerce Sq, 2001 Market St, Philadelphia, PA 19103, USA. (Elsevier - www.elsevier.com; Medicine - www.elsevier.com/wps/product/cws_home/709606)</w:t>
      </w:r>
      <w:r>
        <w:br/>
      </w:r>
      <w:r>
        <w:br/>
      </w:r>
      <w:r>
        <w:t>Our news journalists report that additional information may be obtained by contacting C. Meuwly, University of Southampton, Dept. of Res, Southampton, Hants, United Kingdom. Additional authors for this research include T. Chowdhury, N. Sandu, M. Reck, P. Erne and B. Schaller.</w:t>
      </w:r>
      <w:r>
        <w:br/>
      </w:r>
      <w:r>
        <w:br/>
      </w:r>
      <w:r>
        <w:t>Keywords for this news article include: Europe, Anesthesia, Cardiology, Southampton, Pain Medicine, United Kingdom</w:t>
      </w:r>
      <w:r>
        <w:br/>
      </w:r>
      <w:r>
        <w:br/>
      </w:r>
      <w:r>
        <w:t>Our reports deliver fact-based news of research and discoveries from around the world. Copyright 2015, NewsRx LLC</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5E695BAF" wp14:textId="77777777">
      <w:pPr>
        <w:pStyle w:val="Heading1"/>
      </w:pPr>
      <w:r>
        <w:t>Document ID DJDN000020151104ebb400426</w:t>
      </w:r>
    </w:p>
    <w:p xmlns:wp14="http://schemas.microsoft.com/office/word/2010/wordml" w14:paraId="737385B9" wp14:textId="77777777">
      <w:r>
        <w:t>Inogen's CEO, Ray Huggenberger and CFO, Alison Bauerlein are scheduled to present on Wednesday, November 18, 2015 at 9:30am ET. Interested parties can access the live webcast and accompanying slides of this event from the Events section of the Investor Relations page on the Inogen website at www.inogen.com. A webcast replay will be available approximately one hour after the conclusion of the live presentation and will remain available for 90 days.</w:t>
      </w:r>
      <w:r>
        <w:br/>
      </w:r>
      <w:r>
        <w:br/>
      </w:r>
      <w:r>
        <w:t>Inogen has used, and intends to continue to use, its Investor Relations website, http://investor.inogen.com/, as a means of disclosing material non-public information and for complying with its disclosure obligations under the Securities and Exchange Commission's Regulation FD. For more information, including a copy of our most recent Corporate Presentation, visit http://investor.inogen.com/.</w:t>
      </w:r>
      <w:r>
        <w:br/>
      </w:r>
      <w:r>
        <w:br/>
      </w:r>
      <w:r>
        <w:t>About Inogen</w:t>
      </w:r>
      <w:r>
        <w:br/>
      </w:r>
      <w:r>
        <w:br/>
      </w:r>
      <w:r>
        <w:t>Inogen is innovation in oxygen therapy. We are a medical technology company that develops, manufactures and markets innovative oxygen concentrators used to deliver supplemental long-term oxygen therapy to patients suffering from chronic respiratory conditions.</w:t>
      </w:r>
      <w:r>
        <w:br/>
      </w:r>
      <w:r>
        <w:br/>
      </w:r>
      <w:r>
        <w:t xml:space="preserve">For more information, please visit www.inogen.com. </w:t>
      </w:r>
      <w:r>
        <w:br/>
      </w:r>
      <w:r>
        <w:br/>
      </w:r>
      <w:r>
        <w:br/>
      </w:r>
      <w:r>
        <w:t xml:space="preserve">CONTACT: Investor Relations Contact: </w:t>
      </w:r>
      <w:r>
        <w:br/>
      </w:r>
      <w:r>
        <w:t xml:space="preserve">         ir@inogen.net </w:t>
      </w:r>
      <w:r>
        <w:br/>
      </w:r>
      <w:r>
        <w:t xml:space="preserve">         805-562-0500 ext 7 </w:t>
      </w:r>
      <w:r>
        <w:br/>
      </w:r>
      <w:r>
        <w:t xml:space="preserve"> </w:t>
      </w:r>
      <w:r>
        <w:br/>
      </w:r>
      <w:r>
        <w:t xml:space="preserve">         Media Contact: </w:t>
      </w:r>
      <w:r>
        <w:br/>
      </w:r>
      <w:r>
        <w:t xml:space="preserve">         Byron Myers </w:t>
      </w:r>
      <w:r>
        <w:br/>
      </w:r>
      <w:r>
        <w:t xml:space="preserve">         805-562-0503 </w:t>
      </w:r>
      <w:r>
        <w:br/>
      </w:r>
      <w:r>
        <w:br/>
      </w:r>
      <w:r>
        <w:t>(END) Dow Jones Newswires</w:t>
      </w:r>
      <w:r>
        <w:br/>
      </w:r>
      <w:r>
        <w:br/>
      </w:r>
      <w:r>
        <w:t>November 04, 2015 16:32 ET (21:32 GMT)</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05AF992F" wp14:textId="77777777">
      <w:pPr>
        <w:pStyle w:val="Heading1"/>
      </w:pPr>
      <w:r>
        <w:t>Document ID KRTDR00020150715eb7f0005l</w:t>
      </w:r>
    </w:p>
    <w:p xmlns:wp14="http://schemas.microsoft.com/office/word/2010/wordml" w14:paraId="2FADA96B" wp14:textId="77777777">
      <w:r>
        <w:t>Learning modules will concentrate on study skills, chemistry problems and mathematical calculations, as well as focused topics such as chemical bonding, balancing equations, and acid/base concepts.</w:t>
      </w:r>
      <w:r>
        <w:br/>
      </w:r>
      <w:r>
        <w:br/>
      </w:r>
      <w:r>
        <w:t>Students will be introduced to a lab setting where they will become familiar with fundamental experiments and safety practices. The coursework will be enhanced by an interactive field trip to Merck &amp; Co., Inc.'s plant in northern Durham County.</w:t>
      </w:r>
      <w:r>
        <w:br/>
      </w:r>
      <w:r>
        <w:br/>
      </w:r>
      <w:r>
        <w:t>Students can earn book scholarships upon successful completion of the boot camp.</w:t>
      </w:r>
      <w:r>
        <w:br/>
      </w:r>
      <w:r>
        <w:br/>
      </w:r>
      <w:r>
        <w:t>"The support of the Merck Foundation enables us to strengthen the STEM education pipeline and to expand career opportunities for women and minorities in our community," Durham Tech president Bill Ingram said. "This grant will provide academic support for participants and encourage them to pursue STEM-related pathways leading to career opportunities."</w:t>
      </w:r>
      <w:r>
        <w:br/>
      </w:r>
      <w:r>
        <w:br/>
      </w:r>
      <w:r>
        <w:t>John Howell, Merck's Durham site leader, said a good education is needed to have a successful career.</w:t>
      </w:r>
      <w:r>
        <w:br/>
      </w:r>
      <w:r>
        <w:br/>
      </w:r>
      <w:r>
        <w:t>"That's why we are committed to investing our time, expertise, and resources to help develop and maintain vibrant, sustainable and local communities," Howell said.</w:t>
      </w:r>
      <w:r>
        <w:br/>
      </w:r>
      <w:r>
        <w:br/>
      </w:r>
      <w:r>
        <w:t>The Merck Foundation is a United States-based private charitable foundation established in 1957 by Merck, &amp; Co., Inc., one of the world's leading research-driven health care companies. It is funded entirely by Merck and is the company's chief source of funding support for qualified non-profit charitable organizations.</w:t>
      </w:r>
      <w:r>
        <w:br/>
      </w:r>
      <w:r>
        <w:br/>
      </w:r>
      <w:r>
        <w:t>Since its inception, the Merck Foundation has contributed more than $829 million to support initiatives that address important societal needs in a manner consistent with the company's overall mission to help the world be well.</w:t>
      </w:r>
      <w:r>
        <w:br/>
      </w:r>
      <w:r>
        <w:br/>
      </w:r>
      <w:r>
        <w:t>Merck's vaccine plant in Treyburn Corporate Park, also known as the Maurice R. Hilleman Center for Vaccine Manufacturing, produces vaccines for common childhood illnesses such as chicken pox, measles, mumps, and rubella.</w:t>
      </w:r>
      <w:r>
        <w:br/>
      </w:r>
      <w:r>
        <w:br/>
      </w:r>
      <w:r>
        <w:t>The facility produces more than two-thirds of Merck's annual live virus vaccine stock, which amounts to more than 25 million doses per year.</w:t>
      </w:r>
      <w:r>
        <w:br/>
      </w:r>
      <w:r>
        <w:br/>
      </w:r>
      <w:r>
        <w:t>-----</w:t>
      </w:r>
      <w:r>
        <w:br/>
      </w:r>
      <w:r>
        <w:br/>
      </w:r>
      <w:r>
        <w:t>___</w:t>
      </w:r>
      <w:r>
        <w:br/>
      </w:r>
      <w:r>
        <w:br/>
      </w:r>
      <w:r>
        <w:t>(c)2015 The Herald-Sun (Durham, N.C.)</w:t>
      </w:r>
      <w:r>
        <w:br/>
      </w:r>
      <w:r>
        <w:br/>
      </w:r>
      <w:r>
        <w:t>Visit The Herald-Sun (Durham, N.C.) at www.heraldsun.com</w:t>
      </w:r>
      <w:r>
        <w:br/>
      </w:r>
      <w:r>
        <w:br/>
      </w:r>
      <w:r>
        <w:t>Distributed by Tribune Content Agency, LLC.</w:t>
      </w:r>
      <w:r>
        <w:br/>
      </w:r>
      <w:r>
        <w:br/>
      </w:r>
      <w:r>
        <w:t>Copyright (c) 2015, The Herald-Sun, Durham, N.C.</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37A698C4" wp14:textId="77777777">
      <w:pPr>
        <w:pStyle w:val="Heading1"/>
      </w:pPr>
      <w:r>
        <w:t>Document ID CTRW000020150619eb6m000g9</w:t>
      </w:r>
    </w:p>
    <w:p xmlns:wp14="http://schemas.microsoft.com/office/word/2010/wordml" w14:paraId="503EDA0C" wp14:textId="77777777">
      <w:r>
        <w:t>The news reporters obtained a quote from the research from Weill Cornell Medical College, "We developed an image-processing algorithm for the detection and quantification of lung comets. Quantification measures included comet number (comet count) and the fraction of the ultrasound beams with comet findings (comet fraction). We used this algorithm in a pilot study in 20 stable dialysis outpatients to identify associations between ultrasound comets and clinical parameters including blood pressure (BP), percent blood volume reduction on dialysis (%BV), ejection fraction (EF), and ultrafiltration on dialysis (UF). Positive findings included associations with lung comet measurements with pre-dialysis Diastolic BP (r = 0.534, p = 0.015), subject age (r = -0.446, p = 0.049), and a combination of EF and end dialysis %BV reduction (r = -0.585, p = 0.028). Comet fraction and comet count were closely correlated due to the inherent relationship between these two metrics (r = 0.973, p&lt; 0.001). Negative findings included ultrasound comets that did not change from beginning to end of dialysis (p = 0.756), and were not significantly correlated with single dialysis treatment UF (p = 0.522), subject body weight (p = 0.208), or BMI (p = 0.358). Ultrasound signal processing methods may help quantify lung ultrasound comets."</w:t>
      </w:r>
      <w:r>
        <w:br/>
      </w:r>
      <w:r>
        <w:br/>
      </w:r>
      <w:r>
        <w:t>According to the news reporters, the research concluded: "Additional findings include algorithmic lung comet measurement that did not change significantly during single dialysis sessions in these stable outpatients, but were associated with cardiovascular and fluid status parameters."</w:t>
      </w:r>
      <w:r>
        <w:br/>
      </w:r>
      <w:r>
        <w:br/>
      </w:r>
      <w:r>
        <w:t>For more information on this research see: Quantitative Lung Ultrasound Comet Measurement: Method and Initial Clinical Results. Blood Purification, 2015;39(1-3):37-44. Blood Purification can be contacted at: Karger, Allschwilerstrasse 10, Ch-4009 Basel, Switzerland. (Karger - www.karger.com/; Blood Purification -</w:t>
      </w:r>
      <w:r>
        <w:br/>
      </w:r>
      <w:r>
        <w:br/>
      </w:r>
      <w:r>
        <w:t>content.karger.com/ProdukteDB/produkte.asp?Aktion=JournalHome&amp;ProduktNr=223997)</w:t>
      </w:r>
      <w:r>
        <w:br/>
      </w:r>
      <w:r>
        <w:br/>
      </w:r>
      <w:r>
        <w:t>Our news correspondents report that additional information may be obtained by contacting W.F. Weitzel, Weill Cornell Med College, Dept. of Radiol, New York, NY, United States. Additional authors for this research include J. Hamilton, X.L. Wang, J.L. Bull, A. Vollmer, A. Bowman, J. Rubin, G.H. Kruger, J. Gao, M. Heung and P. Rao.</w:t>
      </w:r>
      <w:r>
        <w:br/>
      </w:r>
      <w:r>
        <w:br/>
      </w:r>
      <w:r>
        <w:t>Keywords for this news article include: New York City, United States, Clinical Trial Research, North and Central America</w:t>
      </w:r>
      <w:r>
        <w:br/>
      </w:r>
      <w:r>
        <w:br/>
      </w:r>
      <w:r>
        <w:t>Our reports deliver fact-based news of research and discoveries from around the world. Copyright 2015, NewsRx LLC</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0762264F" wp14:textId="77777777">
      <w:pPr>
        <w:pStyle w:val="Heading1"/>
      </w:pPr>
      <w:r>
        <w:t>Document ID MHWK000020150612eb6f0001v</w:t>
      </w:r>
    </w:p>
    <w:p xmlns:wp14="http://schemas.microsoft.com/office/word/2010/wordml" w14:paraId="73016807" wp14:textId="77777777">
      <w:r>
        <w:t>"Guanfacine extended-release tablets join Teva's current generic line of seven ADHD products," commented Brendan O'Grady, President and CEO, North America Generic Medicines. "We recognize the need to make affordable generic treatment options available to patients with ADHD."</w:t>
      </w:r>
      <w:r>
        <w:br/>
      </w:r>
      <w:r>
        <w:br/>
      </w:r>
      <w: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r>
      <w:r>
        <w:br/>
      </w:r>
      <w:r>
        <w:br/>
      </w:r>
      <w: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r>
      <w:r>
        <w:br/>
      </w:r>
      <w:r>
        <w:br/>
      </w:r>
      <w:r>
        <w:t>Most common adverse reactions (= 5% and at least twice placebo rate) in clinical trials: somnolence, fatigue, hypotension, nausea, lethargy, abdominal pain, insomnia, dizziness, dry mouth, irritability, vomiting, and bradycardia.</w:t>
      </w:r>
      <w:r>
        <w:br/>
      </w:r>
      <w:r>
        <w:br/>
      </w:r>
      <w:r>
        <w:t>Keywords for this news article include: Teva Pharmaceutical Industries Ltd, Guanfacine, Guanidines, Pediatrics, Phenylacetates.</w:t>
      </w:r>
      <w:r>
        <w:br/>
      </w:r>
      <w:r>
        <w:br/>
      </w:r>
      <w:r>
        <w:t>Our reports deliver fact-based news of research and discoveries from around the world. Copyright 2015, NewsRx LLC</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1B8FD422" wp14:textId="77777777">
      <w:pPr>
        <w:pStyle w:val="Heading1"/>
      </w:pPr>
      <w:r>
        <w:t>Document ID ATPHAM0020150206eb24000eq</w:t>
      </w:r>
    </w:p>
    <w:p xmlns:wp14="http://schemas.microsoft.com/office/word/2010/wordml" w14:paraId="5AE2B8E7" wp14:textId="77777777">
      <w:r>
        <w:t>One of the new PCORI Funding Announcements (PFAs) offers up to $50 million for up to four comparative clinical effectiveness studies on the best ways to diagnose and treat hepatitis C virus (HCV) infection. The other five announcements issued under PCORI's National Priorities for Research provide up to $88 million for a broad range of research projects, with a pool of $12 million of that total set aside for studies that focus on rare disease.</w:t>
      </w:r>
      <w:r>
        <w:br/>
      </w:r>
      <w:r>
        <w:br/>
      </w:r>
      <w:r>
        <w:t>The HCV announcement is a product of a research prioritization process that included a large multi-stakeholder workshop that PCORI held in October 2014; PCORI's Board of Governors later approved the topic for development into a PFA. The announcement addresses four specific research questions addressing critical issues involving HCV screening and treatment options.</w:t>
      </w:r>
      <w:r>
        <w:br/>
      </w:r>
      <w:r>
        <w:br/>
      </w:r>
      <w:r>
        <w:t>HCV is a major chronic condition that affects more than 3 million people in the U.S., the majority of whom are undiagnosed. About one-third of these individuals will develop chronic liver disease-including liver cancer-if left untreated.</w:t>
      </w:r>
      <w:r>
        <w:br/>
      </w:r>
      <w:r>
        <w:br/>
      </w:r>
      <w:r>
        <w:t>"Hepatitis C is a substantial health threat that can have devastating consequences for infected people and their families," said PCORI Executive Director Joe Selby, MD, MPH. "Recently approved medications are very promising and appear to be vast improvements over previous therapies, but as yet there's no 'real-world' evidence of their long-term effectiveness or comparative evidence on a number of critical research questions that should be answered to help patients and those who care for them make better-informed decisions."</w:t>
      </w:r>
      <w:r>
        <w:br/>
      </w:r>
      <w:r>
        <w:br/>
      </w:r>
      <w:r>
        <w:t>Rare disease research is called out as a particular area of interest in four of the five broad funding announcements issued today (the PFA seeking proposals for methods studies is excluded). PCORI is earmarking $12 million for studies that focus on rare diseases, which are defined as life-threatening and chronically debilitating conditions that affect fewer than 200,000 people, or fewer than one in 1,500, in the United States.</w:t>
      </w:r>
      <w:r>
        <w:br/>
      </w:r>
      <w:r>
        <w:br/>
      </w:r>
      <w:r>
        <w:t>PCORI's authorizing legislation calls for the institute to address rare diseases as part of its research agenda. Rare diseases also are the focus of about half of the Patient-Powered Research Networks that are part of PCORnet, PCORI's national patient-centered health data initiative designed to allow the nation to conduct clinical research faster and more efficiently.</w:t>
      </w:r>
      <w:r>
        <w:br/>
      </w:r>
      <w:r>
        <w:br/>
      </w:r>
      <w:r>
        <w:t>"We recognize the special challenges and efforts needed to study rare diseases effectively, so we've added a call for rare disease-focused projects across our broad funding announcements," Selby said. "We're hoping to solicit studies that can gather the amounts of data needed to conduct comparative effectiveness research studies and produce useful information about how to better care for people with these conditions."</w:t>
      </w:r>
      <w:r>
        <w:br/>
      </w:r>
      <w:r>
        <w:br/>
      </w:r>
      <w:r>
        <w:t>Applicants can also learn about PCORI's application process through informational "town hall" webinars that are designed to help them meet all criteria for each funding announcement.</w:t>
      </w:r>
      <w:r>
        <w:br/>
      </w:r>
      <w:r>
        <w:br/>
      </w:r>
      <w:r>
        <w:t>Letters of Intent (LOIs) for the Clinical Management of Hepatitis C Infection and five broad PFAs, including rare disease research proposals, are due by 5 p.m. ET Friday, March 6, 2015. LOIs are required and will be reviewed for responsiveness and fit with program goals. Those invited to submit full applications will be notified Monday, March 23; applications will be due Tuesday, May 5.</w:t>
      </w:r>
      <w:r>
        <w:br/>
      </w:r>
      <w:r>
        <w:br/>
      </w:r>
      <w:r>
        <w:t>Source: Patient-Centered Outcomes Research Institute</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04F5D0D0" wp14:textId="77777777">
      <w:pPr>
        <w:pStyle w:val="Heading1"/>
      </w:pPr>
      <w:r>
        <w:t>Document ID DJDN000020150707eb77002sk</w:t>
      </w:r>
    </w:p>
    <w:p xmlns:wp14="http://schemas.microsoft.com/office/word/2010/wordml" w14:paraId="39C8B704" wp14:textId="77777777">
      <w:r>
        <w:t>13:35 EDT - Flex Pharma (FLKS) reports a consumer beverage it is developing reduced muscle cramps by 50% in a study of 23 cramp-prone athletes. The benefit was based on comparing cramps during two weeks of workouts with and without the drink. Now FLKS wants to confirm the findings in a placebo-controlled trial. Why bother? asks Piper Jaffray. Only picky biotech investors care about placebo trials, the investment bank muses. It says stick with simpler, less-risky comparison studies which "will resonate" with athletes. The beverage isn't a drug; in a previous job, FLKS' consumer chief didn't need a placebo-controlled trial "to turn Svedka into a leading vodka brand," notes Piper. FLKS plans to launch the drink in 1H. Shares are slightly higher today. (ron.winslow@wsj.com; @ronwinslow)</w:t>
      </w:r>
      <w:r>
        <w:br/>
      </w:r>
      <w:r>
        <w:br/>
      </w:r>
      <w:r>
        <w:t>13:34 EDT - UBS hops aboard Kansas City Southern (KSU) saying a valuation "reset has largely played out." It ups KSU to buy from neutral pointing to its underperformace against its peers and a relative P/E well below the long term averages of both the S&amp;P and the rail group. With the stock down 22% YTD, UBS thinks shares are now attractive for several reasons including the fact that KSU's coal exposure is declining while long term growth drivers remain intact. Expansion of Mexico's largest seaport plus output from new auto plants there should play into the recovery scenario as should demand from new plastics plants expected to open in the Gulf Coast region in 2017. KSU is up 2.8% at $94.20. (patrick.sheridan@wsj.com; @patmsheridan)</w:t>
      </w:r>
      <w:r>
        <w:br/>
      </w:r>
      <w:r>
        <w:br/>
      </w:r>
      <w:r>
        <w:t>13:32 EDT - Showtime officially launches its stand-alone streaming service, giving consumers the opportunity to subscribe to the CBS-owned offering without first having to buy large packages of cable channels. The Showtime service is currently available on Apple TV and other Apple (AAPL) devices as well as the Roku streaming platform. The $10.99/month price also includes access to Showtime library content. Rival HBO, owned by Time Warner (TWX), launched a similar service earlier this year. (joseph.flint@wsj.com; @JBFlint)</w:t>
      </w:r>
      <w:r>
        <w:br/>
      </w:r>
      <w:r>
        <w:br/>
      </w:r>
      <w:r>
        <w:t>13:26 EDT - AI is becoming a hot business. So hot, in fact, it's now got its own nickname: AIAAS--that's Artificial Intelligence as a Service. Amazon (AMZN) is offering developers without AI skills its machine-learning software, which can run predictions on huge data sets of everything from market prices to future clothing trends. Narrative Science, an AI company from Chicago, is offering newspapers a robot-storywriting service based on sports and market data. Yseop, a business-intelligence firm, offers enterprises a quick turnaround of insights gleaned from massive amounts of data. "Businesses wouldn't use a Rolodex to manage contacts or a fax machine for real-time interoffice communication, so why are some still relying on manually written BI reports to understand data?" says Yseop marketing exec Arden Manning. (amir.mizroch@wsj.com; @amirmizroch)</w:t>
      </w:r>
      <w:r>
        <w:br/>
      </w:r>
      <w:r>
        <w:br/>
      </w:r>
      <w:r>
        <w:t>13:22 EDT - The movie business is famously hit-driven. But a blockbuster can also go a long way in the book business. Take Barnes &amp; Noble (BKS). It is rolling out the red carpet for next Tuesday's release of "Go Set a Watchman" by Harper Lee. The bookseller's stores will host a "read-a-thon" of her classic "To Kill a Mockingbird" on Monday and open early the next day. Customers purchasing "Watchman" before 10am will receive a free coffee, with the first 20 getting a reusable tote bag. While not exactly an Oscars goodie bag, that may still seem a lot of hoopla. But "Watchman" has been BKS' most pre-ordered book this year. Moreover, history shows a hit novel can have a big impact on the company's results; in August 2012, it cited the "Fifty Shades of Grey" series as a reason for strong retail revenue growth. Of course, what a hit book giveth, it can also taketh away. A year later, BKS blamed a sharp retail-revenue decrease in part on a dearth of new titles matching "Grey." Perhaps the tote bag will encourage "Watchman" fans to keep stocking up. (miriam.gottfried@wsj.com; @miriamgottfried)</w:t>
      </w:r>
      <w:r>
        <w:br/>
      </w:r>
      <w:r>
        <w:br/>
      </w:r>
      <w:r>
        <w:t>13:18 EDT - Investors yesterday sneered at Humana's (HUM) deal to sell to Aetna (AET), bumping up the stock a smidge to $188.96 when the offer at day's end was worth $223.35/share. Amid today's broader market drop, HUM is outpacing the declines with its 1.3% fall to $186.47, putting the stock below Thursday's close of $187.50. Essentially, right now HUM shareholders were better off before the holiday-weekend deal than they are today. Meanwhile, AET is down another 2.4%, at $114.60. That cuts the deal value to $220.98. (jamie.heller@wsj.com; @jamieheller)</w:t>
      </w:r>
      <w:r>
        <w:br/>
      </w:r>
      <w:r>
        <w:br/>
      </w:r>
      <w:r>
        <w:t>13:12 EDT - The lingering downturn in crude prices could exacerbate a looming problem for the oil-and-gas industry: replacing the large number of baby boomers likely to retire the next few years. "Given the carnage currently unfolding, it will be difficult to attract a new labor pool back into the industry," says Simmons &amp; Co. It's an issue, in large part, because of the many jobs lost during the 1980s' oil bust. Few later re-entered the field, leading to a small pool of mid-career professionals working in the space today. (erin.ailworth@wsj.com; @ailworth)</w:t>
      </w:r>
      <w:r>
        <w:br/>
      </w:r>
      <w:r>
        <w:br/>
      </w:r>
      <w:r>
        <w:t>13:09 EDT - A $24B sale of 3-year Treasurys drew mixed demand at a time US stocks were paring their a selloff. The auctioned yield--0.932%--is the lowest since April for a 3-year sale, and that dented some buying interest. Overall demand--a 3.16 bid-to-cover ratio--was the lowest since August. But the direct bid at 13.9% was the most since January. Indirect remained decent at 47.4%, though that was lower than the 51.1% average of the past 4 sales. The rally in the bond market also eases a bit--the 10-year yield is at 2.224% versus 2.28% Monday. (min.zeng@wsj.com; @minzengwsj)</w:t>
      </w:r>
      <w:r>
        <w:br/>
      </w:r>
      <w:r>
        <w:br/>
      </w:r>
      <w:r>
        <w:t>13:06 EDT - Puerto Rico's $72B in debt is 1/4 of Greece's level, but BlackRock's Jeffrey Rosenberg notes a debt restructuring for the former would have greater significance to US retailer investors due to the concentrated nature of such folks in muni bonds. Puerto Rico is that market's 6th-biggest issuer, and given its triple tax-exempt status the island's debt is found in a disproportionate amount of US investors' fixed-income portfolios. (daisy.maxey@wsj.com; @DaisyMaxey)</w:t>
      </w:r>
      <w:r>
        <w:br/>
      </w:r>
      <w:r>
        <w:br/>
      </w:r>
      <w:r>
        <w:t>13:03 EDT - General Mills (GIS) is joining a growing list of food companies pledging to buy eggs only from cage-free hens in the US amid growing pressure from consumer groups over the egg industry's decades-long use of small cages to house birds. GIS says in a new animal-welfare policy that it can't yet give a timeline for the change. It notes the recent avian-flu outbreak that has curtailed US egg supplies "has been deeply disruptive" to suppliers, so it will work with them on a "reasonable timeline toward this commitment." The company uses eggs in a variety of its packaged-food products, such as Pillsbury cookie dough. Starbucks, Nestle, Aramark and other food providers previously announced plans to move away from "caged" eggs. (david.kesmodel@wsj.com; @davidkesmodel)</w:t>
      </w:r>
      <w:r>
        <w:br/>
      </w:r>
      <w:r>
        <w:br/>
      </w:r>
      <w:r>
        <w:t>13:00 EDT - America's 3 major Macau-exposed casino stocks get off the mat today despite the broader market's slide as Credit Suisse calls a bottom to the sharp gambling declines seen on the Chinese island the past year. "We see a fundamental shift towards supportive policy (from both Macau and the central government), and seasonally stronger months are ahead." With lots of bad news already priced in, the investment bank upgrades MGM, WYNN and Sands (LVS) to outperform as it expects Macau gambling revenue to rebound faster in 2016 than it previously did. MGM and LVS climb 3% while WYNN jumps 5% to sit atop the S&amp;P 500. (kevin.kingsbury@wsj.com; @kevinkingsbury)</w:t>
      </w:r>
      <w:r>
        <w:br/>
      </w:r>
      <w:r>
        <w:br/>
      </w:r>
      <w:r>
        <w:t>(END) Dow Jones Newswires</w:t>
      </w:r>
      <w:r>
        <w:br/>
      </w:r>
      <w:r>
        <w:br/>
      </w:r>
      <w:r>
        <w:t>July 07, 2015 13:39 ET (17:39 GMT)</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51F42F90" wp14:textId="77777777">
      <w:pPr>
        <w:pStyle w:val="Heading1"/>
      </w:pPr>
      <w:r>
        <w:t>Document ID RAUNEW0020150406eb4300003</w:t>
      </w:r>
    </w:p>
    <w:p xmlns:wp14="http://schemas.microsoft.com/office/word/2010/wordml" w14:paraId="3C2E87CB" wp14:textId="77777777">
      <w:r>
        <w:t>SpaceOAR reduces side effects from radiation exposure to the rectum, such as diarrhea and fecal incontinence. It also potentially allows a higher dose of radiation to be used during radiotherapy and fewer treatment sessions.</w:t>
      </w:r>
      <w:r>
        <w:br/>
      </w:r>
      <w:r>
        <w:br/>
      </w:r>
      <w:r>
        <w:t>Full clinical trial results are expected to be published in a medical journal later this year.</w:t>
      </w:r>
      <w:r>
        <w:br/>
      </w:r>
      <w:r>
        <w:br/>
      </w:r>
      <w:r>
        <w:t>Source</w:t>
      </w:r>
      <w:r>
        <w:br/>
      </w:r>
      <w:r>
        <w:br/>
      </w:r>
      <w:r>
        <w:t xml:space="preserve">* Augmenix news release, April 2, 2015. </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314B87DA" wp14:textId="77777777">
      <w:pPr>
        <w:pStyle w:val="Heading1"/>
      </w:pPr>
      <w:r>
        <w:t>Document ID POLGOV0020150320eb3q002jy</w:t>
      </w:r>
    </w:p>
    <w:p xmlns:wp14="http://schemas.microsoft.com/office/word/2010/wordml" w14:paraId="41C82298" wp14:textId="77777777">
      <w:r>
        <w:t>Reporters obtained the following quote from the background information supplied by the inventors: "The present disclosure relates generally to medical devices and, more particularly, to monitoring physiological parameters using an indicator dilution analysis.</w:t>
      </w:r>
      <w:r>
        <w:br/>
      </w:r>
      <w:r>
        <w:br/>
      </w:r>
      <w:r>
        <w:t>"This section is intended to introduce the reader to various aspects of art that may be related to various aspects of the present disclosure, which are described and/or claimed below. This discussion is believed to be helpful in providing the reader with background information to facilitate a better understanding of the various aspects of the present disclosure. Accordingly, it should be understood that these statements are to be read in this light, and not as admissions of prior art.</w:t>
      </w:r>
      <w:r>
        <w:br/>
      </w:r>
      <w:r>
        <w:br/>
      </w:r>
      <w:r>
        <w:t>"In the field of medicine, medical practitioners often desire to monitor certain physiological characteristics of their patients. Accordingly, a wide variety of devices have been developed for monitoring patient characteristics. Such devices provide doctors and other healthcare personnel with the information they need to provide healthcare for their patients. As a result, such monitoring devices have become an indispensable part of modem medicine. For example, clinicians may wish to monitor a patient's blood flow to assess cardiac function. In particular, clinicians may wish to monitor a patient's cardiac output. The determination of cardiac output may provide information useful for the diagnosis and treatment of various disease states or patient abnormalities. For example, in cases of pulmonary hypertension, a clinical response may include a decrease in cardiac output.</w:t>
      </w:r>
      <w:r>
        <w:br/>
      </w:r>
      <w:r>
        <w:br/>
      </w:r>
      <w:r>
        <w:t>"Accordingly, there are a variety of clinical techniques that may be used for analyzing cardiac output or other hemodynamic parameters. In one technique known as indicator dilution (e.g., thermodilution, indicator dye dilution, lithium dilution, etc.), an indicator, such as a dye or saline solution, is injected into a circulatory system of a patient, and information about certain hemodynamic parameters may be determined by assessing the dilution of the indicator after mixing with the bloodstream. For example, a measure of cardiac output may be determined based on a decrease in blood temperature over a period of time resulting from the injected indicator. In some instances, it may be desirable to determine the start and end time of the injection, which may be used in the calculation of cardiac output."</w:t>
      </w:r>
      <w:r>
        <w:br/>
      </w:r>
      <w:r>
        <w:br/>
      </w:r>
      <w:r>
        <w:t>In addition to obtaining background information on this patent application, VerticalNews editors also obtained the inventors' summary information for this patent application: "Certain aspects commensurate in scope with the originally claimed invention are set forth below. It should be understood that these aspects are presented merely to provide the reader with a brief summary of certain forms that the invention might take and that these aspects are not intended to limit the scope of the invention. Indeed, the invention may encompass a variety of aspects that may not be set forth below.</w:t>
      </w:r>
      <w:r>
        <w:br/>
      </w:r>
      <w:r>
        <w:br/>
      </w:r>
      <w:r>
        <w:t>"Some embodiments described herein are directed to a sensor assembly. The sensor assembly may include a connector, which may include a first end configured to be coupled to an injection device configured to inject a fluid. The connector may also include a second end configured to be coupled to tubing configured to deliver the fluid to a patient such that the connector, when coupled, is between the tubing and the injection device. Further, the connector may include a lumen extending from the first end to the second end. The connector may also include a valve assembly configured to enable flow of the fluid through the lumen when the connector is in an open state and to reduce (e.g., stop) flow of the fluid through the lumen when the connector is in a closed state. Additionally, the sensor assembly may include a sensor disposed proximate to the connector and configured to generate a signal relating to whether the connector is in the open state or the closed state.</w:t>
      </w:r>
      <w:r>
        <w:br/>
      </w:r>
      <w:r>
        <w:br/>
      </w:r>
      <w:r>
        <w:t>"Other embodiments directed herein are directed to a system. The system may include a connector configured to interface between an injection device configured to inject a fluid and a catheter configured to deliver the fluid to a patient. The connector may include a lumen extending from a first end of the connector to a second end of the connector. Additionally, the connector may include a valve assembly configured to enable flow of the fluid through the lumen when the connector is in an open state and to reduce (e.g., stop) flow of the fluid through the lumen when the connector is in a closed state. The system may also include a sensor disposed proximate to the connector and configured to generate a signal relating to the state of the connector. Furthermore, the system may include a monitor including a processor configured to receive the signal from the sensor and to determine a start time and an end time of an injection procedure based at least in part upon the signal. The start time of the injection may be based at least in part upon a determination that the connector is in the open state and the end time of the injection may be based at least in part upon a determination that the connector is in the closed state.</w:t>
      </w:r>
      <w:r>
        <w:br/>
      </w:r>
      <w:r>
        <w:br/>
      </w:r>
      <w:r>
        <w:t>"Further embodiments described herein are directed to a method. The method may include using a processor to receive two or more signals from a sensor indicative of a state of a valve assembly. The state of the valve assembly may include an open state or a closed state. The method may also include using a processor to determine whether the valve assembly is in the open or closed state based at least in part upon the received signals. The method may include using a processor to determine a start time of an injection procedure based at least in part upon the determination that the valve assembly is in the open state. Furthermore, the method may include using a processor to determine an end time of the injection procedure based at least in part upon the determination that the open state of the valve assembly is followed by the closed state. BRIEF DESCRIPTION OF THE DRAWINGS</w:t>
      </w:r>
      <w:r>
        <w:br/>
      </w:r>
      <w:r>
        <w:br/>
      </w:r>
      <w:r>
        <w:t>"Advantages of the disclosed techniques may become apparent upon reading the following detailed description and upon reference to the drawings in which:</w:t>
      </w:r>
      <w:r>
        <w:br/>
      </w:r>
      <w:r>
        <w:br/>
      </w:r>
      <w:r>
        <w:t>"FIG. 1 is a schematic illustrating a system for implementing an indicator dilution technique, in accordance with an embodiment;</w:t>
      </w:r>
      <w:r>
        <w:br/>
      </w:r>
      <w:r>
        <w:br/>
      </w:r>
      <w:r>
        <w:t>"FIG. 2 is a block diagram illustrating components of the system of FIG. 1, in accordance with an embodiment;</w:t>
      </w:r>
      <w:r>
        <w:br/>
      </w:r>
      <w:r>
        <w:br/>
      </w:r>
      <w:r>
        <w:t>"FIG. 3 is a schematic illustrating a system for implementing an indicator dilution technique including a monitor, one or more catheters, an injection device, and one or more sensors, in accordance with an embodiment;</w:t>
      </w:r>
      <w:r>
        <w:br/>
      </w:r>
      <w:r>
        <w:br/>
      </w:r>
      <w:r>
        <w:t>"FIG. 4 is a cross-sectional view of a connector in a closed position and an optical sensor, in accordance with an embodiment;</w:t>
      </w:r>
      <w:r>
        <w:br/>
      </w:r>
      <w:r>
        <w:br/>
      </w:r>
      <w:r>
        <w:t>"FIG. 5 is a cross-sectional view of the connector of FIG. 4 in an open position, in accordance with an embodiment;</w:t>
      </w:r>
      <w:r>
        <w:br/>
      </w:r>
      <w:r>
        <w:br/>
      </w:r>
      <w:r>
        <w:t>"FIG. 6 is a block diagram, in accordance with an embodiment;</w:t>
      </w:r>
      <w:r>
        <w:br/>
      </w:r>
      <w:r>
        <w:br/>
      </w:r>
      <w:r>
        <w:t>"FIG. 7 is a cross-sectional view of the connector of FIG. 5 in an open position taken along line 7-7 of FIG. 5, in accordance with an embodiment;</w:t>
      </w:r>
      <w:r>
        <w:br/>
      </w:r>
      <w:r>
        <w:br/>
      </w:r>
      <w:r>
        <w:t>"FIG. 8 is a perspective view of a sensor, in accordance with an embodiment;</w:t>
      </w:r>
      <w:r>
        <w:br/>
      </w:r>
      <w:r>
        <w:br/>
      </w:r>
      <w:r>
        <w:t>"FIG. 9 is cross-sectional view of the connector of FIG. 5 in a closed position and an electromagnetic induction sensor, in accordance with an embodiment;</w:t>
      </w:r>
      <w:r>
        <w:br/>
      </w:r>
      <w:r>
        <w:br/>
      </w:r>
      <w:r>
        <w:t>"FIG. 10 is cross-sectional view of the connector of FIG. 5 in a closed position and a radio-frequency identification sensor, in accordance with an embodiment;</w:t>
      </w:r>
      <w:r>
        <w:br/>
      </w:r>
      <w:r>
        <w:br/>
      </w:r>
      <w:r>
        <w:t>"FIG. 11 is a method for determining a start time and an end time of an injection procedure; and</w:t>
      </w:r>
      <w:r>
        <w:br/>
      </w:r>
      <w:r>
        <w:br/>
      </w:r>
      <w:r>
        <w:t>"FIG. 12 is a cross-sectional view of the connector of FIG. 5 and sensors disposed in the connector."</w:t>
      </w:r>
      <w:r>
        <w:br/>
      </w:r>
      <w:r>
        <w:br/>
      </w:r>
      <w:r>
        <w:t>For more information, see this patent application: Huang, Qiaojian; Li, Youzhi; Hayman, Sarah; Manning, Keith. Systems and Methods for Monitoring an Injection Procedure. Filed August 30, 2013 and posted March 12, 2015. Patent URL: http://appft.uspto.gov/netacgi/nph-Parser?Sect1=PTO2&amp;Sect2=HITOFF&amp;u=%2Fnetahtml%2FPTO%2Fsearch-adv.html&amp;r=1983&amp;p=40&amp;f=G&amp;l=50&amp;d=PG01&amp;S1=20150305.PD.&amp;OS=PD/20150305&amp;RS=PD/20150305</w:t>
      </w:r>
      <w:r>
        <w:br/>
      </w:r>
      <w:r>
        <w:br/>
      </w:r>
      <w:r>
        <w:t>Keywords for this news article include: Cardiology.</w:t>
      </w:r>
      <w:r>
        <w:br/>
      </w:r>
      <w:r>
        <w:br/>
      </w:r>
      <w:r>
        <w:t>Our reports deliver fact-based news of research and discoveries from around the world. Copyright 2015, NewsRx LLC</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45448458" wp14:textId="77777777">
      <w:pPr>
        <w:pStyle w:val="Heading1"/>
      </w:pPr>
      <w:r>
        <w:t>Document ID ECTDEL0020151027ebar0000r</w:t>
      </w:r>
    </w:p>
    <w:p xmlns:wp14="http://schemas.microsoft.com/office/word/2010/wordml" w14:paraId="298C8232" wp14:textId="77777777">
      <w:r>
        <w:t>A Cipla spokesperson said since Cipla was not a party to the suit it has no comment to make. In an email response seeking comment, PuraCap said its complaint was publicly available at the US District Court for the Southern District of New York but didn't provide any other specific information.</w:t>
      </w:r>
      <w:r>
        <w:br/>
      </w:r>
      <w:r>
        <w:br/>
      </w:r>
      <w:r>
        <w:t>In an earlier statement, PuraCap said it was seeking damages from InvaGen but did not provide details on the al leged violations or breech of obligations. An industry source said the dispute could be related to some manufacturing contracts, but this could not be verified. PuraCap has a presence in branded and private label drugs, in addition to over-the-counter and prescription products.</w:t>
      </w:r>
      <w:r>
        <w:br/>
      </w:r>
      <w:r>
        <w:br/>
      </w:r>
      <w:r>
        <w:t>Although strong in markets like India and Africa, Cipla lags its leading local peers in terms of market share in the US. The deal is aimed at boosting its presence in the US, from where it targets to generate at least 20% of overall revenue by 2020.</w:t>
      </w:r>
      <w:r>
        <w:br/>
      </w:r>
      <w:r>
        <w:br/>
      </w:r>
      <w:r>
        <w:t>The two companies -InvaGen and Exelan -are expected to bring scale to Cipla via access to a wide-ranging product portfolio, including cardiovascular, anti-infective, CNS, anti-diabetic and anti-depression drugs that had combined annual revenue of about $225 million. At the time of the announcement of the deal, Cipla said it had access to about 40 applications for new generic drugs, 32 marketed products and 30 pipeline products that were expected to be approved over four years.</w:t>
      </w:r>
      <w:r>
        <w:br/>
      </w:r>
      <w:r>
        <w:br/>
      </w:r>
      <w:r>
        <w:t>Through Exelan, Cipla said it got access to the government and institutional market.</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52D553FC" wp14:textId="77777777">
      <w:pPr>
        <w:pStyle w:val="Heading1"/>
      </w:pPr>
      <w:r>
        <w:t>Document ID APRS000020151116ebbg00a3k</w:t>
      </w:r>
    </w:p>
    <w:p xmlns:wp14="http://schemas.microsoft.com/office/word/2010/wordml" w14:paraId="279954E4" wp14:textId="77777777">
      <w:r>
        <w:t>Darzalex, known chemically as daratumumab, helps immune system cells attack malignant multiple myeloma cells by binding to a protein on their surface. The infused drug is then believed to trigger death of tumor cells though multiple mechanisms, according to Johnson &amp; Johnson's Janssen biologic drug unit.</w:t>
      </w:r>
      <w:r>
        <w:br/>
      </w:r>
      <w:r>
        <w:br/>
      </w:r>
      <w:r>
        <w:t>Dr. Richard Pazdur, head of FDA's Office of Hematology and Oncology Products, said such targeting of proteins cancer cells' surface has led to important new cancer treatments.</w:t>
      </w:r>
      <w:r>
        <w:br/>
      </w:r>
      <w:r>
        <w:br/>
      </w:r>
      <w:r>
        <w:t>The FDA granted accelerated approval based on two studies showing Darzalex reduced the size of or eliminated tumors in about one-third of patients.</w:t>
      </w:r>
      <w:r>
        <w:br/>
      </w:r>
      <w:r>
        <w:br/>
      </w:r>
      <w:r>
        <w:t>In one study, 29 percent of the 106 participants responded to Darzalex for 7.4 months, on average, before tumor growth resumed. In the other study, which included 42 patients, 36 percent had their tumors reduced or eliminated. Janssen is conducting further testing.</w:t>
      </w:r>
      <w:r>
        <w:br/>
      </w:r>
      <w:r>
        <w:br/>
      </w:r>
      <w:r>
        <w:t>The biologic drug — produced in living cells rather than by mixing chemicals together — was approved for use in patients who have received three prior types of therapy and either didn't respond or relapsed after initial treatment, as is common with many cancer therapies. Patients in the studies had failed five treatments, on average.</w:t>
      </w:r>
      <w:r>
        <w:br/>
      </w:r>
      <w:r>
        <w:br/>
      </w:r>
      <w:r>
        <w:t>"Darzalex gives people who have limited or no remaining options ... a real chance," Janssen said in a statement.</w:t>
      </w:r>
      <w:r>
        <w:br/>
      </w:r>
      <w:r>
        <w:br/>
      </w:r>
      <w:r>
        <w:t>The infused drug is administered once weekly for the first two months and, if the patient continues responding, every two weeks for the next four months and then once per month. Each infusion has a list price of $5,850, according to Janssen, so for patients responding to Darzalex, 23 treatments over one year would cost $134,550. That's before any discounts insurers or other payers negotiate with J&amp;J.</w:t>
      </w:r>
      <w:r>
        <w:br/>
      </w:r>
      <w:r>
        <w:br/>
      </w:r>
      <w:r>
        <w:t>Darzalex can reduce levels of red blood cells that carry oxygen through the body, infection-fighting white blood cells and platelets needed for blood clotting. It should not be taken by pregnant women. The most common side effects reported were nausea, fatigue, pain in the back or infusion site, fever and cough.</w:t>
      </w:r>
      <w:r>
        <w:br/>
      </w:r>
      <w:r>
        <w:br/>
      </w:r>
      <w:r>
        <w:t>"Multiple myeloma is a highly complex disease and remains incurable, with almost all patients relapsing or becoming resistant to therapy," Dr. Paul G. Richardson, a myeloma expert at the Dana-Farber Cancer Institute who participated in the patient testing, said in a statement.</w:t>
      </w:r>
      <w:r>
        <w:br/>
      </w:r>
      <w:r>
        <w:br/>
      </w:r>
      <w:r>
        <w:t>In trading Monday, J&amp;J shares rose $1.34, or 1.3 percent, to $101.22.</w:t>
      </w:r>
      <w:r>
        <w:br/>
      </w:r>
      <w:r>
        <w:br/>
      </w:r>
      <w:r>
        <w:t>___</w:t>
      </w:r>
      <w:r>
        <w:br/>
      </w:r>
      <w:r>
        <w:br/>
      </w:r>
      <w:r>
        <w:t>Follow Linda A. Johnson @LindaJ_onPharma</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49C8CEC7" wp14:textId="77777777">
      <w:pPr>
        <w:pStyle w:val="Heading1"/>
      </w:pPr>
      <w:r>
        <w:t>Document ID DJDN000020150311eb3b004c0</w:t>
      </w:r>
    </w:p>
    <w:p xmlns:wp14="http://schemas.microsoft.com/office/word/2010/wordml" w14:paraId="7FD8A81A" wp14:textId="77777777">
      <w:r>
        <w:t>The announcement came as the San Diego biopharmaceutical company, which focuses on treatment of central nervous system disorders, said longtime Chief Executive Uli Hacksell has resigned from his post, effective immediately.</w:t>
      </w:r>
      <w:r>
        <w:br/>
      </w:r>
      <w:r>
        <w:br/>
      </w:r>
      <w:r>
        <w:t>No reason was specified in a filing with the Securities and Exchange Commission. The company said in a news release Mr. Hacksell had retired. Executive Vice President Stephen R. Davis, who has also serves as chief financial officer and chief business officer, has taken over on an interim basis.</w:t>
      </w:r>
      <w:r>
        <w:br/>
      </w:r>
      <w:r>
        <w:br/>
      </w:r>
      <w:r>
        <w:t>Shares plunged nearly 22% to $35 in recent after-hours trading.</w:t>
      </w:r>
      <w:r>
        <w:br/>
      </w:r>
      <w:r>
        <w:br/>
      </w:r>
      <w:r>
        <w:t>Acadia said additional time to seek regulatory approval was needed to make sure it is ready to support production and supply of its candidate treatment pimavanserin, which would be commercialized as Nuplazid. The Food and Drug Administration granted the drug breakthrough therapy designation last year, which means the FDA will act on the application within 60 days of receipt.</w:t>
      </w:r>
      <w:r>
        <w:br/>
      </w:r>
      <w:r>
        <w:br/>
      </w:r>
      <w:r>
        <w:t>Acadia had planned to file a new drug application in the first quarter.</w:t>
      </w:r>
      <w:r>
        <w:br/>
      </w:r>
      <w:r>
        <w:br/>
      </w:r>
      <w:r>
        <w:t>"The change in submission timing is not a result of any change to Nuplazid's clinical or safety profile, nor is it a result of any interaction with or request for information from the FDA," the company said in a statement.</w:t>
      </w:r>
      <w:r>
        <w:br/>
      </w:r>
      <w:r>
        <w:br/>
      </w:r>
      <w:r>
        <w:t>Under the terms of an agreement with Mr. Hacksell, the former chief executive will receive a $36,000 lump sum payment and an additional $580,000, broken down in monthly installments, for consulting work over the next 1 1/2 years.</w:t>
      </w:r>
      <w:r>
        <w:br/>
      </w:r>
      <w:r>
        <w:br/>
      </w:r>
      <w:r>
        <w:t>Write to Maria Armental at maria.armental@wsj.com</w:t>
      </w:r>
      <w:r>
        <w:br/>
      </w:r>
      <w:r>
        <w:br/>
      </w:r>
      <w:r>
        <w:t>(END) Dow Jones Newswires</w:t>
      </w:r>
      <w:r>
        <w:br/>
      </w:r>
      <w:r>
        <w:br/>
      </w:r>
      <w:r>
        <w:t>March 11, 2015 17:31 ET (21:31 GMT)</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55BE014B" wp14:textId="77777777">
      <w:pPr>
        <w:pStyle w:val="Heading1"/>
      </w:pPr>
      <w:r>
        <w:t>Document ID WSJO000020151216ebcg000p3</w:t>
      </w:r>
    </w:p>
    <w:p xmlns:wp14="http://schemas.microsoft.com/office/word/2010/wordml" w14:paraId="42F91EBA" wp14:textId="77777777">
      <w:r>
        <w:t>Federal officials had long been expecting a surge of applications around a heavily promoted Dec. 15 deadline to have coverage effective Jan. 1. The new sign-up season had started Nov. 1, but as in previous years, most activity has been clustered in the final days.</w:t>
      </w:r>
      <w:r>
        <w:br/>
      </w:r>
      <w:r>
        <w:br/>
      </w:r>
      <w:r>
        <w:t>The Obama administration said Tuesday evening that the past few days have been the busiest ever on the site and customer support call center, which serve about three dozen states that were unable or unwilling to operate their own. The extension means the sign-up period now ends at 11:59 p.m. Pacific Time on Dec. 17.</w:t>
      </w:r>
      <w:r>
        <w:br/>
      </w:r>
      <w:r>
        <w:br/>
      </w:r>
      <w:r>
        <w:t>The federal site underwent a substantial overhaul after a rough launch in the fall of 2013 and performed significantly better last fall. It also appeared to hold up this year at busy moments, when it was able to handle more than 150,000 simultaneous users, but the federal government also deployed ‘waiting rooms' for numbers beyond that point at certain times, or asked customers to leave their contact information and hold a place in line.</w:t>
      </w:r>
      <w:r>
        <w:br/>
      </w:r>
      <w:r>
        <w:br/>
      </w:r>
      <w:r>
        <w:t>“Because of the unprecedented demand and volume of consumers contacting our call center of visiting HealthCare.gov, we are extending the deadline," said Kevin Counihan, the Obama administration's official in charge of HealthCare.gov. “Our goal is to provide access to affordable coverage and the additional 48 hours will give consumers an opportunity to come back and complete their enrollment for January 1 coverage."</w:t>
      </w:r>
      <w:r>
        <w:br/>
      </w:r>
      <w:r>
        <w:br/>
      </w:r>
      <w:r>
        <w:t>People who want coverage that starts later in 2016 will be able to sign up any time before Jan. 31. The federal government has said that unlike in previous years, it won't offer a broad extension of that deadline to coincide with tax-filing deadlines.</w:t>
      </w:r>
      <w:r>
        <w:br/>
      </w:r>
      <w:r>
        <w:br/>
      </w:r>
      <w:r>
        <w:t>Write to Louise Radnofsky at louise.radnofsky@wsj.com</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594DB2D4" wp14:textId="77777777">
      <w:pPr>
        <w:pStyle w:val="Heading1"/>
      </w:pPr>
      <w:r>
        <w:t>Document ID INDFED0020150826eb8q001nj</w:t>
      </w:r>
    </w:p>
    <w:p xmlns:wp14="http://schemas.microsoft.com/office/word/2010/wordml" w14:paraId="44F8F38D" wp14:textId="77777777">
      <w:r>
        <w:t>Brief Summary: Cohort study on patients with turbid phlegm and blood stasis syndrome and Qi -Yin Deficiency syndrome of coronary artery disease (CHD) compared with normal cases will be launched.Detection of lipid metabolism, inflammation medium, endothelial cell injury, blood coagulation function evaluation of the relationship between disease and biochemical basis, detect plasma metabonomics, Single Nucleotide Polymorphism genotyping and the gene expression profile chip, with "phlegm - lipid metabolic disorder", "stasis - microcirculation disorder", "alternating knot - inflammation mediated" and other system related to the biological basis With Danlou Tablet for treatment, the investigators can observe result/effect index of turbid phlegm and blood stasis syndrome. Through comprehensive comparison of multi-level, multi-targets and multi-date biological index to discuss its sickness-syndrome-prescription corresponding relation and its biological basis.</w:t>
      </w:r>
      <w:r>
        <w:br/>
      </w:r>
      <w:r>
        <w:br/>
      </w:r>
      <w:r>
        <w:t>Study Start Date: July 2015</w:t>
      </w:r>
      <w:r>
        <w:br/>
      </w:r>
      <w:r>
        <w:br/>
      </w:r>
      <w:r>
        <w:t>Study Type: Interventional</w:t>
      </w:r>
      <w:r>
        <w:br/>
      </w:r>
      <w:r>
        <w:br/>
      </w:r>
      <w:r>
        <w:t>Condition: Coronary Artery Disease</w:t>
      </w:r>
      <w:r>
        <w:br/>
      </w:r>
      <w:r>
        <w:br/>
      </w:r>
      <w:r>
        <w:t>Intervention: Drug: Danlou Tablets Five tablets of Danlou Tablets (1.5g) will be given three times a day in addition to regular western medications for the 8 weeks Drug: Tongmai Yangxin Pills Forty pills of Tongmai Yangxin Pills (4g) will be given two times a day in addition to regular western medications for the 8 weeks</w:t>
      </w:r>
      <w:r>
        <w:br/>
      </w:r>
      <w:r>
        <w:br/>
      </w:r>
      <w:r>
        <w:t>Recruitment Status: Recruiting</w:t>
      </w:r>
      <w:r>
        <w:br/>
      </w:r>
      <w:r>
        <w:br/>
      </w:r>
      <w:r>
        <w:t>Sponsor: Tianjin University of Traditional Chinese Medicine</w:t>
      </w:r>
      <w:r>
        <w:br/>
      </w:r>
      <w:r>
        <w:br/>
      </w:r>
      <w:r>
        <w:t>Information provided by (Responsible Party): Chunquan Yu, Tianjin University of Traditional Chinese Medicine</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0833A23A" wp14:textId="77777777">
      <w:pPr>
        <w:pStyle w:val="Heading1"/>
      </w:pPr>
      <w:r>
        <w:t>Document ID LBA0000020151208ebc800rby</w:t>
      </w:r>
    </w:p>
    <w:p xmlns:wp14="http://schemas.microsoft.com/office/word/2010/wordml" w14:paraId="16E0DFD6" wp14:textId="77777777">
      <w:r>
        <w:t>The U.S. Food and Drug Administration on Tuesday approved Baxalta Inc's Vonvendi, making it the first engineered protein-based treatment for the world's most common inherited bleeding disorder. Vonvendi treats Willebrand disease, which is caused by the deficiency or defect in von Willebrand factor, a protein that is critical for blood clotting.</w:t>
      </w:r>
      <w:r>
        <w:br/>
      </w:r>
      <w:r>
        <w:br/>
      </w:r>
      <w:r>
        <w:t>FDA approves Alexion drug for ultra-rare disease</w:t>
      </w:r>
      <w:r>
        <w:br/>
      </w:r>
      <w:r>
        <w:br/>
      </w:r>
      <w:r>
        <w:t>The U.S. Food and Drug Administration on Tuesday approved Alexion Pharmaceutical Inc's treatment for an ultra-rare and potentially fatal genetic disorder. Alexion's enzyme-replacement therapy, Kanuma, which received European approval in September, was approved to treat patients, including infants, with lysosomal acid lipase deficiency (LAL-D), that can lead to liver failure, heart disease and early death.</w:t>
      </w:r>
      <w:r>
        <w:br/>
      </w:r>
      <w:r>
        <w:br/>
      </w:r>
      <w:r>
        <w:t>U.S. CDC replaces lab director after pathogen incidents</w:t>
      </w:r>
      <w:r>
        <w:br/>
      </w:r>
      <w:r>
        <w:br/>
      </w:r>
      <w:r>
        <w:t>The U.S. Centers for Disease Control and Prevention said on Tuesday it has named a new acting director of its select agent program following a string of lab incidents involving dangerous pathogens. The agency, which has pledged to overhaul its lab safety programs, said Dr. Robbin Weyant, who formerly led the agency's select agent program, will now serve as a senior advisor in its newly formed Office of the Associate Director for Laboratory Science and Safety.</w:t>
      </w:r>
      <w:r>
        <w:br/>
      </w:r>
      <w:r>
        <w:br/>
      </w:r>
      <w:r>
        <w:t>Malaria deaths drop below half a million, Africa makes progress: WHO</w:t>
      </w:r>
      <w:r>
        <w:br/>
      </w:r>
      <w:r>
        <w:br/>
      </w:r>
      <w:r>
        <w:t>The number of people killed by malaria dropped below half a million in the past year, reflecting vast progress against the mosquito-borne disease in some of the previously hardest-hit areas of sub-Saharan Africa. The World Health Organization's annual malaria report showed deaths falling to 438,000 in 2015 - down dramatically from 839,000 in 2000 - and found a significant increase in the number of countries moving toward the elimination of malaria.</w:t>
      </w:r>
      <w:r>
        <w:br/>
      </w:r>
      <w:r>
        <w:br/>
      </w:r>
      <w:r>
        <w:t>Two hospitalized, nearly 200 sickened in Seattle norovirus outbreak</w:t>
      </w:r>
      <w:r>
        <w:br/>
      </w:r>
      <w:r>
        <w:br/>
      </w:r>
      <w:r>
        <w:t>Nearly 200 people who attended a catered party at a downtown Seattle office building have become ill with norovirus, a public health official said on Monday. Public health officials closed all the food-service locations inside the Russell Investments Center in downtown Seattle, including a Starbucks location, said Dr. Meagan Kay, a medical epidemiologist for the public health department.</w:t>
      </w:r>
      <w:r>
        <w:br/>
      </w:r>
      <w:r>
        <w:br/>
      </w:r>
      <w:r>
        <w:t>U.S. teens don't exercise enough at school</w:t>
      </w:r>
      <w:r>
        <w:br/>
      </w:r>
      <w:r>
        <w:br/>
      </w:r>
      <w:r>
        <w:t>(Reuters Health) - Even though teens get more exercise at school than anywhere else, it still isn't enough to meet minimum daily activity levels recommended for good physical and mental health, a U.S. study suggests. Children and teens should get at least 60 minutes of moderate to vigorous activity every day, the World Health Organization recommends. But in the U.S., only an estimated 8 percent of youth meet this standard, researchers report in the journal Pediatrics.</w:t>
      </w:r>
      <w:r>
        <w:br/>
      </w:r>
      <w:r>
        <w:br/>
      </w:r>
      <w:r>
        <w:t>Once-a-week diabetes meds are similar in safety and effectiveness</w:t>
      </w:r>
      <w:r>
        <w:br/>
      </w:r>
      <w:r>
        <w:br/>
      </w:r>
      <w:r>
        <w:t>There's little difference in the performance of five new once-a-week drugs to treat diabetes when they're compared to one another, though small differences in side effects emerge, according to a new review of existing evidence. Past studies of the drugs known as glucagon-like peptide-1 receptor agonists - or GLP-1RAs - have found that the medications improve blood sugar control and reduce body weight, but the review's lead author said no research had compared the various versions head-to-head.</w:t>
      </w:r>
      <w:r>
        <w:br/>
      </w:r>
      <w:r>
        <w:br/>
      </w:r>
      <w:r>
        <w:t>Trial for Bayer's Xarelto under scrutiny over defective device</w:t>
      </w:r>
      <w:r>
        <w:br/>
      </w:r>
      <w:r>
        <w:br/>
      </w:r>
      <w:r>
        <w:t>European and U.S. drug safety agencies are looking into whether a defective blood-clotting test device affected a trial involving Bayer's anti-blood clotting drug Xarelto, they said on Tuesday. The study compared Xarelto, also known as rivaroxaban, with older drug warfarin for the prevention of stroked and systemic embolisms in patients with irregular heartbeat.</w:t>
      </w:r>
      <w:r>
        <w:br/>
      </w:r>
      <w:r>
        <w:br/>
      </w:r>
      <w:r>
        <w:t>Boston College now says 80 students ill after eating at Chipotle</w:t>
      </w:r>
      <w:r>
        <w:br/>
      </w:r>
      <w:r>
        <w:br/>
      </w:r>
      <w:r>
        <w:t>Boston College said on Tuesday eighty students fell sick after eating at a Chipotle Mexican Grill Inc restaurant this weekend, but the company said the outbreak appeared to be limited to one outlet and not caused by E. coli. Boston College had said on Monday that thirty students had taken ill after eating at the restaurant in Boston's Cleveland Circle and Chipotle said it had temporarily shut the outlet.</w:t>
      </w:r>
      <w:r>
        <w:br/>
      </w:r>
      <w:r>
        <w:br/>
      </w:r>
      <w:r>
        <w:t>U.S. family doctors plan to provide more varied care in future</w:t>
      </w:r>
      <w:r>
        <w:br/>
      </w:r>
      <w:r>
        <w:br/>
      </w:r>
      <w:r>
        <w:t xml:space="preserve">U.S. family doctors entering the profession today plan to provide a wider variety of medical services than their predecessors, a recent study suggests. To assess changes afoot in the practice of family medicine, researchers analyzed questionnaire data from 3,038 doctors seeking certification for the first time as well as 10,846 physicians renewing their credentials. </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4310A272" wp14:textId="77777777">
      <w:pPr>
        <w:pStyle w:val="Heading1"/>
      </w:pPr>
      <w:r>
        <w:t>Document ID AIWFIE0020150928eb9s0002w</w:t>
      </w:r>
    </w:p>
    <w:p xmlns:wp14="http://schemas.microsoft.com/office/word/2010/wordml" w14:paraId="3FDE071B" wp14:textId="77777777">
      <w:r>
        <w:t>SPARC had earlier received a final approval from US FDA in March 2015 for this product and was evaluating several marketing partners for commercialisation. However, SPARC has now received a CRL from the US FDA rescinding its earlier approval, citing that the compliance status of the manufacturing facility was not acceptable on the date of approval.</w:t>
      </w:r>
      <w:r>
        <w:br/>
      </w:r>
      <w:r>
        <w:br/>
      </w:r>
      <w:r>
        <w:t>Elepsia XR is to be manufactured at Sun Pharmaceutical Industries Ltd (SPIL)'s Halol facility. SPIL is working with US FDA in resolving the cGMP deviations at the facility and has taken several corrective measures.</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7E1E17D4" wp14:textId="77777777">
      <w:pPr>
        <w:pStyle w:val="Heading1"/>
      </w:pPr>
      <w:r>
        <w:t>Document ID HAMW000020150410eb4h0004r</w:t>
      </w:r>
    </w:p>
    <w:p xmlns:wp14="http://schemas.microsoft.com/office/word/2010/wordml" w14:paraId="64FD0FD6" wp14:textId="77777777">
      <w:r>
        <w:t>Our news journalists obtained a quote from the research from Merck &amp; Company, "This may be attributable, in part, to the variable and subjective disease assessment endpoints with large placebo effects typically used to classify patient response. Sixty-one patients with active RA despite methotrexate treatment, and with MRI-documented synovitis, were randomized to receive infliximab or placebo. Blood was collected at baseline and genome-wide transcription in whole blood was measured using microarrays. The primary endpoint in this study was determined by measuring the transfer rate constant (Ktrans) of a gadolinium-based contrast agent from plasma to synovium using MRI. Secondary endpoints included repeated clinical assessments with DAS28(CRP), and assessments of osteitis and synovitis by the RAMRIS method. Infliximab showed greater decrease from baseline in DCE-MRI Ktrans of wrist and MCP at all visits compared with placebo (p &lt;0.001). Statistical analysis was performed to identify genes associated with treatment-specific 14-week change in Ktrans. The 256 genes identified were used to derive a gene signature score by averaging their log expression within each patient. The resulting score correlated with improvement of Ktrans in infliximab-treated patients and with deterioration of Ktrans in placebo-treated subjects. Poor responders showed high expression of activated B-cell genes whereas good responders exhibited a gene expression pattern consistent with mobilization of neutrophils and monocytes and high levels of reticulated platelets. This gene signature was significantly associated with clinical response in two previously published whole blood gene expression studies using anti-TNF therapies. These data provide support for the hypothesis that anti-TNF inadequate responders comprise a distinct molecular subtype of RA characterized by differences in pre-treatment blood mRNA expression."</w:t>
      </w:r>
      <w:r>
        <w:br/>
      </w:r>
      <w:r>
        <w:br/>
      </w:r>
      <w:r>
        <w:t>According to the news editors, the research concluded: "They also highlight the importance of placebo controls and robust, objective endpoints in biomarker discovery."</w:t>
      </w:r>
      <w:r>
        <w:br/>
      </w:r>
      <w:r>
        <w:br/>
      </w:r>
      <w:r>
        <w:t>For more information on this research see: Pre-treatment whole blood gene expression is associated with 14-week response assessed by dynamic contrast enhanced magnetic resonance imaging in infliximab-treated rheumatoid arthritis patients. Plos One, 2014;9(12):e113937. (Public Library of Science - www.plos.org; Plos One - www.plosone.org)</w:t>
      </w:r>
      <w:r>
        <w:br/>
      </w:r>
      <w:r>
        <w:br/>
      </w:r>
      <w:r>
        <w:t>The news correspondents report that additional information may be obtained from K.D. MacIsaac, Merck &amp; Co Inc, Dept. of Genetics and Pharmacogenomics, Boston, Massachusetts, United States. Additional authors for this research include R. Baumgartner, J. Kang, A. Loboda, C. Peterfy, J. DiCarlo, J. Riek and C. Beals.</w:t>
      </w:r>
      <w:r>
        <w:br/>
      </w:r>
      <w:r>
        <w:br/>
      </w:r>
      <w:r>
        <w:t>Keywords for this news article include: Boston, Genetics, Massachusetts, United States, Joint Diseases, Rheumatoid Arthritis, Musculoskeletal Diseases, North and Central America, Autoimmune Diseases and Disorders.</w:t>
      </w:r>
      <w:r>
        <w:br/>
      </w:r>
      <w:r>
        <w:br/>
      </w:r>
      <w:r>
        <w:t>Our reports deliver fact-based news of research and discoveries from around the world. Copyright 2015, NewsRx LLC</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322E2CA4" wp14:textId="77777777">
      <w:pPr>
        <w:pStyle w:val="Heading1"/>
      </w:pPr>
      <w:r>
        <w:t>Document ID OFBOAR0020151005eba1001j6</w:t>
      </w:r>
    </w:p>
    <w:p xmlns:wp14="http://schemas.microsoft.com/office/word/2010/wordml" w14:paraId="754AD626" wp14:textId="77777777">
      <w:r>
        <w:t>URL: www.heritagepharma.com</w:t>
      </w:r>
      <w:r>
        <w:br/>
      </w:r>
      <w:r>
        <w:br/>
      </w:r>
      <w:r>
        <w:t>Industry: Pharmaceuticals</w:t>
      </w:r>
      <w:r>
        <w:br/>
      </w:r>
      <w:r>
        <w:br/>
      </w:r>
      <w:r>
        <w:t>Heritage Pharmaceuticals is a subsidiary of Emcure Pharmaceuticals.</w:t>
      </w:r>
      <w:r>
        <w:br/>
      </w:r>
      <w:r>
        <w:br/>
      </w:r>
      <w:r>
        <w:t>***</w:t>
      </w:r>
      <w:r>
        <w:br/>
      </w:r>
      <w:r>
        <w:br/>
      </w:r>
      <w:r>
        <w:t>Name: Jeffrey Glazer</w:t>
      </w:r>
      <w:r>
        <w:br/>
      </w:r>
      <w:r>
        <w:br/>
      </w:r>
      <w:r>
        <w:t>Title: President and Chief Executive Officer</w:t>
      </w:r>
      <w:r>
        <w:br/>
      </w:r>
      <w:r>
        <w:br/>
      </w:r>
      <w:r>
        <w:t>Biography: http://www.theofficialboard.com/biography/jeffrey-glazer-2</w:t>
      </w:r>
      <w:r>
        <w:br/>
      </w:r>
      <w:r>
        <w:br/>
      </w:r>
      <w:r>
        <w:t>***</w:t>
      </w:r>
      <w:r>
        <w:br/>
      </w:r>
      <w:r>
        <w:br/>
      </w:r>
      <w:r>
        <w:t>Name: Jason Malek</w:t>
      </w:r>
      <w:r>
        <w:br/>
      </w:r>
      <w:r>
        <w:br/>
      </w:r>
      <w:r>
        <w:t>Title: Senior Vice President, Commercial Operations</w:t>
      </w:r>
      <w:r>
        <w:br/>
      </w:r>
      <w:r>
        <w:br/>
      </w:r>
      <w:r>
        <w:t>Biography: http://www.theofficialboard.com/biography/jason-malek</w:t>
      </w:r>
      <w:r>
        <w:br/>
      </w:r>
      <w:r>
        <w:br/>
      </w:r>
      <w:r>
        <w:t>***</w:t>
      </w:r>
      <w:r>
        <w:br/>
      </w:r>
      <w:r>
        <w:br/>
      </w:r>
      <w:r>
        <w:t>Name: Pablo Davila</w:t>
      </w:r>
      <w:r>
        <w:br/>
      </w:r>
      <w:r>
        <w:br/>
      </w:r>
      <w:r>
        <w:t>Title: Senior Director, Scientific Affairs</w:t>
      </w:r>
      <w:r>
        <w:br/>
      </w:r>
      <w:r>
        <w:br/>
      </w:r>
      <w:r>
        <w:t>Biography: http://www.theofficialboard.com/biography/pablo-davila</w:t>
      </w:r>
      <w:r>
        <w:br/>
      </w:r>
      <w:r>
        <w:br/>
      </w:r>
      <w:r>
        <w:t>***</w:t>
      </w:r>
      <w:r>
        <w:br/>
      </w:r>
      <w:r>
        <w:br/>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72E5118B" wp14:textId="77777777">
      <w:pPr>
        <w:pStyle w:val="Heading1"/>
      </w:pPr>
      <w:r>
        <w:t>Document ID DJDN000020150305eb35002ui</w:t>
      </w:r>
    </w:p>
    <w:p xmlns:wp14="http://schemas.microsoft.com/office/word/2010/wordml" w14:paraId="75449D8A" wp14:textId="77777777">
      <w:r>
        <w:t>March 05, 2015 11:41 ET (16:41 GMT)</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2992FBAD" wp14:textId="77777777">
      <w:pPr>
        <w:pStyle w:val="Heading1"/>
      </w:pPr>
      <w:r>
        <w:t>Document ID TELWK00020150313eb3i000ec</w:t>
      </w:r>
    </w:p>
    <w:p xmlns:wp14="http://schemas.microsoft.com/office/word/2010/wordml" w14:paraId="167425A2" wp14:textId="77777777">
      <w:r>
        <w:t>Reporters obtained the following quote from the background information supplied by the inventors: "The present invention relates to a handheld cell excitation terminal capable of dynamic optimization of a therapeutic effect and a remote therapeutic system, in which the cell excitation terminal can perform direct therapy on a human body, and can be used in combination with other devices of the system through a wireless network, so as to perform useful therapy on a human body remotely.</w:t>
      </w:r>
      <w:r>
        <w:br/>
      </w:r>
      <w:r>
        <w:br/>
      </w:r>
      <w:r>
        <w:t>"Currently, conventional needle-based therapeutic methods of acupuncture already exist, in which acupuncture needles are inserted into areas of or near meridians.</w:t>
      </w:r>
      <w:r>
        <w:br/>
      </w:r>
      <w:r>
        <w:br/>
      </w:r>
      <w:r>
        <w:t>"Furthermore, systems enabling a human body to be bathed in electromagnetic (EM) radiation have been available, so as to attempt a useful therapeutic effect on the human body with the intention of achieving the useful therapeutic effect similar to that of the conventional needle-based therapeutic methods. The systems have not yet employed electromagnetism on specific parts, such as meridians.</w:t>
      </w:r>
      <w:r>
        <w:br/>
      </w:r>
      <w:r>
        <w:br/>
      </w:r>
      <w:r>
        <w:t>"The conventional systems, equipment, therapeutic methods, and platforms do not select locations where an EM field (EMF) is applied, since they bathe a user in the EMF or are positioned in uncomfortable locations by a patient. They usually do not include a sensor device for helping a user or patient determine most suitable locations, or are likely to select unsuitable or improper non-optimized EM or magnetic characteristics to perform therapy, thereby possibly resulting in waste of optimal therapeutic periods.</w:t>
      </w:r>
      <w:r>
        <w:br/>
      </w:r>
      <w:r>
        <w:br/>
      </w:r>
      <w:r>
        <w:t>"For example, a Chinese invention patent with the application number being 200810010145.4 discloses a high-energy biological field effect therapeutic apparatus, in which a power circuit is disposed, an output of the power circuit is connected to a sampling amplifier circuit, an output of the sampling amplifier circuit is connected to a pulse generation circuit, an output of the pulse circuit is connected to a power amplifier circuit, an output of the power amplifier circuit is connected to the sampling amplifier circuit through a voltage regulator circuit on one path and connected to an indicator circuit on another path, and an output end of the indicator circuit is disposed with electrodes A and B. Output EM waves adjusted by a voltage ranging from 35 V to 220 V can rapidly open up human body meridians, activate blood, eliminate stasis, expel wind and cold, and adjust the balance of yin and yang among human organs, so as to adjust electric potential differences between human cells, and change structural arrangement of cells and molecules from orderless to orderly; adjust endocrine of the human body, and achieve the acid-base balance of the human body; and decrease the blood viscosity, soften blood vessels, improve the cerebral blood flow, and enhance immunity ability and self-healing ability of the human body, thereby enabling the human body to achieve an optimal state.</w:t>
      </w:r>
      <w:r>
        <w:br/>
      </w:r>
      <w:r>
        <w:br/>
      </w:r>
      <w:r>
        <w:t>"A Chinese invention patent with the application number being 200620031025.9 provides a health-care therapeutic apparatus having a wide EM spectrum, main characteristics of which are as follows. A mainframe is disposed in a middle portion of a cover body, and a spectrum therapeutic device is disposed on the cover body, and the spectrum therapeutic device involves a red spectrum an infrared spectrum. A low-intermediate frequency generator, a spectrum generator, and a control panel are disposed in the mainframe, and are connected to a low-intermediate frequency therapeutic device and a spectrum therapeutic device respectively. The infrared spectrum, the red spectrum, and the low-intermediate frequency spectrum are combined together perfectly, so that in a shared therapeutic range the three spectrums each perform better in the company of others, complement each other, and share resources, thereby realizing functions such as enhancing blood circulation of the human body, activating cells, improving immunity ability, and adjusting the nervous system.</w:t>
      </w:r>
      <w:r>
        <w:br/>
      </w:r>
      <w:r>
        <w:br/>
      </w:r>
      <w:r>
        <w:t>"The existing or claimed ones in the market only provide a static magnetic field, in which waveforms vary regularly with time. The waveforms are repeated, and cannot be modified or adjusted dynamically accordingly by sensing a sick body. The systems can support EMFs of different intensity or amplitudes, but if pulse systems only use the same waveform, a single waveform used by the same single-waveform systems and equipment is a general or non-optimized waveform, and therapeutic means and manners are not diversified, the systems are not applicable in cases in which types of patients are different, symptoms of patients are different, and patients are users."</w:t>
      </w:r>
      <w:r>
        <w:br/>
      </w:r>
      <w:r>
        <w:br/>
      </w:r>
      <w:r>
        <w:t>In addition to obtaining background information on this patent, VerticalNews editors also obtained the inventors' summary information for this patent: "The present invention is directed to a therapeutic system using customized EM waves varying dynamically with time for excitation, which uses bioelectromagnetic waves corresponding to expected physical status of a receiver to perform radiation on a specific part of the receiver.</w:t>
      </w:r>
      <w:r>
        <w:br/>
      </w:r>
      <w:r>
        <w:br/>
      </w:r>
      <w:r>
        <w:t>"In order to achieve the objective, the present invention provides a handheld cell excitation terminal capable of dynamic optimization of a therapeutic effect, which includes:</w:t>
      </w:r>
      <w:r>
        <w:br/>
      </w:r>
      <w:r>
        <w:br/>
      </w:r>
      <w:r>
        <w:t>"a central processing unit (CPU);</w:t>
      </w:r>
      <w:r>
        <w:br/>
      </w:r>
      <w:r>
        <w:br/>
      </w:r>
      <w:r>
        <w:t>"a human body status detection device connected to the CPU and used to detect human body status information;</w:t>
      </w:r>
      <w:r>
        <w:br/>
      </w:r>
      <w:r>
        <w:br/>
      </w:r>
      <w:r>
        <w:t>"one or more EM wave generators, where each of the EM wave generators is connected to the CPU, and the CPU controls, according to a signal detected by the human body status detection device, the bioelectromagnetic wave generator to send bioelectromagnetic waves corresponding to a detected subject; and</w:t>
      </w:r>
      <w:r>
        <w:br/>
      </w:r>
      <w:r>
        <w:br/>
      </w:r>
      <w:r>
        <w:t>"a power device, used to supply power to the devices.</w:t>
      </w:r>
      <w:r>
        <w:br/>
      </w:r>
      <w:r>
        <w:br/>
      </w:r>
      <w:r>
        <w:t>"The present invention further provides a remote medical system using customized EM waves varying dynamically with time for excitation, which includes:</w:t>
      </w:r>
      <w:r>
        <w:br/>
      </w:r>
      <w:r>
        <w:br/>
      </w:r>
      <w:r>
        <w:t>"a CPU;</w:t>
      </w:r>
      <w:r>
        <w:br/>
      </w:r>
      <w:r>
        <w:br/>
      </w:r>
      <w:r>
        <w:t>"a cell excitation terminal, where the cell excitation terminal includes:</w:t>
      </w:r>
      <w:r>
        <w:br/>
      </w:r>
      <w:r>
        <w:br/>
      </w:r>
      <w:r>
        <w:t>"a human body status detection device, used to detect human body status information;</w:t>
      </w:r>
      <w:r>
        <w:br/>
      </w:r>
      <w:r>
        <w:br/>
      </w:r>
      <w:r>
        <w:t>"a device for communication with the outside;</w:t>
      </w:r>
      <w:r>
        <w:br/>
      </w:r>
      <w:r>
        <w:br/>
      </w:r>
      <w:r>
        <w:t>"one or more bioelectromagnetic wave generators, where each of the EM wave generators is connected to the CPU, and the CPU controls, according to a signal detected by the human body status detection device, the bioelectromagnetic wave generator to send bioelectromagnetic waves corresponding to a detected subject; and</w:t>
      </w:r>
      <w:r>
        <w:br/>
      </w:r>
      <w:r>
        <w:br/>
      </w:r>
      <w:r>
        <w:t>"a power device, used to supply power to the devices,</w:t>
      </w:r>
      <w:r>
        <w:br/>
      </w:r>
      <w:r>
        <w:br/>
      </w:r>
      <w:r>
        <w:t>"a server, where the server is connected to the cell excitation terminal through a wireless network, receives and processes the human body status detection information sent by the cell excitation terminal, and sends an instruction, so that the CPU of the cell excitation terminal controls the bioelectromagnetic wave generator to send the bioelectromagnetic waves corresponding to the detected subject.</w:t>
      </w:r>
      <w:r>
        <w:br/>
      </w:r>
      <w:r>
        <w:br/>
      </w:r>
      <w:r>
        <w:t>"Furthermore, the server includes a database, used to store the detected human body status information, other associated therapeutic information, various therapeutic waveforms, and a mapping relationship list of patient sickness and waveforms, the mapping relationship list lists therapeutic bioelectromagnetic waves or bioelectromagnetic wave combinations and therapeutic means corresponding to different human body status.</w:t>
      </w:r>
      <w:r>
        <w:br/>
      </w:r>
      <w:r>
        <w:br/>
      </w:r>
      <w:r>
        <w:t>"Furthermore, the server further includes an optimization module, capable of updating the mapping relationship list of patient sickness and waveforms from time to time, so as to update the relationship list with optimal therapeutic bioelectromagnetic waves.</w:t>
      </w:r>
      <w:r>
        <w:br/>
      </w:r>
      <w:r>
        <w:br/>
      </w:r>
      <w:r>
        <w:t>"The EMF may be a pulsed EMF (PEMF).</w:t>
      </w:r>
      <w:r>
        <w:br/>
      </w:r>
      <w:r>
        <w:br/>
      </w:r>
      <w:r>
        <w:t>"The cell excitation terminal includes a power monitoring device, sending out a signal to call attention to power supplement, when the power is not enough.</w:t>
      </w:r>
      <w:r>
        <w:br/>
      </w:r>
      <w:r>
        <w:br/>
      </w:r>
      <w:r>
        <w:t>"Furthermore, the bioelectromagnetic wave generator includes a waveform multiplexer, selecting corresponding bioelectromagnetic waves from the stored in a server for processing and outputting several required bioelectromagnetic waves being the same or different.</w:t>
      </w:r>
      <w:r>
        <w:br/>
      </w:r>
      <w:r>
        <w:br/>
      </w:r>
      <w:r>
        <w:t>"The human body status detection device includes a heartbeat detector.</w:t>
      </w:r>
      <w:r>
        <w:br/>
      </w:r>
      <w:r>
        <w:br/>
      </w:r>
      <w:r>
        <w:t>"The human body status detection device includes a blood pressure detector.</w:t>
      </w:r>
      <w:r>
        <w:br/>
      </w:r>
      <w:r>
        <w:br/>
      </w:r>
      <w:r>
        <w:t>"The human body status detection device includes a motion sensor.</w:t>
      </w:r>
      <w:r>
        <w:br/>
      </w:r>
      <w:r>
        <w:br/>
      </w:r>
      <w:r>
        <w:t>"Furthermore, the bioelectromagnetic wave generator includes a drive circuit, receiving a waveform signal from a waveform shaper generator and driving an EM oscillating circuit to generate corresponding bioelectromagnetic waves.</w:t>
      </w:r>
      <w:r>
        <w:br/>
      </w:r>
      <w:r>
        <w:br/>
      </w:r>
      <w:r>
        <w:t>"The cell excitation terminal includes a digital-analog (D/A) converter, receiving a digital signal from the CPU and outputs an analog signal to the waveform shaper generator.</w:t>
      </w:r>
      <w:r>
        <w:br/>
      </w:r>
      <w:r>
        <w:br/>
      </w:r>
      <w:r>
        <w:t>"The present invention provides the portable therapeutic system using customized bioelectromagnetic waves varying dynamically with time for excitation, which is used to sense realtime physical status of a patient, for example a blood pressure, a heartbeat or pulse frequency, timely perform changing or replacement by using a different or modified EM pulse or EM pulse combination according to the physical status information, perform radiation on a part, for example a specific part, of a human body in a manner (for example for a period of time), and can modify an EMF, or modify only a magnetic field, or modify only an electric field according to a response of the patient to the EMF, so as to achieve a desired effect, thereby further improving the therapeutic effect. Furthermore, the therapeutic system according to the present invention can perform remote management. The remote server optimizes and updates therapeutic waveforms of a patient constantly according to a therapeutic effect of the patient, so as to be adapted for different patients or different physical status of a patient in different time, thereby improving the therapeutic effect constantly."</w:t>
      </w:r>
      <w:r>
        <w:br/>
      </w:r>
      <w:r>
        <w:br/>
      </w:r>
      <w:r>
        <w:t>For more information, see this patent: Wang, Jian; Ku, Edmond. Handheld Cell Excitation Terminal Capable of Dynamic Optimization of Therapeutic Effect and Remote Therapeutic System. U.S. Patent Number 8968172, filed September 6, 2011, and published online on March 3, 2015. Patent URL: http://patft.uspto.gov/netacgi/nph-Parser?Sect1=PTO1&amp;Sect2=HITOFF&amp;d=PALL&amp;p=1&amp;u=%2Fnetahtml%2FPTO%2Fsrchnum.htm&amp;r=1&amp;f=G&amp;l=50&amp;s1=8968172.PN.&amp;OS=PN/8968172RS=PN/8968172</w:t>
      </w:r>
      <w:r>
        <w:br/>
      </w:r>
      <w:r>
        <w:br/>
      </w:r>
      <w:r>
        <w:t>Keywords for this news article include: Therapeutics, Wireless Network, Wireless Technology, Biomobie Corporation.</w:t>
      </w:r>
      <w:r>
        <w:br/>
      </w:r>
      <w:r>
        <w:br/>
      </w:r>
      <w:r>
        <w:t>Our reports deliver fact-based news of research and discoveries from around the world. Copyright 2015, NewsRx LLC</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0CDCB3DC" wp14:textId="77777777">
      <w:pPr>
        <w:pStyle w:val="Heading1"/>
      </w:pPr>
      <w:r>
        <w:t>Document ID NYTFEED020151228ebct00335</w:t>
      </w:r>
    </w:p>
    <w:p xmlns:wp14="http://schemas.microsoft.com/office/word/2010/wordml" w14:paraId="37A32D12" wp14:textId="77777777">
      <w:r>
        <w:t>That’s one of the findings from the work of Heidi Williams, an M.I.T. economics professor and recent MacArthur Foundation “genius” grant winner, who studied the problem along with Eric Budish, a University of Chicago economics professor, and Ben Roin, assistant professor of technological innovation, entrepreneurship and strategic management at M.I.T.</w:t>
      </w:r>
      <w:r>
        <w:br/>
      </w:r>
      <w:r>
        <w:br/>
      </w:r>
      <w:r>
        <w:t>“R &amp; D on cancer prevention and treatment of early-stage cancer is very socially valuable,” the authors told me in an email, “yet our work shows that society provides private firms — perhaps inadvertently — with surprisingly few incentives to conduct this kind of research.”</w:t>
      </w:r>
      <w:r>
        <w:br/>
      </w:r>
      <w:r>
        <w:br/>
      </w:r>
      <w:r>
        <w:t>To secure F.D.A. approval, after patenting a drug, drug companies race the clock to show that their product is safe and effective. The more quickly they can complete those studies, the longer they have until the patent runs out, which is the period of time during which profit margins are highest. Developing drugs to treat late-stage disease is usually much faster than developing drugs to treat early-stage disease or prevention, because late-stage disease is aggressive and progresses rapidly. This allows companies to see results in clinical trials more quickly, even if those results are only small improvements in survival.</w:t>
      </w:r>
      <w:r>
        <w:br/>
      </w:r>
      <w:r>
        <w:br/>
      </w:r>
      <w:r>
        <w:t>This very lesson is taught in some medicinal chemistry textbooks. For instance, one notes that “some compounds are never developed [into drugs] because the patent protected production time available to recoup the cost of development is too short.”</w:t>
      </w:r>
      <w:r>
        <w:br/>
      </w:r>
      <w:r>
        <w:br/>
      </w:r>
      <w:r>
        <w:t>The clinical trials necessary for the F.D.A. to approve drugs for commercialization take years. Though a patent lasts 20 years (before any extensions), a typical drug comes to market with about 12.5 years of patent life remaining. But would-be innovators have some control over the length of time between receipt of a patent and F.D.A. approval — the “commercialization lag.” By studying patients in whom safety and efficacy can be demonstrated more quickly, innovators can reduce this lag. (Recent studies suggest that commercialization lag times may be decreasing for some types of drugs.)</w:t>
      </w:r>
      <w:r>
        <w:br/>
      </w:r>
      <w:r>
        <w:br/>
      </w:r>
      <w:r>
        <w:t>Many more cancer trials focused on treatments for patients with late-stage cancers than for early-stage cancers, according to the study. Between 1973 and 2011, there were about 12,000 trials for relatively later-stage patients with a 90 percent chance of dying in five years. But there were only about 6,000 focused on earlier-stage patients with a 30 percent chance of dying. And there were over 17,000 trials of patients with the lowest chance of survival (those with recurrent cancers) but only 500 for cancer prevention, which confer the longest survival gains. The bias toward studies focused on patients with shorter survival duration is more prevalent among privately financed trials than for publicly financed ones.</w:t>
      </w:r>
      <w:r>
        <w:br/>
      </w:r>
      <w:r>
        <w:br/>
      </w:r>
      <w:r>
        <w:t>Ms. Williams’s study estimated that the commercialization lag’s incentive to invest in drugs of shorter duration benefit led to 890,000 lost life-years among American patients found to have cancer in 2003 alone.</w:t>
      </w:r>
      <w:r>
        <w:br/>
      </w:r>
      <w:r>
        <w:br/>
      </w:r>
      <w:r>
        <w:t>There are several possible ways to address the commercialization lag. One idea, included in legislation working its way through Congress, is to more routinely confer F.D.A. approval based on indications of improved health that can be measured more quickly than survival — so-called surrogate endpoints, like cancerous white blood cell counts and bone marrow characteristics in leukemia studies. These measures are highly correlated with survival, so they are a reliable way to speed up leukemia drug trials.</w:t>
      </w:r>
      <w:r>
        <w:br/>
      </w:r>
      <w:r>
        <w:br/>
      </w:r>
      <w:r>
        <w:t>According to the study’s analysis, this approach can work. For cancer drugs approved based on some types of validated surrogate endpoints, the researchers found no difference in the number of clinical trials by survival rate. This suggests that surrogate endpoints can undo the bias that arises from the commercialization lag. To date, the only privately financed drugs to prevent cancer — the survival benefits of which would not be apparent for many years — have been F.D.A.-approved based on surrogate endpoints.</w:t>
      </w:r>
      <w:r>
        <w:br/>
      </w:r>
      <w:r>
        <w:br/>
      </w:r>
      <w:r>
        <w:t>Use of surrogate endpoints with no known or strong relationship to survival is controversial. For example, the prostate-specific antigen test level — assessed with a blood test — is correlated with the amount of cancer in the prostate but has limited value in predicting prostate cancer survival. So, though they may be lucrative to drug companies, one would have little confidence that drugs approved based on P.S.A. test results would confer survival benefits. A recent systematic review found that most surrogate endpoints examined in cancer drug trials are weakly related to survival. Though most cancer drugs in recent years have been approved on the basis of surrogate endpoints, a majority of them have unknown or no beneficial survival effects.</w:t>
      </w:r>
      <w:r>
        <w:br/>
      </w:r>
      <w:r>
        <w:br/>
      </w:r>
      <w:r>
        <w:t>Another approach is to extend the period of a drug’s market exclusivity to compensate for the commercialization lag. The Hatch-Waxman Act of 1984 already permits a partial extension — a half year for every year in clinical trial, up to a maximum of five additional years. Ms. Williams’s analysis suggests this is the right idea, but that there are still many potential drugs that receive only very short periods of market exclusivity. The Affordable Care Act includes a provision that grants 12 years of market exclusivity beginning from F.D.A. approval — a half year less than the typical 12.5 years remaining on a patent — but it applies only to biologic drugs.</w:t>
      </w:r>
      <w:r>
        <w:br/>
      </w:r>
      <w:r>
        <w:br/>
      </w:r>
      <w:r>
        <w:t>Drug patents incentivize innovation, and F.D.A. approval is a check regarding drug safety and efficacy. The way they work together affects the incentives for research and could reduce something many would view as highly valuable: cancer prevention.</w:t>
      </w:r>
      <w:r>
        <w:br/>
      </w:r>
      <w:r>
        <w:br/>
      </w:r>
      <w:r>
        <w:t>The Upshot provides news, analysis and graphics about politics, policy and everyday life. Follow us on Facebook and Twitter. Sign up for our newsletter.</w:t>
      </w:r>
      <w:r>
        <w:br/>
      </w:r>
      <w:r>
        <w:br/>
      </w:r>
      <w:r>
        <w:t>Austin Frakt is a health economist with several governmental and academic affiliations. He blogs at The Incidental Economist, and you can follow him on Twitter at @afrakt.</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29562CC1" wp14:textId="77777777">
      <w:pPr>
        <w:pStyle w:val="Heading1"/>
      </w:pPr>
      <w:r>
        <w:t>Document ID LBA0000020150424eb4o00qgt</w:t>
      </w:r>
    </w:p>
    <w:p xmlns:wp14="http://schemas.microsoft.com/office/word/2010/wordml" w14:paraId="17391442" wp14:textId="77777777">
      <w:r>
        <w:t>** Akorn also says it will restate its financial statements for Q2, Q3 and Q4 of 2014 and full-year 2014 as some errors were identified during Q1 financial review process</w:t>
      </w:r>
      <w:r>
        <w:br/>
      </w:r>
      <w:r>
        <w:br/>
      </w:r>
      <w:r>
        <w:t>** Company says errors relate to overstatement of its net revenue for the periods</w:t>
      </w:r>
      <w:r>
        <w:br/>
      </w:r>
      <w:r>
        <w:br/>
      </w:r>
      <w:r>
        <w:t>** Up to Friday's close, stock had risen 53 pct this year</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6DD496CE" wp14:textId="77777777">
      <w:pPr>
        <w:pStyle w:val="Heading1"/>
      </w:pPr>
      <w:r>
        <w:t>Document ID INDFED0020150116eb1g001nx</w:t>
      </w:r>
    </w:p>
    <w:p xmlns:wp14="http://schemas.microsoft.com/office/word/2010/wordml" w14:paraId="3FFBCF04" wp14:textId="77777777">
      <w:r>
        <w:t>Study Start Date: January 2015</w:t>
      </w:r>
      <w:r>
        <w:br/>
      </w:r>
      <w:r>
        <w:br/>
      </w:r>
      <w:r>
        <w:t>Study Type: Interventional</w:t>
      </w:r>
      <w:r>
        <w:br/>
      </w:r>
      <w:r>
        <w:br/>
      </w:r>
      <w:r>
        <w:t>Condition: Cataract</w:t>
      </w:r>
      <w:r>
        <w:br/>
      </w:r>
      <w:r>
        <w:br/>
      </w:r>
      <w:r>
        <w:t>Intervention: Device: Bi flex M multifocal intraocular lens Multifocal intraocular lens Device: Bi flex 1.8 monofocal intraocular lens Standard monofocal intraocular lens</w:t>
      </w:r>
      <w:r>
        <w:br/>
      </w:r>
      <w:r>
        <w:br/>
      </w:r>
      <w:r>
        <w:t>Recruitment Status: Not yet recruiting</w:t>
      </w:r>
      <w:r>
        <w:br/>
      </w:r>
      <w:r>
        <w:br/>
      </w:r>
      <w:r>
        <w:t>Sponsor: Dr Phillip J Buckhurst</w:t>
      </w:r>
      <w:r>
        <w:br/>
      </w:r>
      <w:r>
        <w:br/>
      </w:r>
      <w:r>
        <w:t>Information provided by (Responsible Party): Dr Phillip J Buckhurst, University of Plymouth</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9568db2-1d41-4b16-af3e-eacc6f7c5f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2C6B7A-FBA7-41C8-B316-FA2F342A0EDE}"/>
</file>

<file path=customXml/itemProps3.xml><?xml version="1.0" encoding="utf-8"?>
<ds:datastoreItem xmlns:ds="http://schemas.openxmlformats.org/officeDocument/2006/customXml" ds:itemID="{30A019B7-7EBC-4192-822B-DC860193CC3E}"/>
</file>

<file path=customXml/itemProps4.xml><?xml version="1.0" encoding="utf-8"?>
<ds:datastoreItem xmlns:ds="http://schemas.openxmlformats.org/officeDocument/2006/customXml" ds:itemID="{6E69A4C0-83CD-4CFE-A0D7-C91A88E66C4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