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654946DC" wp14:textId="77777777">
      <w:pPr>
        <w:pStyle w:val="Heading1"/>
      </w:pPr>
      <w:r>
        <w:t>Start of Article 1</w:t>
      </w:r>
    </w:p>
    <w:p xmlns:wp14="http://schemas.microsoft.com/office/word/2010/wordml" w14:paraId="2485D912" wp14:textId="77777777" wp14:noSpellErr="1">
      <w:pPr>
        <w:pStyle w:val="Heading1"/>
      </w:pPr>
      <w:r w:rsidR="29BCED9B">
        <w:rPr/>
        <w:t xml:space="preserve">Document ID </w:t>
      </w:r>
      <w:r w:rsidRPr="29BCED9B" w:rsidR="29BCED9B">
        <w:rPr>
          <w:highlight w:val="yellow"/>
        </w:rPr>
        <w:t>JOENG00020150403eb480042x</w:t>
      </w:r>
    </w:p>
    <w:p xmlns:wp14="http://schemas.microsoft.com/office/word/2010/wordml" w14:paraId="4A359C46" wp14:textId="77777777">
      <w:r>
        <w:t>This patent was filed on May 30, 2012 and was published online on March 24, 2015.</w:t>
      </w:r>
      <w:r>
        <w:br/>
      </w:r>
      <w:r>
        <w:br/>
      </w:r>
      <w:r>
        <w:t>From the background information supplied by the inventors, news correspondents obtained the following quote: "Peroxide and peroxyacid compounds, such as hydrogen peroxide and carbamide peroxide, have been disclosed as useful in teeth whitening compositions, Application of UV or visible light from, e.g., Argon lasers, has been employed to accelerate whitening after application of peroxide compositions to the teeth. Additionally, whitening compositions have been described that include compounds capable of absorbing light and converting it to heat or chemical energy, such as the metal-ligand complexes and metal chelate precursors described in U.S. Pat. No. 6,343,933 to Montgomery et al.</w:t>
      </w:r>
      <w:r>
        <w:br/>
      </w:r>
      <w:r>
        <w:br/>
      </w:r>
      <w:r>
        <w:t>"Red dyes have also been employed to absorb visible or UV energy and produce heat in a bleaching composition as described, e.g., in U.S. Pat. No. 6,485,709 to Banerjee et al. This patent also describes attempts to further enhance such compositions by adding metal ions, an organo-metallic enzyme (e.g., catalase), or using high pH (e.g., above 7) to destabilize or activate the decomposition of hydrogen peroxide. Teeth whitening compositions have also been described that include violet or blue-violet dyes to counter-stain yellow teeth in U.S. Pat. No. 6,030,222 to Tarver. Rhodamine B dye has been employed in a teeth whitening composition as described in WO 02/22097 to Verheyen et al.</w:t>
      </w:r>
      <w:r>
        <w:br/>
      </w:r>
      <w:r>
        <w:br/>
      </w:r>
      <w:r>
        <w:t>"Tooth sensitivity following treatment, and the time required for teeth whitening compositions (typically requiring about an hour of time or multiple applications or both), however, remains a significant drawback."</w:t>
      </w:r>
      <w:r>
        <w:br/>
      </w:r>
      <w:r>
        <w:br/>
      </w:r>
      <w:r>
        <w:t>Supplementing the background information on this patent, VerticalNews reporters also obtained the inventors' summary information for this patent: "The present invention provides novel compositions and methods that whiten teeth in a surprisingly short amount of time (e.g., about 1 to 10 minutes) and with minimal or no sensitivity post-treatment. The invention is based, in part, on the discovery that the use of the dyes described herein dramatically accelerates the whitening process.</w:t>
      </w:r>
      <w:r>
        <w:br/>
      </w:r>
      <w:r>
        <w:br/>
      </w:r>
      <w:r>
        <w:t>"Without wishing to be bound to any particular theory, it is believed that inclusion of these dyes significantly enhances the compositions of the invention at least because it is believed that dentin transmits green light and absorbs blue light. Accordingly, the dyes of the present invention enhance whitening not only at the surface of the tooth, but also may be transmitting light into the tooth to enhance the alteration of color agents by radicals that have penetrated into the tooth surface.</w:t>
      </w:r>
      <w:r>
        <w:br/>
      </w:r>
      <w:r>
        <w:br/>
      </w:r>
      <w:r>
        <w:t>"Another advantage of the present invention is that the compositions can be effective when applied only for a short period of time (e.g., 1 minute in some embodiments). Accordingly, sensitivity due to, e.g., percolation of hydrogen peroxide to the pulp tissue causing (e.g., pulpal inflammation), may be minimized or eliminated. Another advantage of the present invention is that the compositions do not require compounds that generate heat, and therefore, discomfort associated with compositions that generate heat may be minimized or eliminated. Yet another advantage is that dyes can be used (e.g., Eosin B) that are less toxic than dyes such as Rhodamine B.</w:t>
      </w:r>
      <w:r>
        <w:br/>
      </w:r>
      <w:r>
        <w:br/>
      </w:r>
      <w:r>
        <w:t>"In one aspect, the present invention features a tooth whitening composition which includes an oxidizing agent and an activating agent having an emission wavelength between about 400 nm and about 570 nm.</w:t>
      </w:r>
      <w:r>
        <w:br/>
      </w:r>
      <w:r>
        <w:br/>
      </w:r>
      <w:r>
        <w:t>"In one embodiment, the activating agent is capable of emitting green light, blue light or blue-green light, and/or absorbs green light, blue light or blue-green light. In another embodiment, the activating agent comprises Eosin B, Erythrosin B, or both.</w:t>
      </w:r>
      <w:r>
        <w:br/>
      </w:r>
      <w:r>
        <w:br/>
      </w:r>
      <w:r>
        <w:t>"In another embodiment, the composition further includes a stabilizing agent. In one embodiment, the stabilizing agent is sodium acetate.</w:t>
      </w:r>
      <w:r>
        <w:br/>
      </w:r>
      <w:r>
        <w:br/>
      </w:r>
      <w:r>
        <w:t>"In one embodiment, the composition further includes a thickening agent. In one embodiment, the thickening agent is silicon dioxide and/or fumed silica having a particle size less than one micron.</w:t>
      </w:r>
      <w:r>
        <w:br/>
      </w:r>
      <w:r>
        <w:br/>
      </w:r>
      <w:r>
        <w:t>"In one embodiment, the composition further includes a hydrophilic gelling agent. In another embodiment, the composition further includes an accelerator agent. In some embodiments, the accelerator agent includes sodium perborate.</w:t>
      </w:r>
      <w:r>
        <w:br/>
      </w:r>
      <w:r>
        <w:br/>
      </w:r>
      <w:r>
        <w:t>"In one embodiment, the of the composition is between about 8 and about 10.</w:t>
      </w:r>
      <w:r>
        <w:br/>
      </w:r>
      <w:r>
        <w:br/>
      </w:r>
      <w:r>
        <w:t>"The invention also features a method for tooth whitening including applying the tooth whitening composition of the present invention to at least one tooth, and exposing the tooth whitening composition to actinic light such that the tooth is whitened at least about one shade. In one embodiment, the tooth is whitened at least about two shades in less than about 10 minutes or in less than about 5 minutes.</w:t>
      </w:r>
      <w:r>
        <w:br/>
      </w:r>
      <w:r>
        <w:br/>
      </w:r>
      <w:r>
        <w:t>"In one embodiment, post-treatment sensitivity is insignificant or eliminated.</w:t>
      </w:r>
      <w:r>
        <w:br/>
      </w:r>
      <w:r>
        <w:br/>
      </w:r>
      <w:r>
        <w:t>"In one embodiment, the tooth is exposed to the tooth whitening composition for less than 5 seconds per application.</w:t>
      </w:r>
      <w:r>
        <w:br/>
      </w:r>
      <w:r>
        <w:br/>
      </w:r>
      <w:r>
        <w:t>"The invention also features a kit for tooth whitening including a tooth whitening composition of the invention and an apparatus for preparing and/or applying the composition.</w:t>
      </w:r>
      <w:r>
        <w:br/>
      </w:r>
      <w:r>
        <w:br/>
      </w:r>
      <w:r>
        <w:t>"The invention also features a kit for tooth whitening including a tooth whitening composition of the invention and instructions for determining a composition application time to achieve a desired whitening effect.</w:t>
      </w:r>
      <w:r>
        <w:br/>
      </w:r>
      <w:r>
        <w:br/>
      </w:r>
      <w:r>
        <w:t>"The invention also features a method for tooth whitening including at least one application of actinic light and a tooth whitening composition to at least one tooth such that the tooth is whitened at least about two shades with less than about 1 minute of total exposure to actinic light. In one embodiment, the tooth is whitened at least about three shades in less than about 30 seconds. In another embodiment, there is no significant post-treatment sensitivity."</w:t>
      </w:r>
      <w:r>
        <w:br/>
      </w:r>
      <w:r>
        <w:br/>
      </w:r>
      <w:r>
        <w:t>For the URL and additional information on this patent, see: Piergallini, Remigio; Loupis, Nikolaos. Teeth Whitening Compositions and Methods. U.S. Patent Number 8986719, filed May 30, 2012, and published online on March 24, 2015. Patent URL: http://patft.uspto.gov/netacgi/nph-Parser?Sect1=PTO1&amp;Sect2=HITOFF&amp;d=PALL&amp;p=1&amp;u=%2Fnetahtml%2FPTO%2Fsrchnum.htm&amp;r=1&amp;f=G&amp;l=50&amp;s1=8986719.PN.&amp;OS=PN/8986719RS=PN/8986719</w:t>
      </w:r>
      <w:r>
        <w:br/>
      </w:r>
      <w:r>
        <w:br/>
      </w:r>
      <w:r>
        <w:t>Keywords for this news article include: Ions, Chemistry, Electrolytes, Free Radicals, Hydrogen Peroxide, Inorganic Chemicals, KLOX Technologies Inc., Reactive Oxygen Species.</w:t>
      </w:r>
      <w:r>
        <w:br/>
      </w:r>
      <w:r>
        <w:br/>
      </w:r>
      <w:r>
        <w:t>Our reports deliver fact-based news of research and discoveries from around the world. Copyright 2015, NewsRx LLC</w:t>
      </w:r>
    </w:p>
    <w:p xmlns:wp14="http://schemas.microsoft.com/office/word/2010/wordml" w14:paraId="1C71B958" wp14:textId="77777777">
      <w:pPr>
        <w:pStyle w:val="Heading1"/>
      </w:pPr>
      <w:r>
        <w:t>End of Article 1</w:t>
      </w:r>
    </w:p>
    <w:p xmlns:wp14="http://schemas.microsoft.com/office/word/2010/wordml" w14:paraId="672A6659" wp14:textId="77777777">
      <w:r>
        <w:br w:type="page"/>
      </w:r>
    </w:p>
    <w:p xmlns:wp14="http://schemas.microsoft.com/office/word/2010/wordml" w14:paraId="1A1BB6B8" wp14:textId="77777777">
      <w:pPr>
        <w:pStyle w:val="Heading1"/>
      </w:pPr>
      <w:r>
        <w:t>Start of Article 2</w:t>
      </w:r>
    </w:p>
    <w:p xmlns:wp14="http://schemas.microsoft.com/office/word/2010/wordml" w14:paraId="782E0245" wp14:textId="77777777">
      <w:pPr>
        <w:pStyle w:val="Heading1"/>
      </w:pPr>
      <w:r>
        <w:t>Document ID DJDN000020150511eb5b004nh</w:t>
      </w:r>
    </w:p>
    <w:p xmlns:wp14="http://schemas.microsoft.com/office/word/2010/wordml" w14:paraId="392A006C" wp14:textId="77777777">
      <w:r>
        <w:t>The approach doesn't involve a hot new drug or technology. Instead, it's based on being smarter about using the longtime mainstay treatments for ovarian cancer: surgery and chemotherapy.</w:t>
      </w:r>
      <w:r>
        <w:br/>
      </w:r>
      <w:r>
        <w:br/>
      </w:r>
      <w:r>
        <w:t>Using the strategy, which involves assigning a score on the severity of the cancer to guide treatment, doctors at University of Texas MD Anderson Cancer Center in Houston have succeeded in removing all visible disease in 86% of treated women over the past two years. That's more than quadruple the 20% rate the doctors had achieved before starting the protocol.</w:t>
      </w:r>
      <w:r>
        <w:br/>
      </w:r>
      <w:r>
        <w:br/>
      </w:r>
      <w:r>
        <w:t>The doctors haven't yet proved that the strategy will extend lives, but they're anticipating a dramatic impact. Other recent studies indicate that complete surgical removal of visible disease doubles the chances -- to more than 60% -- that a woman will survive at least five years after diagnosis.</w:t>
      </w:r>
      <w:r>
        <w:br/>
      </w:r>
      <w:r>
        <w:br/>
      </w:r>
      <w:r>
        <w:t>The idea was "to take information that's already known and implement it into practice so we could immediately have an impact on patient survival," says Alpa Nick, a gynecological cancer specialist at MD Anderson and a leader of the effort to implement the protocol.</w:t>
      </w:r>
      <w:r>
        <w:br/>
      </w:r>
      <w:r>
        <w:br/>
      </w:r>
      <w:r>
        <w:t>Part of the challenge of treating ovarian cancer is that early symptoms often mimic other less serious problems. It is typically discovered late, after it has already spread beyond the ovaries. Making matters more problematic, as the cancer spreads, tumor cells form a coating over other organs and structures in the abdomen and it is difficult to determine the extent of the disease with imaging.</w:t>
      </w:r>
      <w:r>
        <w:br/>
      </w:r>
      <w:r>
        <w:br/>
      </w:r>
      <w:r>
        <w:t>The initiative, part of what MD Anderson calls its Moon Shots project to significantly reduce mortality across a variety of tumors, reflects broader ongoing efforts to improve results from chemotherapy and other standard treatments.</w:t>
      </w:r>
      <w:r>
        <w:br/>
      </w:r>
      <w:r>
        <w:br/>
      </w:r>
      <w:r>
        <w:t>Oncology is in the midst of headline-grabbing advances in genetically targeted drugs and immunotherapy treatments that are beginning to transform treatment of cancer. But so far, only a relatively small number of patients with only a few types of cancer have benefited. That means most cancer patients continue to be treated with chemotherapy and other standard regimens, such as radiation and surgery.</w:t>
      </w:r>
      <w:r>
        <w:br/>
      </w:r>
      <w:r>
        <w:br/>
      </w:r>
      <w:r>
        <w:t>"They will likely continue to get chemotherapy at some point in their treatment course for a good, long while," says Richard Schilsky, chief medical officer of the American Society of Clinical Oncology. "So it's important to try to improve on" the conventional treatments even as the latest remedies break new ground.</w:t>
      </w:r>
      <w:r>
        <w:br/>
      </w:r>
      <w:r>
        <w:br/>
      </w:r>
      <w:r>
        <w:t>In pediatrics, for example, researchers have essentially cured a wide variety of childhood cancers, even though hardly any new drugs for children's cancer have been approved in the past half century.</w:t>
      </w:r>
      <w:r>
        <w:br/>
      </w:r>
      <w:r>
        <w:br/>
      </w:r>
      <w:r>
        <w:t>In recent years, several large studies, many of them funded by the U.S. National Cancer Institute, have led to improved outcomes for patients with breast, prostate and other tumors. Researchers have shown, for instance, that giving smaller doses of chemo every two weeks instead of aggressive doses every three weeks is associated with better survival, Dr. Schilsky says. At last year's annual ASCO meeting, doctors reported that adding a chemotherapy to widely used hormone therapy significantly extended survival for prostate cancer patients.</w:t>
      </w:r>
      <w:r>
        <w:br/>
      </w:r>
      <w:r>
        <w:br/>
      </w:r>
      <w:r>
        <w:t>More than 21,000 women in the U.S. are expected to be diagnosed with ovarian cancer this year, according to the American Cancer Society. More than 14,000 women will die from the disease, making it the fifth-most lethal cancer for women.</w:t>
      </w:r>
      <w:r>
        <w:br/>
      </w:r>
      <w:r>
        <w:br/>
      </w:r>
      <w:r>
        <w:t>For decades, the standard treatment has been surgery at the time of diagnosis, followed by chemotherapy. But some patients get chemo first, especially in cases where their disease is found in the liver or outside the abdomen. The idea is to reduce the amount of tumor in the body before surgeons operate to remove what remains.</w:t>
      </w:r>
      <w:r>
        <w:br/>
      </w:r>
      <w:r>
        <w:br/>
      </w:r>
      <w:r>
        <w:t>Whether surgery first or chemo first yields the better surgical results isn't clear. A recent large, randomized study comparing the approaches found no difference in survival, but showed that those in each group where all visible cancer was removed fared best.</w:t>
      </w:r>
      <w:r>
        <w:br/>
      </w:r>
      <w:r>
        <w:br/>
      </w:r>
      <w:r>
        <w:t>The goal has always been to remove as much visible cancer as possible. But only in the past few years has research shown the importance of getting all of it -- a goal doctors call an R-zero resection.</w:t>
      </w:r>
      <w:r>
        <w:br/>
      </w:r>
      <w:r>
        <w:br/>
      </w:r>
      <w:r>
        <w:t>"Today there is more and more data that says unless you get to the R-zero resection, the marginal benefit of the surgery really tapers off," says Scott McMeekin, section chief of gynecologic oncology at the University of Oklahoma's Stephenson Cancer Center in Oklahoma City, which has adopted the new approach.</w:t>
      </w:r>
      <w:r>
        <w:br/>
      </w:r>
      <w:r>
        <w:br/>
      </w:r>
      <w:r>
        <w:t>Still, an R-zero resection isn't considered a cure. Residual, microscopic levels of the disease that can't be seen or felt by the surgeon can eventually trigger a recurrence.</w:t>
      </w:r>
      <w:r>
        <w:br/>
      </w:r>
      <w:r>
        <w:br/>
      </w:r>
      <w:r>
        <w:t>At MD Anderson, surgeons were getting an R-zero result in only about 20% of cases, generally in line with that achieved at other centers, researchers say. With the new strategy, "we're really re-looking at the foundation for how we treated women" with the disease, says Karen Lu, chief of gynecologic oncology at MD Anderson.</w:t>
      </w:r>
      <w:r>
        <w:br/>
      </w:r>
      <w:r>
        <w:br/>
      </w:r>
      <w:r>
        <w:t>The protocol, which MD Anderson doctors call the Anderson algorithm, is based on a scoring system developed by Anna Fagotti and her colleagues at Catholic University of the Sacred Heart in Rome. Using a laparoscope inserted through a small incision in the abdomen, the Italian researchers looked directly at the extent of a patient's disease and scored it on a scale of 0 to 14, with 0 the least severe and 14 the most. They showed that patients with a score of 8 or above had a better surgical result if they were given chemo first, while those below 8 did well with surgery first.</w:t>
      </w:r>
      <w:r>
        <w:br/>
      </w:r>
      <w:r>
        <w:br/>
      </w:r>
      <w:r>
        <w:t>As MD Anderson has refined the strategy, two doctors must independently agree on the score. The center began implementing the protocol two years ago. The results so far: Among 105 patients, 73 scored below 8, 10 of whom opted for chemo first anyway. Of the remaining 63 patients, 54, or 86%, had complete removal of visible disease. Of those who scored 8 or higher, 23 underwent three cycles of chemo before surgery, of whom 19 (82%) achieved an R-zero result.</w:t>
      </w:r>
      <w:r>
        <w:br/>
      </w:r>
      <w:r>
        <w:br/>
      </w:r>
      <w:r>
        <w:t>One participating patient was Theresa Duff of Katy, Texas. The 58-year-old retail sales manager at a Dillard's department store was diagnosed in March 2013 and treated at MD Anderson the following month. When told of the protocol, she says, "I was all for it." Though "overwhelmed" by the cancer diagnosis, she believed "the team is only going to do what's good for me. I didn't hesitate."</w:t>
      </w:r>
      <w:r>
        <w:br/>
      </w:r>
      <w:r>
        <w:br/>
      </w:r>
      <w:r>
        <w:t>She scored below 8 and had surgery first, leading to an optimal result. "I'm feeling great and there are no signs of the cancer coming back," she says.</w:t>
      </w:r>
      <w:r>
        <w:br/>
      </w:r>
      <w:r>
        <w:br/>
      </w:r>
      <w:r>
        <w:t>The protocol has another advantage. During laparoscopy, doctors can obtain a tumor specimen that they can compare with a subsequent biopsy obtained at surgery. Moon Shot researchers hope a before-and-after molecular analysis of patients' tumors will reveal clues to new treatments that improve care for ovarian cancer beyond surgery and chemo.</w:t>
      </w:r>
      <w:r>
        <w:br/>
      </w:r>
      <w:r>
        <w:br/>
      </w:r>
      <w:r>
        <w:t>(END) Dow Jones Newswires</w:t>
      </w:r>
      <w:r>
        <w:br/>
      </w:r>
      <w:r>
        <w:br/>
      </w:r>
      <w:r>
        <w:t>May 11, 2015 18:27 ET (22:27 GMT)</w:t>
      </w:r>
    </w:p>
    <w:p xmlns:wp14="http://schemas.microsoft.com/office/word/2010/wordml" w14:paraId="0FDED580" wp14:textId="77777777">
      <w:pPr>
        <w:pStyle w:val="Heading1"/>
      </w:pPr>
      <w:r>
        <w:t>End of Article 2</w:t>
      </w:r>
    </w:p>
    <w:p xmlns:wp14="http://schemas.microsoft.com/office/word/2010/wordml" w14:paraId="0A37501D" wp14:textId="77777777">
      <w:r>
        <w:br w:type="page"/>
      </w:r>
    </w:p>
    <w:p xmlns:wp14="http://schemas.microsoft.com/office/word/2010/wordml" w14:paraId="6E8EB604" wp14:textId="77777777">
      <w:pPr>
        <w:pStyle w:val="Heading1"/>
      </w:pPr>
      <w:r>
        <w:t>Start of Article 3</w:t>
      </w:r>
    </w:p>
    <w:p xmlns:wp14="http://schemas.microsoft.com/office/word/2010/wordml" w14:paraId="193EF669" wp14:textId="77777777">
      <w:pPr>
        <w:pStyle w:val="Heading1"/>
      </w:pPr>
      <w:r>
        <w:t>Document ID ATPHAM0020150831eb8u000bn</w:t>
      </w:r>
    </w:p>
    <w:p xmlns:wp14="http://schemas.microsoft.com/office/word/2010/wordml" w14:paraId="637FDB49" wp14:textId="77777777">
      <w:r>
        <w:t>TWi believes, that the sales strategies for its commercialized generic products will benefit from Dr. Chen's experience, including successfully establishing generic pharmaceutical businesses in the U.S. market and his deep relationships in the industry. Dr. Chen will also lead the Company in its continued execution and strengthening of its research and development, business strategies and further promotion of its business expansion in the United States and international generics markets. TWi believes that, under Dr. Chen's leadership, it will maintain its growth momentum.</w:t>
      </w:r>
      <w:r>
        <w:br/>
      </w:r>
      <w:r>
        <w:br/>
      </w:r>
      <w:r>
        <w:t>Source: TWi Pharmaceuticals</w:t>
      </w:r>
    </w:p>
    <w:p xmlns:wp14="http://schemas.microsoft.com/office/word/2010/wordml" w14:paraId="23301A02" wp14:textId="77777777">
      <w:pPr>
        <w:pStyle w:val="Heading1"/>
      </w:pPr>
      <w:r>
        <w:t>End of Article 3</w:t>
      </w:r>
    </w:p>
    <w:p xmlns:wp14="http://schemas.microsoft.com/office/word/2010/wordml" w14:paraId="5DAB6C7B" wp14:textId="77777777">
      <w:r>
        <w:br w:type="page"/>
      </w:r>
    </w:p>
    <w:p xmlns:wp14="http://schemas.microsoft.com/office/word/2010/wordml" w14:paraId="35371ADB" wp14:textId="77777777">
      <w:pPr>
        <w:pStyle w:val="Heading1"/>
      </w:pPr>
      <w:r>
        <w:t>Start of Article 4</w:t>
      </w:r>
    </w:p>
    <w:p xmlns:wp14="http://schemas.microsoft.com/office/word/2010/wordml" w14:paraId="51F42F90" wp14:textId="77777777">
      <w:pPr>
        <w:pStyle w:val="Heading1"/>
      </w:pPr>
      <w:r>
        <w:t>Document ID RAUNEW0020150406eb4300003</w:t>
      </w:r>
    </w:p>
    <w:p xmlns:wp14="http://schemas.microsoft.com/office/word/2010/wordml" w14:paraId="3C2E87CB" wp14:textId="77777777">
      <w:r>
        <w:t>SpaceOAR reduces side effects from radiation exposure to the rectum, such as diarrhea and fecal incontinence. It also potentially allows a higher dose of radiation to be used during radiotherapy and fewer treatment sessions.</w:t>
      </w:r>
      <w:r>
        <w:br/>
      </w:r>
      <w:r>
        <w:br/>
      </w:r>
      <w:r>
        <w:t>Full clinical trial results are expected to be published in a medical journal later this year.</w:t>
      </w:r>
      <w:r>
        <w:br/>
      </w:r>
      <w:r>
        <w:br/>
      </w:r>
      <w:r>
        <w:t>Source</w:t>
      </w:r>
      <w:r>
        <w:br/>
      </w:r>
      <w:r>
        <w:br/>
      </w:r>
      <w:r>
        <w:t xml:space="preserve">* Augmenix news release, April 2, 2015. </w:t>
      </w:r>
    </w:p>
    <w:p xmlns:wp14="http://schemas.microsoft.com/office/word/2010/wordml" w14:paraId="06BBFE80" wp14:textId="77777777">
      <w:pPr>
        <w:pStyle w:val="Heading1"/>
      </w:pPr>
      <w:r>
        <w:t>End of Article 4</w:t>
      </w:r>
    </w:p>
    <w:p xmlns:wp14="http://schemas.microsoft.com/office/word/2010/wordml" w14:paraId="02EB378F" wp14:textId="77777777">
      <w:r>
        <w:br w:type="page"/>
      </w:r>
    </w:p>
    <w:p xmlns:wp14="http://schemas.microsoft.com/office/word/2010/wordml" w14:paraId="317907DB" wp14:textId="77777777">
      <w:pPr>
        <w:pStyle w:val="Heading1"/>
      </w:pPr>
      <w:r>
        <w:t>Start of Article 5</w:t>
      </w:r>
    </w:p>
    <w:p xmlns:wp14="http://schemas.microsoft.com/office/word/2010/wordml" w14:paraId="125F686D" wp14:textId="77777777">
      <w:pPr>
        <w:pStyle w:val="Heading1"/>
      </w:pPr>
      <w:r>
        <w:t>Document ID UWIR000020150417eb4g000f1</w:t>
      </w:r>
    </w:p>
    <w:p xmlns:wp14="http://schemas.microsoft.com/office/word/2010/wordml" w14:paraId="6DF2A663" wp14:textId="77777777">
      <w:r>
        <w:t>Although medical therapeutics can save you from the clutches of Hepatitis C, polio and tetanus, they have one glaring failure that dims their vast and storied accomplishments: ultimately, no medicine in the world will save you from your own immune system.</w:t>
      </w:r>
      <w:r>
        <w:br/>
      </w:r>
      <w:r>
        <w:br/>
      </w:r>
      <w:r>
        <w:t>My best friend is allergic to gluten, my cousin is severely allergic to peanuts and my brother is allergic to dairy. At times, it seems like everyone I know has some sort of intolerance.</w:t>
      </w:r>
      <w:r>
        <w:br/>
      </w:r>
      <w:r>
        <w:br/>
      </w:r>
      <w:r>
        <w:t>And as it turns out, I am not just being paranoid. According to a 2013 report released by the Centers for Disease Control and Prevention, food allergies have increased about 50 percent between 1997 and 2011. In fact, every three minutes an allergic reaction sends someone to the emergency room.</w:t>
      </w:r>
      <w:r>
        <w:br/>
      </w:r>
      <w:r>
        <w:br/>
      </w:r>
      <w:r>
        <w:t>Though the number of people diagnosed with food allergies keeps increasing, there is no consensus on what process is responsible for the pattern. This is alarming because food allergies have no cure. Strict avoidance of potential allergens is recommended, but nothing can make allergies vanish.</w:t>
      </w:r>
      <w:r>
        <w:br/>
      </w:r>
      <w:r>
        <w:br/>
      </w:r>
      <w:r>
        <w:t>Why has science failed us and why haven’t researchers developed a cure yet? One prevailing idea is the hygiene hypothesis.</w:t>
      </w:r>
      <w:r>
        <w:br/>
      </w:r>
      <w:r>
        <w:br/>
      </w:r>
      <w:r>
        <w:t>Though we often think of ourselves as individuals, our body is actually an ecosystem for a vast number of microbes. We house over 10 trillion microbial cells (compared to our pitiful 1 trillion human cells) and these organisms coat our body surfaces to produce necessary vitamins, digest our food and help our immune system distinguish between friendly visitors and dangerous pathogens.</w:t>
      </w:r>
      <w:r>
        <w:br/>
      </w:r>
      <w:r>
        <w:br/>
      </w:r>
      <w:r>
        <w:t>The hygiene hypothesis says that our complex body ecosystem has experienced a depletion in microbial diversity over the last century. Two contributing factors include increased consumption of processed items like sugar or pharmaceutical drugs and widespread usage of pesticides or harsh chemicals. However, the main reason why our delicate microflora balance seems to be under assault has to do with the physical environment.</w:t>
      </w:r>
      <w:r>
        <w:br/>
      </w:r>
      <w:r>
        <w:br/>
      </w:r>
      <w:r>
        <w:t>Developed nations have become so clean that their surroundings do not contain the requisite germs needed to train our immune systems. As a result, our immune systems have not been educated to solely launch their defense systems against infectious agents. Since our naive immune systems do not receive the necessary input from their microbial neighbors, they tend to overreact when they come in contact with benign substances.</w:t>
      </w:r>
      <w:r>
        <w:br/>
      </w:r>
      <w:r>
        <w:br/>
      </w:r>
      <w:r>
        <w:t>This environmental sanitation change has occurred within such a short evolutionary time span that humans have not had time to adapt without microbial guidance.</w:t>
      </w:r>
      <w:r>
        <w:br/>
      </w:r>
      <w:r>
        <w:br/>
      </w:r>
      <w:r>
        <w:t>Examining the global incidences of food allergies shows that although most countries show increasing food allergy rates, this phenomenon is primarily a first world problem. How ironic that countries with the cleanliest environments suffer the most — who would have thought that the Western world’s quest for hygiene would be so problematic?</w:t>
      </w:r>
      <w:r>
        <w:br/>
      </w:r>
      <w:r>
        <w:br/>
      </w:r>
      <w:r>
        <w:t>According to this hypothesis, we need to allow our microbiome to re-equilibrate. Perhaps stay away from antibacterial soaps, limit hand sanitizer use and eat more natural, organic foods.</w:t>
      </w:r>
      <w:r>
        <w:br/>
      </w:r>
      <w:r>
        <w:br/>
      </w:r>
      <w:r>
        <w:t>Though these suggestions may help individuals temporarily cultivate a slightly richer microbiome, in the end these are very short-term fixes; the rise in food allergies seems more associated with specific lifestyles. It is literally the clean air we breathe and germ-free water we drink that is our downfall.</w:t>
      </w:r>
      <w:r>
        <w:br/>
      </w:r>
      <w:r>
        <w:br/>
      </w:r>
      <w:r>
        <w:t>Scientists have not been able to develop a magical panacea for food allergies because this involves the enormous task of educating the immune system to stop misbehaving, and taking on the role of our microbiome. Who knows which specific organism allows our body to properly function? Each individual has a unique microbiome which continually changes throughout his life. It is the interaction of various organisms which allows our body to carry out specific tasks. Developing a cure-all is a monumental task. Though desensitization therapies exist — in which patients are gradually introduced to miniscule amounts of a food allergen until they can tolerate larger amounts without reacting to the substance — it cannot be tested on people with severe allergies.</w:t>
      </w:r>
      <w:r>
        <w:br/>
      </w:r>
      <w:r>
        <w:br/>
      </w:r>
      <w:r>
        <w:t>As for now, all we can really do is find ways to change our lifestyle to incorporate more microbes into our body collections. Eventually if we wait long enough, evolution should do the trick and better equip our immune systems to deal with the clean environment. Regardless, we need to stop insulating ourselves from the world and its microorganism inhabitants! So — for the sake of your health — get up, get out, and don’t be afraid to get dirty.</w:t>
      </w:r>
      <w:r>
        <w:br/>
      </w:r>
      <w:r>
        <w:br/>
      </w:r>
      <w:r>
        <w:t>Nikita Deshpande is a freshman in the College. This is the final appearance of The Century Cap this semester.</w:t>
      </w:r>
      <w:r>
        <w:br/>
      </w:r>
      <w:r>
        <w:br/>
      </w:r>
      <w:r>
        <w:t>Have a reaction to this article? Write a letter to the editor. Tags: GERMS, health, immunity, Nikita Deshpande</w:t>
      </w:r>
      <w:r>
        <w:br/>
      </w:r>
      <w:r>
        <w:br/>
      </w:r>
      <w:r>
        <w:t>((Distributed for UWIRE via M2 Communications www.m2.com))</w:t>
      </w:r>
    </w:p>
    <w:p xmlns:wp14="http://schemas.microsoft.com/office/word/2010/wordml" w14:paraId="5BF0DC42" wp14:textId="77777777">
      <w:pPr>
        <w:pStyle w:val="Heading1"/>
      </w:pPr>
      <w:r>
        <w:t>End of Article 5</w:t>
      </w:r>
    </w:p>
    <w:p xmlns:wp14="http://schemas.microsoft.com/office/word/2010/wordml" w14:paraId="6A05A809" wp14:textId="77777777">
      <w:r>
        <w:br w:type="page"/>
      </w:r>
    </w:p>
    <w:p xmlns:wp14="http://schemas.microsoft.com/office/word/2010/wordml" w14:paraId="384B2BF2" wp14:textId="77777777">
      <w:pPr>
        <w:pStyle w:val="Heading1"/>
      </w:pPr>
      <w:r>
        <w:t>Start of Article 6</w:t>
      </w:r>
    </w:p>
    <w:p xmlns:wp14="http://schemas.microsoft.com/office/word/2010/wordml" w14:paraId="5C9FACCE" wp14:textId="77777777">
      <w:pPr>
        <w:pStyle w:val="Heading1"/>
      </w:pPr>
      <w:r>
        <w:t>Document ID HAMW000020150529eb6500135</w:t>
      </w:r>
    </w:p>
    <w:p xmlns:wp14="http://schemas.microsoft.com/office/word/2010/wordml" w14:paraId="6A9C22B8" wp14:textId="77777777">
      <w:r>
        <w:t>Attendance at the conference is by invitation only for clients of Jefferies, but a simultaneous live audio webcast and subsequent archived replay of the presentation will be accessible at http://wsw.com/webcast/jeff88/btx. The replay will be available for approximately 90 days after the event. About BioTime BioTime, Inc., a pioneer in regenerative medicine, is a clinical-stage biotechnology company. BioTime and its subsidiaries are leveraging their industry-leading experience in pluripotent stem cell technology and a broad intellectual property portfolio to facilitate the development and use of cell-based therapies and gene marker-based molecular diagnostics for major diseases and degenerative conditions for which there presently are no cures. The lead clinical programs of BioTime and its subsidiaries include OpRegen(R), currently in a Phase I/IIa trial for the treatment of the dry form of age-related macular degeneration; AST-OPC1, currently in a Phase I/IIa trial for spinal cord injuries; Renevia(TM), currently in a pivotal trial in Europe as an injectable matrix for the engraftment of transplanted cells to treat HIV-related lipoatrophy; and PanC-Dx(TM) cancer diagnostics, nearing the completion of initial clinical studies for the detection of bladder, breast, and lung cancers. AST-VAC2, a cancer vaccine, is in the pre-clinical trial stage.</w:t>
      </w:r>
      <w:r>
        <w:br/>
      </w:r>
      <w:r>
        <w:br/>
      </w:r>
      <w:r>
        <w:t>BioTime's subsidiaries include the publicly traded Asterias Biotherapeutics, Inc. (NYSE MKT: AST), developing pluripotent stem cell-based therapies in neurology and oncology, including AST-OPC1 and AST-VAC2; Cell Cure Neurosciences Ltd., developing stem cell-based therapies for retinal and neurological disorders, including OpRegen(R); OncoCyte Corporation, developing PanC-Dx(TM) cancer diagnostics; LifeMap Sciences, Inc., developing and marketing an integrated on-line database resource for biomedical and stem cell research; LifeMap Solutions, Inc., a subsidiary of LifeMap Sciences, developing mobile health (mHealth) products; ES Cell International Pte Ltd, which has developed cGMP-compliant human embryonic stem cell lines that are being marketed by BioTime for research purposes under the ESI BIO branding program; OrthoCyte Corporation, developing therapies to treat orthopedic disorders, diseases and injuries; and ReCyte Therapeutics, Inc., developing therapies to treat a variety of cardiovascular and related ischemic disorders.</w:t>
      </w:r>
      <w:r>
        <w:br/>
      </w:r>
      <w:r>
        <w:br/>
      </w:r>
      <w:r>
        <w:t>BioTime common stock is traded on the NYSE MKT under the symbol BTX. For more information, please visit www.biotimeinc.com or connect with the company on Twitter, LinkedIn, Facebook, YouTube, and Google+.</w:t>
      </w:r>
      <w:r>
        <w:br/>
      </w:r>
      <w:r>
        <w:br/>
      </w:r>
      <w:r>
        <w:t>Keywords for this news article include: Oncology, BioTime Inc., Cancer Vaccines, Stem Cell Research, Clinical Trials and Studies.</w:t>
      </w:r>
      <w:r>
        <w:br/>
      </w:r>
      <w:r>
        <w:br/>
      </w:r>
      <w:r>
        <w:t>Our reports deliver fact-based news of research and discoveries from around the world. Copyright 2015, NewsRx LLC</w:t>
      </w:r>
    </w:p>
    <w:p xmlns:wp14="http://schemas.microsoft.com/office/word/2010/wordml" w14:paraId="38C1D216" wp14:textId="77777777">
      <w:pPr>
        <w:pStyle w:val="Heading1"/>
      </w:pPr>
      <w:r>
        <w:t>End of Article 6</w:t>
      </w:r>
    </w:p>
    <w:p xmlns:wp14="http://schemas.microsoft.com/office/word/2010/wordml" w14:paraId="5A39BBE3" wp14:textId="77777777">
      <w:r>
        <w:br w:type="page"/>
      </w:r>
    </w:p>
    <w:p xmlns:wp14="http://schemas.microsoft.com/office/word/2010/wordml" w14:paraId="5220BA90" wp14:textId="77777777">
      <w:pPr>
        <w:pStyle w:val="Heading1"/>
      </w:pPr>
      <w:r>
        <w:t>Start of Article 7</w:t>
      </w:r>
    </w:p>
    <w:p xmlns:wp14="http://schemas.microsoft.com/office/word/2010/wordml" w14:paraId="0A74AF13" wp14:textId="77777777">
      <w:pPr>
        <w:pStyle w:val="Heading1"/>
      </w:pPr>
      <w:r>
        <w:t>Document ID NBPPBS0020151020ebak0020h</w:t>
      </w:r>
    </w:p>
    <w:p xmlns:wp14="http://schemas.microsoft.com/office/word/2010/wordml" w14:paraId="365851E3" wp14:textId="77777777">
      <w:r>
        <w:t>MANAGEMENT SCORECARD FOR INSITE VISION INC.:</w:t>
      </w:r>
      <w:r>
        <w:br/>
      </w:r>
      <w:r>
        <w:br/>
      </w:r>
      <w:r>
        <w:t>Brian Levy's performance for Insite Vision is placed 253/1,454 in BSS News Bites's ranking of OTC performers in the past year, a percentile ranking of 82%.</w:t>
      </w:r>
      <w:r>
        <w:br/>
      </w:r>
      <w:r>
        <w:br/>
      </w:r>
      <w:r>
        <w:t>Key Financials:</w:t>
      </w:r>
      <w:r>
        <w:br/>
      </w:r>
      <w:r>
        <w:br/>
      </w:r>
      <w:r>
        <w:t>(all figures in pct)</w:t>
      </w:r>
      <w:r>
        <w:br/>
      </w:r>
      <w:r>
        <w:br/>
      </w:r>
      <w:r>
        <w:t xml:space="preserve"> Revenue Growth  EPS Growth  Operating Margin</w:t>
      </w:r>
      <w:r>
        <w:br/>
      </w:r>
      <w:r>
        <w:t>2014            -73.4       400 -</w:t>
      </w:r>
      <w:r>
        <w:br/>
      </w:r>
      <w:r>
        <w:t>2013            42.4        -   -</w:t>
      </w:r>
      <w:r>
        <w:br/>
      </w:r>
      <w:r>
        <w:t>2012            29.9        -   -</w:t>
      </w:r>
      <w:r>
        <w:br/>
      </w:r>
      <w:r>
        <w:t>2011            34.2        -   17.8</w:t>
      </w:r>
      <w:r>
        <w:br/>
      </w:r>
      <w:r>
        <w:br/>
      </w:r>
      <w:r>
        <w:br/>
      </w:r>
      <w:r>
        <w:t xml:space="preserve"> Share Price (USD)  Market Capitalisation ($)</w:t>
      </w:r>
      <w:r>
        <w:br/>
      </w:r>
      <w:r>
        <w:t>Last               0.4 46.2 million</w:t>
      </w:r>
      <w:r>
        <w:br/>
      </w:r>
      <w:r>
        <w:t>1 Year ago         0.3 38.3 million</w:t>
      </w:r>
      <w:r>
        <w:br/>
      </w:r>
      <w:r>
        <w:t>2 Years ago        0.2 30.5 million</w:t>
      </w:r>
      <w:r>
        <w:br/>
      </w:r>
      <w:r>
        <w:t>3 Years ago        0.4 49.9 million</w:t>
      </w:r>
      <w:r>
        <w:br/>
      </w:r>
      <w:r>
        <w:t>4 Years ago        0.5 47.4 million</w:t>
      </w:r>
      <w:r>
        <w:br/>
      </w:r>
      <w:r>
        <w:t>5 Years ago        0.3 26.6 million</w:t>
      </w:r>
      <w:r>
        <w:br/>
      </w:r>
      <w:r>
        <w:br/>
      </w:r>
      <w:r>
        <w:br/>
      </w:r>
      <w:r>
        <w:t>Biography</w:t>
      </w:r>
      <w:r>
        <w:br/>
      </w:r>
      <w:r>
        <w:br/>
      </w:r>
      <w:r>
        <w:t>Brian Levy, Director</w:t>
      </w:r>
      <w:r>
        <w:br/>
      </w:r>
      <w:r>
        <w:br/>
      </w:r>
      <w:r>
        <w:t>Brian Levy, O.D. M.Sc. is currently the Chief Medical Officer of Aerie Pharmaceuticals, a company developing novel technologies for the treatment of patients with glaucoma, a position he has held since January 2012. From June 2010 until October 2011, Dr. Levy was Chief Scientific Officer of Nexis Vision, a company developing technologies for refractive correction of the eye. From June 2008 to November 2009, Dr. Levy was the Chief Operating Officer of Danube Pharmaceuticals, a venture-backed company developing therapeutics for the treatment of patients with glaucoma. From September 1994 to June 2008, Dr. Levy held a series of senior leadership positions with Bausch &amp; Lomb, which included Corporate Vice President and Chief Medical Officer responsible for clinical development, medical affairs and product safety for all Bausch &amp; Lomb businesses worldwide. While at Bausch &amp; Lomb, he oversaw the development of Retisert, Zylet and Besivance. Dr. Levy is also a Clinical Professor of Ophthalmology at the University of Rochester in New York. He earned a Doctor of Optometry degree from the University of California, Berkeley in 1976 and a Master of Science Degree in comparative anatomy and physiology of the eye from the University of Waterloo, Canada. Dr. Levy's medical and management background and experience aid the Board in its understanding of our business, planning clinical trials and otherwise developing our product candidates, as well as formulating our business strategy.</w:t>
      </w:r>
      <w:r>
        <w:br/>
      </w:r>
      <w:r>
        <w:br/>
      </w:r>
      <w:r>
        <w:t>Source: BuySellSignals.com</w:t>
      </w:r>
    </w:p>
    <w:p xmlns:wp14="http://schemas.microsoft.com/office/word/2010/wordml" w14:paraId="65405D21" wp14:textId="77777777">
      <w:pPr>
        <w:pStyle w:val="Heading1"/>
      </w:pPr>
      <w:r>
        <w:t>End of Article 7</w:t>
      </w:r>
    </w:p>
    <w:p xmlns:wp14="http://schemas.microsoft.com/office/word/2010/wordml" w14:paraId="41C8F396" wp14:textId="77777777">
      <w:r>
        <w:br w:type="page"/>
      </w:r>
    </w:p>
    <w:p xmlns:wp14="http://schemas.microsoft.com/office/word/2010/wordml" w14:paraId="112FA418" wp14:textId="77777777">
      <w:pPr>
        <w:pStyle w:val="Heading1"/>
      </w:pPr>
      <w:r>
        <w:t>Start of Article 8</w:t>
      </w:r>
    </w:p>
    <w:p xmlns:wp14="http://schemas.microsoft.com/office/word/2010/wordml" w14:paraId="68221688" wp14:textId="77777777">
      <w:pPr>
        <w:pStyle w:val="Heading1"/>
      </w:pPr>
      <w:r>
        <w:t>Document ID HAMW000020150130eb26001ab</w:t>
      </w:r>
    </w:p>
    <w:p xmlns:wp14="http://schemas.microsoft.com/office/word/2010/wordml" w14:paraId="52E53A9C" wp14:textId="77777777">
      <w:r>
        <w:t>RCW breast cancer is difficult to treat and has a poor prognosis with a significant impact on a patient's quality of life. Patients with highly resistant tumors found on the chest wall often see their cancer progress despite previous treatment attempts including chemotherapy, radiation therapy and hormone therapy. There are approximately 25,000 to 35,000 incidence of RCW breast cancer in the EU alone and thermal therapy is a well-accepted strategy for treating patients. Recent findings from two Phase I studies and an ongoing open label Phase II study indicate that when combined with thermal therapy, ThermoDox can demonstrate significant overall response rates and tumor control in post mastectomy, refractory patients.</w:t>
      </w:r>
      <w:r>
        <w:br/>
      </w:r>
      <w:r>
        <w:br/>
      </w:r>
      <w:r>
        <w:t>Early Access Programs (EAP) allow biopharmaceutical companies to provide eligible patients with ethical access to investigational medicines for unmet medical needs within the scope of the existing early access legislation. Access is provided in response to physician requests in a fully compliant manner, where no alternative treatment options are available to these patients. Celsion will provide ThermoDox(R) to centers of excellence in the EU and Switzerland through its Early Access Program with myTomorrows, at prices that are comparable to chemotherapeutics used to treat this and other aggressive form of cancer. The Company expects to have ThermoDox(R) available for the EAP in the second quarter of 2015.</w:t>
      </w:r>
      <w:r>
        <w:br/>
      </w:r>
      <w:r>
        <w:br/>
      </w:r>
      <w:r>
        <w:t>"We are very excited to make ThermoDox(R) available to patients with breast cancer who have few options once the tumors have progressed to the chest wall. Patients with highly resistant tumors found on the chest wall often see their cancer progress despite treatment which typically involves chemotherapy, radiation therapy and hormone therapy," stated Dr. Nicolas Borys, Celsion's Senior Vice President and Chief Medical Officer. "ThermoDox(R) coupled with mild hyperthermia therapy appears to be active in these heavily pre-treated patients with RCW breast cancer. I look forward to working with prescribing physicians and myTomorrows to bring this promising and innovative medicine to the European medical community."</w:t>
      </w:r>
      <w:r>
        <w:br/>
      </w:r>
      <w:r>
        <w:br/>
      </w:r>
      <w:r>
        <w:t>"Celsion is honored and proud to be part of this important Early Access Program that affects the lives of thousands of women each year. This Early Access Program emphasizes our commitment to addressing refractory RCW breast cancer and to providing patients and their physicians with early access to our promising therapeutic approach," said Michael H. Tardugno, Celsion's Chairman, President and Chief Executive Officer. "In addition to the Early Access Program, we are expanding our development efforts in this indication and plan to initiate a European-based Phase II clinical trial in RCW breast cancer patients. Our common goal is to develop and provide the most effective therapies to improve and prolong the quality of life."</w:t>
      </w:r>
      <w:r>
        <w:br/>
      </w:r>
      <w:r>
        <w:br/>
      </w:r>
      <w:r>
        <w:t>Keywords for this news article include: Cancer, Therapy, Hormones, Oncology, Celsion Corporation.</w:t>
      </w:r>
      <w:r>
        <w:br/>
      </w:r>
      <w:r>
        <w:br/>
      </w:r>
      <w:r>
        <w:t>Our reports deliver fact-based news of research and discoveries from around the world. Copyright 2015, NewsRx LLC</w:t>
      </w:r>
    </w:p>
    <w:p xmlns:wp14="http://schemas.microsoft.com/office/word/2010/wordml" w14:paraId="436A8518" wp14:textId="77777777">
      <w:pPr>
        <w:pStyle w:val="Heading1"/>
      </w:pPr>
      <w:r>
        <w:t>End of Article 8</w:t>
      </w:r>
    </w:p>
    <w:p xmlns:wp14="http://schemas.microsoft.com/office/word/2010/wordml" w14:paraId="72A3D3EC" wp14:textId="77777777">
      <w:r>
        <w:br w:type="page"/>
      </w:r>
    </w:p>
    <w:p xmlns:wp14="http://schemas.microsoft.com/office/word/2010/wordml" w14:paraId="3A768C6B" wp14:textId="77777777">
      <w:pPr>
        <w:pStyle w:val="Heading1"/>
      </w:pPr>
      <w:r>
        <w:t>Start of Article 9</w:t>
      </w:r>
    </w:p>
    <w:p xmlns:wp14="http://schemas.microsoft.com/office/word/2010/wordml" w14:paraId="089549DE" wp14:textId="77777777">
      <w:pPr>
        <w:pStyle w:val="Heading1"/>
      </w:pPr>
      <w:r>
        <w:t>Document ID DJDN000020150116eb1g002ak</w:t>
      </w:r>
    </w:p>
    <w:p xmlns:wp14="http://schemas.microsoft.com/office/word/2010/wordml" w14:paraId="26699352" wp14:textId="77777777">
      <w:r>
        <w:t>January 16, 2015 11:06 ET (16:06 GMT)</w:t>
      </w:r>
    </w:p>
    <w:p xmlns:wp14="http://schemas.microsoft.com/office/word/2010/wordml" w14:paraId="79DB7A3A" wp14:textId="77777777">
      <w:pPr>
        <w:pStyle w:val="Heading1"/>
      </w:pPr>
      <w:r>
        <w:t>End of Article 9</w:t>
      </w:r>
    </w:p>
    <w:p xmlns:wp14="http://schemas.microsoft.com/office/word/2010/wordml" w14:paraId="0D0B940D" wp14:textId="77777777">
      <w:r>
        <w:br w:type="page"/>
      </w:r>
    </w:p>
    <w:p xmlns:wp14="http://schemas.microsoft.com/office/word/2010/wordml" w14:paraId="568594CE" wp14:textId="77777777">
      <w:pPr>
        <w:pStyle w:val="Heading1"/>
      </w:pPr>
      <w:r>
        <w:t>Start of Article 10</w:t>
      </w:r>
    </w:p>
    <w:p xmlns:wp14="http://schemas.microsoft.com/office/word/2010/wordml" w14:paraId="72A9AE65" wp14:textId="77777777">
      <w:pPr>
        <w:pStyle w:val="Heading1"/>
      </w:pPr>
      <w:r>
        <w:t>Document ID ATPHAB0020151212ebcc0000d</w:t>
      </w:r>
    </w:p>
    <w:p xmlns:wp14="http://schemas.microsoft.com/office/word/2010/wordml" w14:paraId="7DC2784F" wp14:textId="77777777">
      <w:r>
        <w:t>"We are very encouraged by the outcome of today's FDA Advisory Committee meeting, which brings us one step closer to potentially providing a new, targeted treatment option for a specific group of patients with inadequately controlled asthma and evidence of ongoing eosinophilic inflammation. This group of patients often experiences persistent symptoms despite standard-of-care treatment, demonstrating a need for more targeted treatment options based on patient phenotype."</w:t>
      </w:r>
      <w:r>
        <w:br/>
      </w:r>
      <w:r>
        <w:br/>
      </w:r>
      <w:r>
        <w:t>The Advisory Committee's recommendation will be considered by the FDA in its review of the Biologics License Application (BLA) for reslizumab. The FDA is not bound by the Committee's recommendation, but takes its advice into consideration when reviewing investigational medicines. The reslizumab BLA was accepted for standard review by the FDA and Regulatory Action is expected in March 2016. Additional regulatory filings for reslizumab have been completed in the EU and Canada.</w:t>
      </w:r>
      <w:r>
        <w:br/>
      </w:r>
      <w:r>
        <w:br/>
      </w:r>
      <w:r>
        <w:t>Reslizumab is an investigational humanized interleukin-5 (IL-5) antagonist IgG4K monoclonal antibody (mAb), for the treatment of inadequately controlled asthma in adult and adolescent patients with elevated blood eosinophils, despite an inhaled corticosteroid (ICS)-based regimen. IL-5 is the most selective eosinophil cytokine known and plays a major role in the maturation, activation and survival of eosinophils, which are the predominant type of white blood cell underlying chronic airway inflammation in the eosinophilic phenotype of asthma. In asthma patients, elevated blood eosinophils =400 cells/mcL are associated with compromised lung function, persistent symptoms, and increased risk of exacerbations. Reslizumab is thought to act by binding to and neutralizing human IL-5 to reduce eosinophilic inflammation. Reslizumab has been submitted for and is currently under review by the U.S. Food and Drug Administration (FDA), European Medicines Agency (EMA) and Health Canada.</w:t>
      </w:r>
    </w:p>
    <w:p xmlns:wp14="http://schemas.microsoft.com/office/word/2010/wordml" w14:paraId="148394C6" wp14:textId="77777777">
      <w:pPr>
        <w:pStyle w:val="Heading1"/>
      </w:pPr>
      <w:r>
        <w:t>End of Article 10</w:t>
      </w:r>
    </w:p>
    <w:p xmlns:wp14="http://schemas.microsoft.com/office/word/2010/wordml" w14:paraId="0E27B00A" wp14:textId="77777777">
      <w:r>
        <w:br w:type="page"/>
      </w:r>
    </w:p>
    <w:p xmlns:wp14="http://schemas.microsoft.com/office/word/2010/wordml" w14:paraId="2A8A3CDE" wp14:textId="77777777">
      <w:pPr>
        <w:pStyle w:val="Heading1"/>
      </w:pPr>
      <w:r>
        <w:t>Start of Article 11</w:t>
      </w:r>
    </w:p>
    <w:p xmlns:wp14="http://schemas.microsoft.com/office/word/2010/wordml" w14:paraId="59D758C5" wp14:textId="77777777">
      <w:pPr>
        <w:pStyle w:val="Heading1"/>
      </w:pPr>
      <w:r>
        <w:t>Document ID DJDN000020150105eb15001mn</w:t>
      </w:r>
    </w:p>
    <w:p xmlns:wp14="http://schemas.microsoft.com/office/word/2010/wordml" w14:paraId="1ABDAC91" wp14:textId="77777777">
      <w:r>
        <w:t>"We are committed to increasing shareholder value and believe these management changes will drive an evolution of our corporate strategy and be the first step in the next phase of the Company's growth," said Dr. Smith, Executive Chair of the Board. "The complementary leadership and technical skills of Dr. Mazzo and Mr. Vaters are expected to accelerate our clinical programs towards commercialization, enhance business development efforts, secure a global manufacturing footprint and provide commercial capacity for our clients with world class quality and reliability. These efforts, as part of a continued focus on pursuing broader strategic opportunities for our late-stage platform technologies, are expected to increase the franchise value of our pipeline."</w:t>
      </w:r>
      <w:r>
        <w:br/>
      </w:r>
      <w:r>
        <w:br/>
      </w:r>
      <w:r>
        <w:t>Dr. Mazzo brings to NeoStem over 30 years of international experience in the biotech and pharmaceutical industry. Most recently, as CEO of Regado Biosciences, he created and led the smallest team ever to successfully design and execute a cardiovascular mega-trial. Prior to Regado, Dr. Mazzo was Chief Executive Officer of Aeterna Zentaris, a multi-national biopharmaceutical company focused on development of therapies in oncology and endocrinology indications. Previously, he had served as President and CEO of Chugai Pharma USA, LLC, the U.S. subsidiary of Chugai Pharmaceutical Co., Ltd. of Japan and a member of the Roche Group following his tenure at Schering-Plough as the Senior Vice-President of Development Operations and a member of the Board of Directors of Essex Chemie, AG. Dr. Mazzo held positions of increasing responsibility with Merck &amp; Co., Baxter Healthcare Corporation, Rhone-Poulenc Rorer and Hoechst Marion Roussel before joining Schering-Plough. Dr. Mazzo currently is Non-Executive Chairman of pSivida, Inc. and a Director of Avanir Pharmaceuticals.</w:t>
      </w:r>
      <w:r>
        <w:br/>
      </w:r>
      <w:r>
        <w:br/>
      </w:r>
      <w:r>
        <w:t>"I believe that NeoStem's product platform, that includes a late-stage clinical pipeline, presents compelling opportunities for the development of therapies for ischemic repair, cancer and autoimmune disorders," said Dr. Mazzo. "I am extremely excited to join the company at this critical time and look forward to reporting our accomplishments in the future as we achieve our strategic goals."</w:t>
      </w:r>
      <w:r>
        <w:br/>
      </w:r>
      <w:r>
        <w:br/>
      </w:r>
      <w:r>
        <w:t>Robert S. Vaters comes to NeoStem from Carob Investments, a strategic, acquisition and investor consulting firm, where he was a managing partner. From 2011 to 2013, Mr. Vaters was President, CEO, and director for Orthofix International NV, having served as its Executive Vice President, Chief Financial Officer, and Chief Operating Officer from 2008 to 2010. He was the Founder/General Partner of Med-Opportunity Partners LLC where from 2006 to 2008 he identified, negotiated, and closed on middle market healthcare buyouts and growth equity investments, specializing in pharmaceutical, medical device, biologic, medical technology and specialty health care service industries. Prior to that, he was Executive Vice President, Strategy and Corporate Development for Inamed Corporation, a global healthcare company.</w:t>
      </w:r>
      <w:r>
        <w:br/>
      </w:r>
      <w:r>
        <w:br/>
      </w:r>
      <w:r>
        <w:t>"After 25 years of financial, corporate strategy, investment, deal making and capital-raising experience, I look forward to contributing to NeoStem's value with the goal of setting an industry standard for financial performance and elevating the Company to the next plateau of growth while attracting a greater institutional investor base," stated Mr. Vaters.</w:t>
      </w:r>
      <w:r>
        <w:br/>
      </w:r>
      <w:r>
        <w:br/>
      </w:r>
      <w:r>
        <w:t>About NeoStem, Inc.</w:t>
      </w:r>
      <w:r>
        <w:br/>
      </w:r>
      <w:r>
        <w:br/>
      </w:r>
      <w:r>
        <w:t>NeoStem is a biopharmaceutical company pursuing the preservation and enhancement of human health globally through the development of cell based therapeutics that prevent, treat or cure disease by repairing and replacing damaged or aged tissue, cells and organs and restoring their normal function. The combination of a rich therapeutics pipeline and externally recognized in-house manufacturing expertise has created an organization with unique capabilities for cost effective and accelerated product development. www.neostem.com</w:t>
      </w:r>
      <w:r>
        <w:br/>
      </w:r>
      <w:r>
        <w:br/>
      </w:r>
      <w:r>
        <w:t>Forward-Looking Statements</w:t>
      </w:r>
      <w:r>
        <w:br/>
      </w:r>
      <w:r>
        <w:br/>
      </w:r>
      <w:r>
        <w:t xml:space="preserve">This press release contains forward-looking statements within the meaning of the Private Securities Litigation Reform Act of 1995. Forward-looking statements reflect management's current expectations, as of the date of this press release, and involve certain risks and uncertainties. Forward-looking statements include statements herein with respect to the successful execution of the Company's business strategy, the Company's ability to develop and grow its business, the successful development of cellular therapies with respect to the Company's research and development and clinical evaluation efforts in connection with the Company's Targeted Immunotherapy Program, Ischemic Repair Program, Immune Modulation Program and other cell therapies, the future of the regenerative medicine industry, including whether a large commercial market ever develops and whether our clients receive necessary regulatory approval to market their products, and the role of stem cells and cellular therapy in that industry, and the performance and planned expansion of the Company's contract development and manufacturing business. The Company's actual results could differ materially from those anticipated in these forward-looking statements as a result of various factors. Factors that could cause future results to materially differ from the recent results or those projected in forward-looking statements include the "Risk Factors" described in the Company's Annual Report on Form 10-K filed with the Securities and Exchange Commission ("SEC") on March 13, 2014, the Company's Current Report on Form 8-K filed with the SEC on May 8, 2014 and in the Company's other periodic filings with the SEC. The Company's further development is highly dependent on future medical and research developments and market acceptance, which is outside of its control. </w:t>
      </w:r>
      <w:r>
        <w:br/>
      </w:r>
      <w:r>
        <w:br/>
      </w:r>
      <w:r>
        <w:br/>
      </w:r>
      <w:r>
        <w:t xml:space="preserve">CONTACT: Investor Contact: </w:t>
      </w:r>
      <w:r>
        <w:br/>
      </w:r>
      <w:r>
        <w:t xml:space="preserve">         LifeSci Advisors, LLC </w:t>
      </w:r>
      <w:r>
        <w:br/>
      </w:r>
      <w:r>
        <w:t xml:space="preserve">         Hans Vitzthum </w:t>
      </w:r>
      <w:r>
        <w:br/>
      </w:r>
      <w:r>
        <w:t xml:space="preserve">         Managing Director </w:t>
      </w:r>
      <w:r>
        <w:br/>
      </w:r>
      <w:r>
        <w:t xml:space="preserve">         Phone: +1-212-915-2568 </w:t>
      </w:r>
      <w:r>
        <w:br/>
      </w:r>
      <w:r>
        <w:t xml:space="preserve">         Email: hans@lifesciadvisors.com </w:t>
      </w:r>
      <w:r>
        <w:br/>
      </w:r>
      <w:r>
        <w:t xml:space="preserve"> </w:t>
      </w:r>
      <w:r>
        <w:br/>
      </w:r>
      <w:r>
        <w:t xml:space="preserve">         Media Contact: </w:t>
      </w:r>
      <w:r>
        <w:br/>
      </w:r>
      <w:r>
        <w:t xml:space="preserve">         NeoStem, Inc. </w:t>
      </w:r>
      <w:r>
        <w:br/>
      </w:r>
      <w:r>
        <w:t xml:space="preserve">         Eric Powers </w:t>
      </w:r>
      <w:r>
        <w:br/>
      </w:r>
      <w:r>
        <w:t xml:space="preserve">         Manager of Communications and Marketing </w:t>
      </w:r>
      <w:r>
        <w:br/>
      </w:r>
      <w:r>
        <w:t xml:space="preserve">         Phone: +1-212-584-4173 </w:t>
      </w:r>
      <w:r>
        <w:br/>
      </w:r>
      <w:r>
        <w:t xml:space="preserve">         Email: epowers@neostem.com </w:t>
      </w:r>
      <w:r>
        <w:br/>
      </w:r>
      <w:r>
        <w:br/>
      </w:r>
      <w:r>
        <w:t>5 Jan 2015 09:00 ET *NeoStem Strengthens Executive Management With Appointments Of David J. Mazzo, PhD As CEO And Robert S. Vaters As Pres And Chief Fincl Officer And Elects Robin Smith, MD To Executive Chair Of The Bd &gt;NBS</w:t>
      </w:r>
      <w:r>
        <w:br/>
      </w:r>
      <w:r>
        <w:br/>
      </w:r>
      <w:r>
        <w:t>5 Jan 2015 09:01 ET *Neostem Names David J. Mazzo Chief Executive Officer &gt;NBS</w:t>
      </w:r>
      <w:r>
        <w:br/>
      </w:r>
      <w:r>
        <w:br/>
      </w:r>
      <w:r>
        <w:t>5 Jan 2015 09:01 ET *Neostem Names Robert S. Vaters President, Chief Financial Officer &gt;NBS</w:t>
      </w:r>
      <w:r>
        <w:br/>
      </w:r>
      <w:r>
        <w:br/>
      </w:r>
      <w:r>
        <w:t>5 Jan 2015 09:02 ET *Neostem: Robin Smith Named Executive Chair of Board &gt;NBS</w:t>
      </w:r>
      <w:r>
        <w:br/>
      </w:r>
      <w:r>
        <w:br/>
      </w:r>
      <w:r>
        <w:t>(MORE TO FOLLOW) Dow Jones Newswires (212-416-2800)</w:t>
      </w:r>
      <w:r>
        <w:br/>
      </w:r>
      <w:r>
        <w:br/>
      </w:r>
      <w:r>
        <w:t>January 05, 2015 09:02 ET (14:02 GMT)</w:t>
      </w:r>
    </w:p>
    <w:p xmlns:wp14="http://schemas.microsoft.com/office/word/2010/wordml" w14:paraId="4D4F66BE" wp14:textId="77777777">
      <w:pPr>
        <w:pStyle w:val="Heading1"/>
      </w:pPr>
      <w:r>
        <w:t>End of Article 11</w:t>
      </w:r>
    </w:p>
    <w:p xmlns:wp14="http://schemas.microsoft.com/office/word/2010/wordml" w14:paraId="60061E4C" wp14:textId="77777777">
      <w:r>
        <w:br w:type="page"/>
      </w:r>
    </w:p>
    <w:p xmlns:wp14="http://schemas.microsoft.com/office/word/2010/wordml" w14:paraId="5B6A1C71" wp14:textId="77777777">
      <w:pPr>
        <w:pStyle w:val="Heading1"/>
      </w:pPr>
      <w:r>
        <w:t>Start of Article 12</w:t>
      </w:r>
    </w:p>
    <w:p xmlns:wp14="http://schemas.microsoft.com/office/word/2010/wordml" w14:paraId="13E74265" wp14:textId="77777777">
      <w:pPr>
        <w:pStyle w:val="Heading1"/>
      </w:pPr>
      <w:r>
        <w:t>Document ID APRS000020150401eb41008qa</w:t>
      </w:r>
    </w:p>
    <w:p xmlns:wp14="http://schemas.microsoft.com/office/word/2010/wordml" w14:paraId="5CCCB3B5" wp14:textId="77777777">
      <w:r>
        <w:t xml:space="preserve"> CLOSING MOST ACTIVE STOCKS</w:t>
      </w:r>
      <w:r>
        <w:br/>
      </w:r>
      <w:r>
        <w:t xml:space="preserve"> NEW YORK (AP) — Thursday's prices for</w:t>
      </w:r>
      <w:r>
        <w:br/>
      </w:r>
      <w:r>
        <w:t xml:space="preserve"> NYSE listed most active stocks:</w:t>
      </w:r>
      <w:r>
        <w:br/>
      </w:r>
      <w:r>
        <w:t xml:space="preserve"> SalesHighLowCloseChg</w:t>
      </w:r>
      <w:r>
        <w:br/>
      </w:r>
      <w:r>
        <w:t xml:space="preserve"> AKSteel           62480     4.48     4.28     4.45+.04</w:t>
      </w:r>
      <w:r>
        <w:br/>
      </w:r>
      <w:r>
        <w:t xml:space="preserve"> AT&amp;TInc 1.88      191398    33.23    32.82    33.13+.24</w:t>
      </w:r>
      <w:r>
        <w:br/>
      </w:r>
      <w:r>
        <w:t xml:space="preserve"> AbbVie 2.04f      82730     57.81    56.90    57.01—.09</w:t>
      </w:r>
      <w:r>
        <w:br/>
      </w:r>
      <w:r>
        <w:t xml:space="preserve"> Alcoa .12         229316    13.28    12.79    13.14+.14</w:t>
      </w:r>
      <w:r>
        <w:br/>
      </w:r>
      <w:r>
        <w:t xml:space="preserve"> Alibaban          197105    83.00    81.25    82.28—.08</w:t>
      </w:r>
      <w:r>
        <w:br/>
      </w:r>
      <w:r>
        <w:t xml:space="preserve"> Altria 2.08       89727     51.29    50.36    51.19+.89</w:t>
      </w:r>
      <w:r>
        <w:br/>
      </w:r>
      <w:r>
        <w:t xml:space="preserve"> Ambev .24e        223981    6.10     5.94     6.04+.12</w:t>
      </w:r>
      <w:r>
        <w:br/>
      </w:r>
      <w:r>
        <w:t xml:space="preserve"> AmExp 1.04        56372     79.77    78.57    79.70+.77</w:t>
      </w:r>
      <w:r>
        <w:br/>
      </w:r>
      <w:r>
        <w:t xml:space="preserve"> ArchDan 1.12f     58135     48.34    47.34    47.35—.08</w:t>
      </w:r>
      <w:r>
        <w:br/>
      </w:r>
      <w:r>
        <w:t xml:space="preserve"> Avon .24          63540     7.98     7.82     7.97+.12</w:t>
      </w:r>
      <w:r>
        <w:br/>
      </w:r>
      <w:r>
        <w:t xml:space="preserve"> Axaltan           124504    28.24    27.70    27.93—.71</w:t>
      </w:r>
      <w:r>
        <w:br/>
      </w:r>
      <w:r>
        <w:t xml:space="preserve"> BcoBrads .42e     76110     9.98     9.73     9.87+.28</w:t>
      </w:r>
      <w:r>
        <w:br/>
      </w:r>
      <w:r>
        <w:t xml:space="preserve"> BkofAm .20        492903    15.62    15.43    15.54+.13</w:t>
      </w:r>
      <w:r>
        <w:br/>
      </w:r>
      <w:r>
        <w:t xml:space="preserve"> BiPVixST          312181    25.52    24.97    25.06—.46</w:t>
      </w:r>
      <w:r>
        <w:br/>
      </w:r>
      <w:r>
        <w:t xml:space="preserve"> BarrickG .20      113083    12.11    11.71    11.88—.13</w:t>
      </w:r>
      <w:r>
        <w:br/>
      </w:r>
      <w:r>
        <w:t xml:space="preserve"> BostonSci         55462     17.83    17.54    17.72+.07</w:t>
      </w:r>
      <w:r>
        <w:br/>
      </w:r>
      <w:r>
        <w:t xml:space="preserve"> CBSB .60          94570     61.49    59.11    61.16+1.54</w:t>
      </w:r>
      <w:r>
        <w:br/>
      </w:r>
      <w:r>
        <w:t xml:space="preserve"> CNOFincl .24      110977    18.08    17.55    17.79+.66</w:t>
      </w:r>
      <w:r>
        <w:br/>
      </w:r>
      <w:r>
        <w:t xml:space="preserve"> CSX .64           92418     33.40    32.94    33.32—.13</w:t>
      </w:r>
      <w:r>
        <w:br/>
      </w:r>
      <w:r>
        <w:t xml:space="preserve"> CalifResn .04     77919     8.50     7.98     8.18+.23</w:t>
      </w:r>
      <w:r>
        <w:br/>
      </w:r>
      <w:r>
        <w:t xml:space="preserve"> CarMax            88765     75.40    71.97    74.73+6.34</w:t>
      </w:r>
      <w:r>
        <w:br/>
      </w:r>
      <w:r>
        <w:t xml:space="preserve"> Cemex .52t        80435     9.85     9.36     9.73+.29</w:t>
      </w:r>
      <w:r>
        <w:br/>
      </w:r>
      <w:r>
        <w:t xml:space="preserve"> ChesEng .35       319448    14.69    14.20    14.59+.24</w:t>
      </w:r>
      <w:r>
        <w:br/>
      </w:r>
      <w:r>
        <w:t xml:space="preserve"> Chimera .38f      76225     3.16     3.12     3.14</w:t>
      </w:r>
      <w:r>
        <w:br/>
      </w:r>
      <w:r>
        <w:t xml:space="preserve"> Citigroup .04     137424    52.22    51.59    51.86+.24</w:t>
      </w:r>
      <w:r>
        <w:br/>
      </w:r>
      <w:r>
        <w:t xml:space="preserve"> CitizFinn .40     60067     24.68    24.25    24.62+.26</w:t>
      </w:r>
      <w:r>
        <w:br/>
      </w:r>
      <w:r>
        <w:t xml:space="preserve"> CocaCola 1.32f    142674    40.87    40.48    40.68</w:t>
      </w:r>
      <w:r>
        <w:br/>
      </w:r>
      <w:r>
        <w:t xml:space="preserve"> ConocoPhil 2.92   58790     63.41    62.57    63.18+.16</w:t>
      </w:r>
      <w:r>
        <w:br/>
      </w:r>
      <w:r>
        <w:t xml:space="preserve"> ContlRess         70611     47.40    45.19    46.04+.38</w:t>
      </w:r>
      <w:r>
        <w:br/>
      </w:r>
      <w:r>
        <w:t xml:space="preserve"> Corning .48f      91026     22.44    22.07    22.32+.07</w:t>
      </w:r>
      <w:r>
        <w:br/>
      </w:r>
      <w:r>
        <w:t xml:space="preserve"> CSVInvNG          100667    7.94     7.03     7.11—.95</w:t>
      </w:r>
      <w:r>
        <w:br/>
      </w:r>
      <w:r>
        <w:t xml:space="preserve"> CSVLgNGs          413546    2.45     2.21     2.43+.26</w:t>
      </w:r>
      <w:r>
        <w:br/>
      </w:r>
      <w:r>
        <w:t xml:space="preserve"> CSVLgCrde         690598    2.52     2.25     2.45—.01</w:t>
      </w:r>
      <w:r>
        <w:br/>
      </w:r>
      <w:r>
        <w:t xml:space="preserve"> DeltaAir .36      152653    43.37    42.25    42.25—1.01</w:t>
      </w:r>
      <w:r>
        <w:br/>
      </w:r>
      <w:r>
        <w:t xml:space="preserve"> DenburyR .25      153411    7.85     7.31     7.84+.46</w:t>
      </w:r>
      <w:r>
        <w:br/>
      </w:r>
      <w:r>
        <w:t xml:space="preserve"> DBXEafeEq 1.37e</w:t>
      </w:r>
      <w:r>
        <w:br/>
      </w:r>
      <w:r>
        <w:t xml:space="preserve">                   72214     30.31    30.15    30.28+.11</w:t>
      </w:r>
      <w:r>
        <w:br/>
      </w:r>
      <w:r>
        <w:t xml:space="preserve"> DxGldBull         201745    11.12    10.13    10.55—.35</w:t>
      </w:r>
      <w:r>
        <w:br/>
      </w:r>
      <w:r>
        <w:t xml:space="preserve"> DrxSCBear         92483     10.13    9.90     10.03—.08</w:t>
      </w:r>
      <w:r>
        <w:br/>
      </w:r>
      <w:r>
        <w:t xml:space="preserve"> DirGMBear .95e    59867     10.90    9.94     10.44+.39</w:t>
      </w:r>
      <w:r>
        <w:br/>
      </w:r>
      <w:r>
        <w:t xml:space="preserve"> DirDGldBr         73975     17.25    15.79    16.63+.53</w:t>
      </w:r>
      <w:r>
        <w:br/>
      </w:r>
      <w:r>
        <w:t xml:space="preserve"> DowChm 1.68       60468     48.39    47.53    48.24+.34</w:t>
      </w:r>
      <w:r>
        <w:br/>
      </w:r>
      <w:r>
        <w:t xml:space="preserve"> DuPont 1.88       87262     71.65    70.71    71.39+.41</w:t>
      </w:r>
      <w:r>
        <w:br/>
      </w:r>
      <w:r>
        <w:t xml:space="preserve"> EMCCp .46         158376    25.71    25.42    25.53+.06</w:t>
      </w:r>
      <w:r>
        <w:br/>
      </w:r>
      <w:r>
        <w:t xml:space="preserve"> EldorGldg .02e    60111     4.94     4.76     4.85—.11</w:t>
      </w:r>
      <w:r>
        <w:br/>
      </w:r>
      <w:r>
        <w:t xml:space="preserve"> EmersonEl 1.88    58899     56.26    55.50    55.54—.35</w:t>
      </w:r>
      <w:r>
        <w:br/>
      </w:r>
      <w:r>
        <w:t xml:space="preserve"> EnCanag .28       73290     11.59    11.18    11.47+.17</w:t>
      </w:r>
      <w:r>
        <w:br/>
      </w:r>
      <w:r>
        <w:t xml:space="preserve"> Exelon 1.24       72506     33.58    32.88    33.38+.53</w:t>
      </w:r>
      <w:r>
        <w:br/>
      </w:r>
      <w:r>
        <w:t xml:space="preserve"> ExxonMbl 2.76     111997    84.94    83.85    84.30—.16</w:t>
      </w:r>
      <w:r>
        <w:br/>
      </w:r>
      <w:r>
        <w:t xml:space="preserve"> FordM .60f        157587    16.04    15.85    16.03+.12</w:t>
      </w:r>
      <w:r>
        <w:br/>
      </w:r>
      <w:r>
        <w:t xml:space="preserve"> FrptMcM .20m      138747    19.07    18.74    19.00+.03</w:t>
      </w:r>
      <w:r>
        <w:br/>
      </w:r>
      <w:r>
        <w:t xml:space="preserve"> GenElec .92       286136    25.00    24.70    24.94+.10</w:t>
      </w:r>
      <w:r>
        <w:br/>
      </w:r>
      <w:r>
        <w:t xml:space="preserve"> GenMotors 1.20</w:t>
      </w:r>
      <w:r>
        <w:br/>
      </w:r>
      <w:r>
        <w:t xml:space="preserve">                   163863    36.73    36.33    36.50—.24</w:t>
      </w:r>
      <w:r>
        <w:br/>
      </w:r>
      <w:r>
        <w:t xml:space="preserve"> Genworth          152103    7.94     7.29     7.76+.43</w:t>
      </w:r>
      <w:r>
        <w:br/>
      </w:r>
      <w:r>
        <w:t xml:space="preserve"> Goldcrpg .60      58759     19.19    18.52    18.85—.16</w:t>
      </w:r>
      <w:r>
        <w:br/>
      </w:r>
      <w:r>
        <w:t xml:space="preserve"> Hallibrtn .72     110919    44.32    43.49    43.96+.14</w:t>
      </w:r>
      <w:r>
        <w:br/>
      </w:r>
      <w:r>
        <w:t xml:space="preserve"> HewlettP .64      83904     31.75    31.22    31.40+.11</w:t>
      </w:r>
      <w:r>
        <w:br/>
      </w:r>
      <w:r>
        <w:t xml:space="preserve"> Hilton            70949     29.71    29.30    29.36+.08</w:t>
      </w:r>
      <w:r>
        <w:br/>
      </w:r>
      <w:r>
        <w:t xml:space="preserve"> HostHotls .80a    56946     20.58    20.21    20.49+.23</w:t>
      </w:r>
      <w:r>
        <w:br/>
      </w:r>
      <w:r>
        <w:t xml:space="preserve"> ICICIBks .15e     68141     10.77    10.59    10.69+.07</w:t>
      </w:r>
      <w:r>
        <w:br/>
      </w:r>
      <w:r>
        <w:t xml:space="preserve"> iShBrazil 1.38e   247466    33.37    32.63    33.24+.99</w:t>
      </w:r>
      <w:r>
        <w:br/>
      </w:r>
      <w:r>
        <w:t xml:space="preserve"> iShGerm .63e      55692     30.39    30.18    30.33+.23</w:t>
      </w:r>
      <w:r>
        <w:br/>
      </w:r>
      <w:r>
        <w:t xml:space="preserve"> iShJapan .15e     242135    12.74    12.63    12.69+.11</w:t>
      </w:r>
      <w:r>
        <w:br/>
      </w:r>
      <w:r>
        <w:t xml:space="preserve"> iSTaiwn .29e      72967     16.08    15.93    16.07+.33</w:t>
      </w:r>
      <w:r>
        <w:br/>
      </w:r>
      <w:r>
        <w:t xml:space="preserve"> iShSilver         55952     16.13    15.88    16.02—.21</w:t>
      </w:r>
      <w:r>
        <w:br/>
      </w:r>
      <w:r>
        <w:t xml:space="preserve"> iShChinaLC 1.04e</w:t>
      </w:r>
      <w:r>
        <w:br/>
      </w:r>
      <w:r>
        <w:t xml:space="preserve">                   155255    45.77    45.34    45.66+.46</w:t>
      </w:r>
      <w:r>
        <w:br/>
      </w:r>
      <w:r>
        <w:t xml:space="preserve"> iShEMkts .88e     576820    41.34    40.90    41.24+.61</w:t>
      </w:r>
      <w:r>
        <w:br/>
      </w:r>
      <w:r>
        <w:t xml:space="preserve"> iSh20yrT 3.31e</w:t>
      </w:r>
      <w:r>
        <w:br/>
      </w:r>
      <w:r>
        <w:t xml:space="preserve">                   60332     131.97   130.61   130.73—1.40</w:t>
      </w:r>
      <w:r>
        <w:br/>
      </w:r>
      <w:r>
        <w:t xml:space="preserve"> iSEafe 2.26e      154321    65.24    64.93    65.19+.56</w:t>
      </w:r>
      <w:r>
        <w:br/>
      </w:r>
      <w:r>
        <w:t xml:space="preserve"> iShR2K 1.59e</w:t>
      </w:r>
      <w:r>
        <w:br/>
      </w:r>
      <w:r>
        <w:t xml:space="preserve">                   217897    125.26   124.29   124.65+.23</w:t>
      </w:r>
      <w:r>
        <w:br/>
      </w:r>
      <w:r>
        <w:t xml:space="preserve"> iShREst 2.70e     90132     80.08    79.07    79.84+.53</w:t>
      </w:r>
      <w:r>
        <w:br/>
      </w:r>
      <w:r>
        <w:t xml:space="preserve"> IntlGame .44      134257    17.93    17.73    17.77+.22</w:t>
      </w:r>
      <w:r>
        <w:br/>
      </w:r>
      <w:r>
        <w:t xml:space="preserve"> ItauUnibH .41e    188088    11.87    11.60    11.77+.32</w:t>
      </w:r>
      <w:r>
        <w:br/>
      </w:r>
      <w:r>
        <w:t xml:space="preserve"> JPMorgCh 1.60     124551    60.70    60.00    60.52+.57</w:t>
      </w:r>
      <w:r>
        <w:br/>
      </w:r>
      <w:r>
        <w:t xml:space="preserve"> JohnJn 2.80       59482     99.99    98.89    99.64+.49</w:t>
      </w:r>
      <w:r>
        <w:br/>
      </w:r>
      <w:r>
        <w:t xml:space="preserve"> Keycorp .26       79557     14.28    14.10    14.25+.09</w:t>
      </w:r>
      <w:r>
        <w:br/>
      </w:r>
      <w:r>
        <w:t xml:space="preserve"> KindMorg 1.80f    61729     42.00    41.56    41.72—.20</w:t>
      </w:r>
      <w:r>
        <w:br/>
      </w:r>
      <w:r>
        <w:t xml:space="preserve"> Kinrossg          125203    2.38     2.27     2.32—.04</w:t>
      </w:r>
      <w:r>
        <w:br/>
      </w:r>
      <w:r>
        <w:t xml:space="preserve"> LaredoPet         66017     14.34    13.60    14.30+.90</w:t>
      </w:r>
      <w:r>
        <w:br/>
      </w:r>
      <w:r>
        <w:t xml:space="preserve"> Lorillard 2.64f   111880    69.82    68.78    69.25+1.86</w:t>
      </w:r>
      <w:r>
        <w:br/>
      </w:r>
      <w:r>
        <w:t xml:space="preserve"> LumberLiq         114630    35.18    32.20    33.20+.19</w:t>
      </w:r>
      <w:r>
        <w:br/>
      </w:r>
      <w:r>
        <w:t xml:space="preserve"> MGM Rsts          94815     21.38    20.73    21.34+.46</w:t>
      </w:r>
      <w:r>
        <w:br/>
      </w:r>
      <w:r>
        <w:t xml:space="preserve"> Macys 1.25        98604     68.48    65.29    67.85+2.40</w:t>
      </w:r>
      <w:r>
        <w:br/>
      </w:r>
      <w:r>
        <w:t xml:space="preserve"> MarathnO .84      85537     27.28    26.39    27.07+.43</w:t>
      </w:r>
      <w:r>
        <w:br/>
      </w:r>
      <w:r>
        <w:t xml:space="preserve"> MVJrGold          100379    24.14    23.38    23.70—.39</w:t>
      </w:r>
      <w:r>
        <w:br/>
      </w:r>
      <w:r>
        <w:t xml:space="preserve"> MktVGold .12e     408875    19.35    18.76    18.99—.22</w:t>
      </w:r>
      <w:r>
        <w:br/>
      </w:r>
      <w:r>
        <w:t xml:space="preserve"> MVOilSvc .86e     83470     34.47    33.71    34.29+.32</w:t>
      </w:r>
      <w:r>
        <w:br/>
      </w:r>
      <w:r>
        <w:t xml:space="preserve"> MktVRus .64e      201098    18.43    17.98    18.40+.68</w:t>
      </w:r>
      <w:r>
        <w:br/>
      </w:r>
      <w:r>
        <w:t xml:space="preserve"> Masco .36         55658     26.74    25.95    26.62+.55</w:t>
      </w:r>
      <w:r>
        <w:br/>
      </w:r>
      <w:r>
        <w:t xml:space="preserve"> McDrmInt          62712     4.25     3.91     4.18+.24</w:t>
      </w:r>
      <w:r>
        <w:br/>
      </w:r>
      <w:r>
        <w:t xml:space="preserve"> McDnlds 3.40      65436     96.24    94.71    95.83—.46</w:t>
      </w:r>
      <w:r>
        <w:br/>
      </w:r>
      <w:r>
        <w:t xml:space="preserve"> Merck 1.80        75009     57.45    56.85    57.10+.24</w:t>
      </w:r>
      <w:r>
        <w:br/>
      </w:r>
      <w:r>
        <w:t xml:space="preserve"> MorgStan .40      60449     36.20    35.79    36.06+.09</w:t>
      </w:r>
      <w:r>
        <w:br/>
      </w:r>
      <w:r>
        <w:t xml:space="preserve"> MotrlaSolu 1.36   80587     67.46    61.15    62.51—4.16</w:t>
      </w:r>
      <w:r>
        <w:br/>
      </w:r>
      <w:r>
        <w:t xml:space="preserve"> NRGEgy .58f       58856     24.30    23.66    23.99+.39</w:t>
      </w:r>
      <w:r>
        <w:br/>
      </w:r>
      <w:r>
        <w:t xml:space="preserve"> Nabors .24        97096     14.62    13.90    14.07—.01</w:t>
      </w:r>
      <w:r>
        <w:br/>
      </w:r>
      <w:r>
        <w:t xml:space="preserve"> NBGreece          62925     1.25     1.22     1.23—.01</w:t>
      </w:r>
      <w:r>
        <w:br/>
      </w:r>
      <w:r>
        <w:t xml:space="preserve"> NewmtM .10        64496     22.91    22.15    22.34—.38</w:t>
      </w:r>
      <w:r>
        <w:br/>
      </w:r>
      <w:r>
        <w:t xml:space="preserve"> NobleCorp 1.50    72848     14.81    14.21    14.76+.31</w:t>
      </w:r>
      <w:r>
        <w:br/>
      </w:r>
      <w:r>
        <w:t xml:space="preserve"> NokiaCp .51e      80801     7.70     7.63     7.65+.10</w:t>
      </w:r>
      <w:r>
        <w:br/>
      </w:r>
      <w:r>
        <w:t xml:space="preserve"> OasisPet          76635     15.28    14.46    14.94+.25</w:t>
      </w:r>
      <w:r>
        <w:br/>
      </w:r>
      <w:r>
        <w:t xml:space="preserve"> Oracle .60f       x110967   43.11    42.48    42.62—.17</w:t>
      </w:r>
      <w:r>
        <w:br/>
      </w:r>
      <w:r>
        <w:t xml:space="preserve"> PeabdyE .01m      106729    4.96     4.71     4.87+.12</w:t>
      </w:r>
      <w:r>
        <w:br/>
      </w:r>
      <w:r>
        <w:t xml:space="preserve"> Penney            200476    9.20     8.82     9.13+.23</w:t>
      </w:r>
      <w:r>
        <w:br/>
      </w:r>
      <w:r>
        <w:t xml:space="preserve"> PetrbrsA .85e     117912    6.82     6.50     6.80+.39</w:t>
      </w:r>
      <w:r>
        <w:br/>
      </w:r>
      <w:r>
        <w:t xml:space="preserve"> Petrobras .46e    439239    6.79     6.41     6.76+.41</w:t>
      </w:r>
      <w:r>
        <w:br/>
      </w:r>
      <w:r>
        <w:t xml:space="preserve"> Pfizer 1.12f      248144    34.63    34.22    34.38+.05</w:t>
      </w:r>
      <w:r>
        <w:br/>
      </w:r>
      <w:r>
        <w:t xml:space="preserve"> PUltVixST         188107    14.98    14.34    14.41—.59</w:t>
      </w:r>
      <w:r>
        <w:br/>
      </w:r>
      <w:r>
        <w:t xml:space="preserve"> PrUltCrude        261328    7.48     6.95     7.35—.03</w:t>
      </w:r>
      <w:r>
        <w:br/>
      </w:r>
      <w:r>
        <w:t xml:space="preserve"> ProctGam 2.57     60183     82.59    81.92    82.43+.11</w:t>
      </w:r>
      <w:r>
        <w:br/>
      </w:r>
      <w:r>
        <w:t xml:space="preserve"> ProUShSP          73094     21.55    21.23    21.34—.15</w:t>
      </w:r>
      <w:r>
        <w:br/>
      </w:r>
      <w:r>
        <w:t xml:space="preserve"> RegionsFn .20     191427    9.64     9.42     9.58+.12</w:t>
      </w:r>
      <w:r>
        <w:br/>
      </w:r>
      <w:r>
        <w:t xml:space="preserve"> RiteAid           487525    9.07     8.62     8.79+.22</w:t>
      </w:r>
      <w:r>
        <w:br/>
      </w:r>
      <w:r>
        <w:t xml:space="preserve"> S&amp;P500ETF 3.94e</w:t>
      </w:r>
      <w:r>
        <w:br/>
      </w:r>
      <w:r>
        <w:t xml:space="preserve">                   767134    206.98   205.40   206.44+.74</w:t>
      </w:r>
      <w:r>
        <w:br/>
      </w:r>
      <w:r>
        <w:t xml:space="preserve"> SpdrLehHY 2.81e</w:t>
      </w:r>
      <w:r>
        <w:br/>
      </w:r>
      <w:r>
        <w:t xml:space="preserve">                   66759     39.15    39.09    39.15+.02</w:t>
      </w:r>
      <w:r>
        <w:br/>
      </w:r>
      <w:r>
        <w:t xml:space="preserve"> SpdrOGEx .69e     108836    51.09    49.56    50.81+.64</w:t>
      </w:r>
      <w:r>
        <w:br/>
      </w:r>
      <w:r>
        <w:t xml:space="preserve"> SandRdge          87992     1.83     1.75     1.82+.04</w:t>
      </w:r>
      <w:r>
        <w:br/>
      </w:r>
      <w:r>
        <w:t xml:space="preserve"> Schlmbrg 2f       60154     85.43    83.89    84.39+.11</w:t>
      </w:r>
      <w:r>
        <w:br/>
      </w:r>
      <w:r>
        <w:t xml:space="preserve"> SchwUSDiv 1.06e</w:t>
      </w:r>
      <w:r>
        <w:br/>
      </w:r>
      <w:r>
        <w:t xml:space="preserve">                   71223     39.43    39.16    39.26+.07</w:t>
      </w:r>
      <w:r>
        <w:br/>
      </w:r>
      <w:r>
        <w:t xml:space="preserve"> Schwab .24        68010     30.09    29.66    30.01+.08</w:t>
      </w:r>
      <w:r>
        <w:br/>
      </w:r>
      <w:r>
        <w:t xml:space="preserve"> SeadrillLtd       92055     9.70     9.30     9.66+.31</w:t>
      </w:r>
      <w:r>
        <w:br/>
      </w:r>
      <w:r>
        <w:t xml:space="preserve"> SwstAirl .24      82644     43.82    42.69    42.86—.59</w:t>
      </w:r>
      <w:r>
        <w:br/>
      </w:r>
      <w:r>
        <w:t xml:space="preserve"> SwstnEngy         96623     24.12    22.72    24.04+1.18</w:t>
      </w:r>
      <w:r>
        <w:br/>
      </w:r>
      <w:r>
        <w:t xml:space="preserve"> Sprint            170932    4.87     4.72     4.85+.12</w:t>
      </w:r>
      <w:r>
        <w:br/>
      </w:r>
      <w:r>
        <w:t xml:space="preserve"> SPHlthC .90e      73503     72.32    71.64    71.99+.22</w:t>
      </w:r>
      <w:r>
        <w:br/>
      </w:r>
      <w:r>
        <w:t xml:space="preserve"> SPEngy 1.94e      137005    78.17    77.02    77.72+.16</w:t>
      </w:r>
      <w:r>
        <w:br/>
      </w:r>
      <w:r>
        <w:t xml:space="preserve"> SPDRFncl .41e</w:t>
      </w:r>
      <w:r>
        <w:br/>
      </w:r>
      <w:r>
        <w:t xml:space="preserve">                   204868    24.25    24.03    24.21+.12</w:t>
      </w:r>
      <w:r>
        <w:br/>
      </w:r>
      <w:r>
        <w:t xml:space="preserve"> SPInds 1.07e      65588     55.76    55.25    55.43+.03</w:t>
      </w:r>
      <w:r>
        <w:br/>
      </w:r>
      <w:r>
        <w:t xml:space="preserve"> SPUtil 1.51e      110431    44.75    44.35    44.55+.08</w:t>
      </w:r>
      <w:r>
        <w:br/>
      </w:r>
      <w:r>
        <w:t xml:space="preserve"> Suncorg 1.12      81532     30.95    29.47    30.77+1.25</w:t>
      </w:r>
      <w:r>
        <w:br/>
      </w:r>
      <w:r>
        <w:t xml:space="preserve"> SunEdison         97821     25.86    24.90    25.15+.05</w:t>
      </w:r>
      <w:r>
        <w:br/>
      </w:r>
      <w:r>
        <w:t xml:space="preserve"> TaiwSemi .50e     123395    23.83    23.58    23.69+.46</w:t>
      </w:r>
      <w:r>
        <w:br/>
      </w:r>
      <w:r>
        <w:t xml:space="preserve"> TalismEg .27      64328     7.73     7.67     7.70+.02</w:t>
      </w:r>
      <w:r>
        <w:br/>
      </w:r>
      <w:r>
        <w:t xml:space="preserve"> Transocn 3        79321     15.05    14.44    14.99+.27</w:t>
      </w:r>
      <w:r>
        <w:br/>
      </w:r>
      <w:r>
        <w:t xml:space="preserve"> Twitter           132055    50.95    49.88    50.42—.05</w:t>
      </w:r>
      <w:r>
        <w:br/>
      </w:r>
      <w:r>
        <w:t xml:space="preserve"> UtdContl          73178     64.54    61.73    61.88—2.13</w:t>
      </w:r>
      <w:r>
        <w:br/>
      </w:r>
      <w:r>
        <w:t xml:space="preserve"> USNGas            89560     13.66    13.16    13.60+.50</w:t>
      </w:r>
      <w:r>
        <w:br/>
      </w:r>
      <w:r>
        <w:t xml:space="preserve"> USOilFd           348980    17.68    17.06    17.56—.02</w:t>
      </w:r>
      <w:r>
        <w:br/>
      </w:r>
      <w:r>
        <w:t xml:space="preserve"> ValeSA .60e       241634    5.79     5.45     5.76+.18</w:t>
      </w:r>
      <w:r>
        <w:br/>
      </w:r>
      <w:r>
        <w:t xml:space="preserve"> ValeSApf .60e     209042    4.96     4.57     4.94+.17</w:t>
      </w:r>
      <w:r>
        <w:br/>
      </w:r>
      <w:r>
        <w:t xml:space="preserve"> ValeroE 1.60f     130302    63.65    59.31    59.80—3.65</w:t>
      </w:r>
      <w:r>
        <w:br/>
      </w:r>
      <w:r>
        <w:t xml:space="preserve"> VangEmg 1.13e     80851     42.14    41.70    42.06+.64</w:t>
      </w:r>
      <w:r>
        <w:br/>
      </w:r>
      <w:r>
        <w:t xml:space="preserve"> VerizonCm 2.20</w:t>
      </w:r>
      <w:r>
        <w:br/>
      </w:r>
      <w:r>
        <w:t xml:space="preserve">                   132244    49.60    48.86    49.47+.55</w:t>
      </w:r>
      <w:r>
        <w:br/>
      </w:r>
      <w:r>
        <w:t xml:space="preserve"> Vipshops          62844     29.44    28.50    29.11—.20</w:t>
      </w:r>
      <w:r>
        <w:br/>
      </w:r>
      <w:r>
        <w:t xml:space="preserve"> WalMart 1.96f     57620     81.32    80.55    80.73+.02</w:t>
      </w:r>
      <w:r>
        <w:br/>
      </w:r>
      <w:r>
        <w:t xml:space="preserve"> WeathfIntl        72069     13.13    12.66    12.91+.21</w:t>
      </w:r>
      <w:r>
        <w:br/>
      </w:r>
      <w:r>
        <w:t xml:space="preserve"> WellsFargo 1.40</w:t>
      </w:r>
      <w:r>
        <w:br/>
      </w:r>
      <w:r>
        <w:t xml:space="preserve">                   132384    54.48    53.82    54.37+.43</w:t>
      </w:r>
      <w:r>
        <w:br/>
      </w:r>
      <w:r>
        <w:t xml:space="preserve"> WstnUnion .62f    88110     21.04    20.48    20.91+.35</w:t>
      </w:r>
      <w:r>
        <w:br/>
      </w:r>
      <w:r>
        <w:t xml:space="preserve"> WhitingPet        111110    33.56    31.62    32.81+.76</w:t>
      </w:r>
      <w:r>
        <w:br/>
      </w:r>
      <w:r>
        <w:t xml:space="preserve"> Xerox .28f        73654     12.84    12.68    12.77+.10</w:t>
      </w:r>
      <w:r>
        <w:br/>
      </w:r>
      <w:r>
        <w:t xml:space="preserve"> Yamanag .06       61317     3.87     3.67     3.74—.06</w:t>
      </w:r>
      <w:r>
        <w:br/>
      </w:r>
    </w:p>
    <w:p xmlns:wp14="http://schemas.microsoft.com/office/word/2010/wordml" w14:paraId="66DB7AF3" wp14:textId="77777777">
      <w:pPr>
        <w:pStyle w:val="Heading1"/>
      </w:pPr>
      <w:r>
        <w:t>End of Article 12</w:t>
      </w:r>
    </w:p>
    <w:p xmlns:wp14="http://schemas.microsoft.com/office/word/2010/wordml" w14:paraId="44EAFD9C" wp14:textId="77777777">
      <w:r>
        <w:br w:type="page"/>
      </w:r>
    </w:p>
    <w:p xmlns:wp14="http://schemas.microsoft.com/office/word/2010/wordml" w14:paraId="49DC9E91" wp14:textId="77777777">
      <w:pPr>
        <w:pStyle w:val="Heading1"/>
      </w:pPr>
      <w:r>
        <w:t>Start of Article 13</w:t>
      </w:r>
    </w:p>
    <w:p xmlns:wp14="http://schemas.microsoft.com/office/word/2010/wordml" w14:paraId="64641CC7" wp14:textId="77777777" wp14:noSpellErr="1">
      <w:pPr>
        <w:pStyle w:val="Heading1"/>
      </w:pPr>
      <w:r w:rsidR="29BCED9B">
        <w:rPr/>
        <w:t xml:space="preserve">Document ID </w:t>
      </w:r>
      <w:r w:rsidRPr="29BCED9B" w:rsidR="29BCED9B">
        <w:rPr>
          <w:highlight w:val="yellow"/>
        </w:rPr>
        <w:t>CHEMEC0020150501eb58002ae</w:t>
      </w:r>
    </w:p>
    <w:p xmlns:wp14="http://schemas.microsoft.com/office/word/2010/wordml" w14:paraId="7CC2AE3B" wp14:textId="77777777">
      <w:r>
        <w:t>This patent was filed on August 25, 2011 and was published online on April 21, 2015.</w:t>
      </w:r>
      <w:r>
        <w:br/>
      </w:r>
      <w:r>
        <w:br/>
      </w:r>
      <w:r>
        <w:t>From the background information supplied by the inventors, news correspondents obtained the following quote: "The following discussion of the prior art is intended to present the invention in an appropriate technical context and allow its significance to be properly appreciated. Unless clearly indicated to the contrary, however, reference to any prior art in this specification should be construed as an admission that such art is widely known or forms part of common general knowledge in the field.</w:t>
      </w:r>
      <w:r>
        <w:br/>
      </w:r>
      <w:r>
        <w:br/>
      </w:r>
      <w:r>
        <w:t>"Fesoterodine fumarate is the international non-proprietary name (INN) of the active ingredient isobutyric acid 2-[(R)-3-diisopropylammonium-1-phenylpropyl)-4-(hydroxy-methyl)phenyl ester hydrogen fumarate, which can be represented by the structural formula (1)</w:t>
      </w:r>
      <w:r>
        <w:br/>
      </w:r>
      <w:r>
        <w:br/>
      </w:r>
      <w:r>
        <w:t>"##STR00001##</w:t>
      </w:r>
      <w:r>
        <w:br/>
      </w:r>
      <w:r>
        <w:br/>
      </w:r>
      <w:r>
        <w:t>"Fesoterodine fumarate is approved in Europe and USA for the treatment of overactive bladder syndrome with the commercial name TOVIAZ.RTM..</w:t>
      </w:r>
      <w:r>
        <w:br/>
      </w:r>
      <w:r>
        <w:br/>
      </w:r>
      <w:r>
        <w:t>"U.S. Pat. No. 6,713,464 B1 discloses a variety of 3,3-diphenylpropylamine derivatives, processes for their preparation, pharmaceutical compositions comprising the derivatives, and methods of use thereof. These compounds are anti-muscarinic agents with superior pharmacokinetic properties compared to existing drugs such as oxybutynin and tolterodine which are useful in the treatment of urinary incontinence, gastrointestinal hyperactivity (irritable bowel syndrome) and other smooth muscle contractile conditions.</w:t>
      </w:r>
      <w:r>
        <w:br/>
      </w:r>
      <w:r>
        <w:br/>
      </w:r>
      <w:r>
        <w:t>"Improved processes for the preparation of fesoterodine and its pharmaceutically acceptable salts are disclosed in US Patent application 2009/0306384 A1, and International (PCT) Publication No. WO 2009/037569 A2.</w:t>
      </w:r>
      <w:r>
        <w:br/>
      </w:r>
      <w:r>
        <w:br/>
      </w:r>
      <w:r>
        <w:t>"U.S. Patent Application No. 2010/0168459 A1 dislcoses the use of N,N-diisopropylethyl amine for the condensation of diol compound and isobutyryl chloride for the ultimate formation Fesoterodine free base.</w:t>
      </w:r>
      <w:r>
        <w:br/>
      </w:r>
      <w:r>
        <w:br/>
      </w:r>
      <w:r>
        <w:t>"U.S. Patent Application No. 2010/174107 A1 discloses use of Turbo Grignard reagent of formula R.sup.1(MgX)n.LiY, wherein R.sup.1 is an aromatic, aliphatic, carbocyclic or heterocyclic organic group having 1 to 24 carbon atoms; X and Y are independently selected from Cl, Br and I and n is 1 or 2, for the formation of protected ester from the bromo protected compound as shown in Scheme-1 (wherein simple Grignard reagent is used).</w:t>
      </w:r>
      <w:r>
        <w:br/>
      </w:r>
      <w:r>
        <w:br/>
      </w:r>
      <w:r>
        <w:t>"International (PCT) Publication No. WO 2009/044278 A1 of relates to amorphous Fesoterodine fumarate being characterized by XRPD &amp; IR.</w:t>
      </w:r>
      <w:r>
        <w:br/>
      </w:r>
      <w:r>
        <w:br/>
      </w:r>
      <w:r>
        <w:t>"International (PCT) Publication No. WO 2009/122303 A1 discloses preparation of Fesoterodine mandelate salt.</w:t>
      </w:r>
      <w:r>
        <w:br/>
      </w:r>
      <w:r>
        <w:br/>
      </w:r>
      <w:r>
        <w:t>"International (PCT) Publication No. WO 2010/010464 A2 discloses an impurity of fesoterodine i.e., fesoterodine dehydroxy impurity.</w:t>
      </w:r>
      <w:r>
        <w:br/>
      </w:r>
      <w:r>
        <w:br/>
      </w:r>
      <w:r>
        <w:t>"US patent application No. 2010/0152483 A1 discloses Fesoterodine fumarate in crystalline Form--I being characterized by XRPD, DSC, IR, .sup.13C NMR and Raman spectra. US Patent application also discloses Amorphous Fesoterodine Fumarate being characterized by XRPD and IR.</w:t>
      </w:r>
      <w:r>
        <w:br/>
      </w:r>
      <w:r>
        <w:br/>
      </w:r>
      <w:r>
        <w:t>"U.S. Pat. No. 6,858,650 describes various acid addition salts of 3,3-dipbenylpropylamine derivatives.</w:t>
      </w:r>
      <w:r>
        <w:br/>
      </w:r>
      <w:r>
        <w:br/>
      </w:r>
      <w:r>
        <w:t>"The references cited in the above art for the preparation of Fesoterodine fumarate (I) involves reaction conditions, which leads to formation of side reactions and byproducts. Processes disclosed in the art involve the formation of intermediates as an oil or syrup with low yield and purity.</w:t>
      </w:r>
      <w:r>
        <w:br/>
      </w:r>
      <w:r>
        <w:br/>
      </w:r>
      <w:r>
        <w:t>"PCT application WO 2010010464 A2 discloses the process for obtaining fesoterodine fumarate having a 90 volume-percent of the particles (D.sub.90) with a size of less than or equal to about 200 microns and process for achieving the particle size (D.sub.90) with a size of less than or equal to about 200 microns.</w:t>
      </w:r>
      <w:r>
        <w:br/>
      </w:r>
      <w:r>
        <w:br/>
      </w:r>
      <w:r>
        <w:t>"It is reported in the literature that fesoterodine may exhibit substantial degradation in a humid environment and at increased temperature. It is believed that hydrolyzation and oxidation are among the major mechanisms resulting in degradation. Therefore, it is desired to develop a fesoterodine fumarate, which is stable under stress condition. It has been found, surprisingly, that fesoterodine fumarate with higher particle size significantly slow down the degradation of fesoterodine under stress conditions."</w:t>
      </w:r>
      <w:r>
        <w:br/>
      </w:r>
      <w:r>
        <w:br/>
      </w:r>
      <w:r>
        <w:t>Supplementing the background information on this patent, VerticalNews reporters also obtained the inventors' summary information for this patent: "In one general aspect there is provided a 2-chloro-mandelate salt of fesoterodine. The 2-chloro-mandelate salt of fesoterodine may exist in a crystalline form or an amorphous form. The 2-chloro-mandelate salt of fesoterodine may have the X-ray diffraction pattern of FIG. 5, differential scanning calorimetry thermogram og FIG. 6, and infrared spectrum of FIG. 7.</w:t>
      </w:r>
      <w:r>
        <w:br/>
      </w:r>
      <w:r>
        <w:br/>
      </w:r>
      <w:r>
        <w:t>"In another general aspect there is provided a process for the preparation of 2-chloro-mandelate salt of fesoterodine. The process includes obtaining a solution of fesoterodine in one or more solvents; contacting the solution with 2-chloro-mandelic acid; and isolating the 2-chloro-mandelate salt of fesoterodine by the removal of solvents.</w:t>
      </w:r>
      <w:r>
        <w:br/>
      </w:r>
      <w:r>
        <w:br/>
      </w:r>
      <w:r>
        <w:t>"Removing the solvents may include, for example, one or more of filtration, filtration under vacuum, decantation, centrifugation, distillation and distillation under vacuum.</w:t>
      </w:r>
      <w:r>
        <w:br/>
      </w:r>
      <w:r>
        <w:br/>
      </w:r>
      <w:r>
        <w:t>"In one general aspect, the solution may be cooled before the removal of solvents to obtain better yields. The process may include further drying of the product obtained.</w:t>
      </w:r>
      <w:r>
        <w:br/>
      </w:r>
      <w:r>
        <w:br/>
      </w:r>
      <w:r>
        <w:t>"The process may produce the pure 2-chloro-mandelate salt of fesoterodine having purity more than 99% by HPLC. In particular, it may produce the pure 2-chloro-mandelate salt of fesoterodine having purity more than 99.5% by HPLC.</w:t>
      </w:r>
      <w:r>
        <w:br/>
      </w:r>
      <w:r>
        <w:br/>
      </w:r>
      <w:r>
        <w:t>"The pure 2-chloro-mandelate salt of fesoterodine may be converted into pure fesoterodine by treatment with a base.</w:t>
      </w:r>
      <w:r>
        <w:br/>
      </w:r>
      <w:r>
        <w:br/>
      </w:r>
      <w:r>
        <w:t>"In another general aspect there is provided a process for the preparation of substantially pure fesoterodine and its pharmaceutically acceptable salts. The process includes contacting fesoterodine with 2-chloro-mandelic acid in one or more solvents; isolating 2-chloro-mandelate salt of fesoterodine; treating the 2-chloro-mandelate salt of fesoterodine with a base; isolating the substantially pure fesoterodine by the removal of solvents; and optionally, converting the substantially pure fesoterodine into its pharmaceutically acceptable salt.</w:t>
      </w:r>
      <w:r>
        <w:br/>
      </w:r>
      <w:r>
        <w:br/>
      </w:r>
      <w:r>
        <w:t>"Removing the solvents may include, for example, one or more of filtration, filtration under vacuum, decantation, centrifugation, distillation and distillation under vacuum.</w:t>
      </w:r>
      <w:r>
        <w:br/>
      </w:r>
      <w:r>
        <w:br/>
      </w:r>
      <w:r>
        <w:t>"The process may include further drying of the product obtained.</w:t>
      </w:r>
      <w:r>
        <w:br/>
      </w:r>
      <w:r>
        <w:br/>
      </w:r>
      <w:r>
        <w:t>"The process may produce the substantially pure fesoterodine having purity more than 99% by HPLC. In particular, it may produce the pure fesoterodine having purity more than 99.5% by HPLC.</w:t>
      </w:r>
      <w:r>
        <w:br/>
      </w:r>
      <w:r>
        <w:br/>
      </w:r>
      <w:r>
        <w:t>"In another general aspect there is provided a process for the preparation of stable fesoterodine fumarate. The process includes obtaining a solution of substantially pure fesoterodine in one or more solvents; treating the solution with fumaric acid; and isolating the stable fesoterodine fumarate by the removal of solvents.</w:t>
      </w:r>
      <w:r>
        <w:br/>
      </w:r>
      <w:r>
        <w:br/>
      </w:r>
      <w:r>
        <w:t>"Embodiments of the process may include one or more of the following features. For example, the solution of fesoterodine may be obtained by heating fesoterodine in one or more solvents or the solution may be heated prior to treatment with fumaric acid. The solution may be seeded with one or more crystals of fesoterodine fumarate prior to the initiation of product crystallization or the slurry may be cooled prior to filtration.</w:t>
      </w:r>
      <w:r>
        <w:br/>
      </w:r>
      <w:r>
        <w:br/>
      </w:r>
      <w:r>
        <w:t>"In one general aspect a second solvent may be added resulting in the precipitation of the stable fesoterodine fumarate and removing the solvent there from by filtration, filtration under vacuum, decantation, or centrifugation.</w:t>
      </w:r>
      <w:r>
        <w:br/>
      </w:r>
      <w:r>
        <w:br/>
      </w:r>
      <w:r>
        <w:t>"The details of one or more embodiments of the invention are set for the in the description below. Other features, objects and advantages of the invention will be apparent from the description and claims."</w:t>
      </w:r>
      <w:r>
        <w:br/>
      </w:r>
      <w:r>
        <w:br/>
      </w:r>
      <w:r>
        <w:t>For the URL and additional information on this patent, see: Dwivedi, Shriprakash Dhar; Prasad, Ashok; Jain, Kuldeep Natwarlal. Processes for the Preparation of Fesoterodine. U.S. Patent Number 9012678, filed August 25, 2011, and published online on April 21, 2015. Patent URL: http://patft.uspto.gov/netacgi/nph-Parser?Sect1=PTO1&amp;Sect2=HITOFF&amp;d=PALL&amp;p=1&amp;u=%2Fnetahtml%2FPTO%2Fsrchnum.htm&amp;r=1&amp;f=G&amp;l=50&amp;s1=9012678.PN.&amp;OS=PN/9012678RS=PN/9012678</w:t>
      </w:r>
      <w:r>
        <w:br/>
      </w:r>
      <w:r>
        <w:br/>
      </w:r>
      <w:r>
        <w:t>Keywords for this news article include: Fumarates, Dicarboxylic Acids, Cadila Healthcare Limited.</w:t>
      </w:r>
      <w:r>
        <w:br/>
      </w:r>
      <w:r>
        <w:br/>
      </w:r>
      <w:r>
        <w:t>Our reports deliver fact-based news of research and discoveries from around the world. Copyright 2015, NewsRx LLC</w:t>
      </w:r>
    </w:p>
    <w:p xmlns:wp14="http://schemas.microsoft.com/office/word/2010/wordml" w14:paraId="4E935DEA" wp14:textId="77777777">
      <w:pPr>
        <w:pStyle w:val="Heading1"/>
      </w:pPr>
      <w:r>
        <w:t>End of Article 13</w:t>
      </w:r>
    </w:p>
    <w:p xmlns:wp14="http://schemas.microsoft.com/office/word/2010/wordml" w14:paraId="4B94D5A5" wp14:textId="77777777">
      <w:r>
        <w:br w:type="page"/>
      </w:r>
    </w:p>
    <w:p xmlns:wp14="http://schemas.microsoft.com/office/word/2010/wordml" w14:paraId="6C9ACCC4" wp14:textId="77777777">
      <w:pPr>
        <w:pStyle w:val="Heading1"/>
      </w:pPr>
      <w:r>
        <w:t>Start of Article 14</w:t>
      </w:r>
    </w:p>
    <w:p xmlns:wp14="http://schemas.microsoft.com/office/word/2010/wordml" w14:paraId="18554870" wp14:textId="77777777">
      <w:pPr>
        <w:pStyle w:val="Heading1"/>
      </w:pPr>
      <w:r>
        <w:t>Document ID DJDN000020151119ebbj003f3</w:t>
      </w:r>
    </w:p>
    <w:p xmlns:wp14="http://schemas.microsoft.com/office/word/2010/wordml" w14:paraId="1AB27133" wp14:textId="77777777">
      <w:r>
        <w:t>Approval would undoubtedly be a significant event for BioMarin--analysts expect the company's revenue to nearly triple over the next four years. Drisapersen is forecast to play an important role in that growth. Yet the clinical data for drisapersen can fairly be described as murky: a Phase 3 clinical trial conducted in 2013 didn't meet its primary clinical endpoint. For investors, the question is how the FDA balances the obvious unmet medical need against the data's strength. Meanwhile, the advisory committee and subsequent vote is likely to hold implications for PTC (PTCT) and Sarepta (SRPT), which have rival drugs in development. Considering the huge role sentiment plays in biotech valuations, it's also possible that the meeting's outcome will ripple out to stocks of seemingly unrelated companies. (Charles.Grant@wsj.com; @CGrantWSJ)</w:t>
      </w:r>
      <w:r>
        <w:br/>
      </w:r>
      <w:r>
        <w:br/>
      </w:r>
      <w:r>
        <w:t>(END) Dow Jones Newswires</w:t>
      </w:r>
      <w:r>
        <w:br/>
      </w:r>
      <w:r>
        <w:br/>
      </w:r>
      <w:r>
        <w:t>November 19, 2015 13:00 ET (18:00 GMT)</w:t>
      </w:r>
    </w:p>
    <w:p xmlns:wp14="http://schemas.microsoft.com/office/word/2010/wordml" w14:paraId="5C4278A7" wp14:textId="77777777">
      <w:pPr>
        <w:pStyle w:val="Heading1"/>
      </w:pPr>
      <w:r>
        <w:t>End of Article 14</w:t>
      </w:r>
    </w:p>
    <w:p xmlns:wp14="http://schemas.microsoft.com/office/word/2010/wordml" w14:paraId="3DEEC669" wp14:textId="77777777">
      <w:r>
        <w:br w:type="page"/>
      </w:r>
    </w:p>
    <w:p xmlns:wp14="http://schemas.microsoft.com/office/word/2010/wordml" w14:paraId="00BC91B3" wp14:textId="77777777">
      <w:pPr>
        <w:pStyle w:val="Heading1"/>
      </w:pPr>
      <w:r>
        <w:t>Start of Article 15</w:t>
      </w:r>
    </w:p>
    <w:p xmlns:wp14="http://schemas.microsoft.com/office/word/2010/wordml" w14:paraId="10620335" wp14:textId="77777777">
      <w:pPr>
        <w:pStyle w:val="Heading1"/>
      </w:pPr>
      <w:r>
        <w:t>Document ID MSP0000020150924eb9k00015</w:t>
      </w:r>
    </w:p>
    <w:p xmlns:wp14="http://schemas.microsoft.com/office/word/2010/wordml" w14:paraId="431C21CA" wp14:textId="77777777">
      <w:r>
        <w:t xml:space="preserve"> “They have probably done a better job than any other food company in reading trends,” said Brian Yarbrough, a stock analyst at Edward Jones. “What is hot right now in food is organic and protein.” Protein’s power This year has been marked by a disaster of sorts in Hormel’s Jennie-O turkey business. The avian flu that swept across Minnesota in the spring killed 9 million turkeys and chickens, wiping out a big chunk of Jennie-O’s bird supply. But the company is restocking its barns and doesn’t expect the bird flu to cause its fiscal-year profits to fall below forecasts. Despite the turkey woes, Hormel’s shares have held up well, outperforming food industry peers this year and over the last five years for that matter. And Hormel, which generates more than $9 billion in annual revenue, hasn’t experienced the sales malaise of many other U.S. packaged foods companies, including Golden Valley-based General Mills. The industry’s problem lies in the supermarket’s “center store,” home to more processed foods that are losing favor with some consumers. “Hormel is not as dependent on the center of the store as the likes of General Mills, Kellogg and Kraft,” said Erin Lash, a stock analyst at Morningstar. Notwithstanding its canned product lineup, Hormel has a stronger presence on the faster growing perimeter of the store, where meat, produce and dairy products reign. Applegate’s appeal New Jersey-based Applegate will not only add to that placement, but will allow Hormel to better tap the fast-growing organic and natural market. Applegate, whose products include hot dogs, deli meat and fresh pork, is the largest U.S. organic and natural meat purveyor with about $340 million in annual revenue. Hormel’s biggest challenge is preserving Applegate’s brand — in other words, not mucking up a good thing with corporate dictates. The minute Hormel announced the Applegate deal, it was suspect in the minds of some Applegate consumers, who see the Austin company as part of Big Meat, antithetical to Applegate’s mission. Even now, two months after the deal closed, Applegate’s Facebook page sports a few posts from customers slamming Hormel. Last month, Hormel appointed two of its longtime executives, Steve Lykken and Eldon Quam, respectively as Applegate’s chief operating officer and chief financial officer. Lykken is expected to become Applegate’s CEO next spring. But Applegate will largely operate as it has, said Hormel CEO Jeffrey Ettinger. “We expect the team in New Jersey to run the business,” he said. “They are the ones who have developed this great bond with their customers.” The Applegate deal also gives Hormel more exposure to younger consumers, as does its $450 million acquisition last year of northern California-based CytoSport, producer of Muscle Milk and other nutritional supplements made from whey protein. Applegate and Muscle Milk — along with the Wholly Guacamole brand of Mexican foods Hormel obtained in 2011 — mark a significant demographic shift for Hormel, Ettinger said. “It’s a much younger profile than our core portfolio,” he said. Boosting brands Muscle Milk may seem out of Hormel’s meaty comfort zone. But Hormel’s Century Foods subsidiary in the southwestern Wisconsin town of Sparta was CytoSport’s largest supplier for over 15 years. Muscle Milk is now produced in Sparta. CytoSport had suffered from a lack of innovation, which Hormel has countered with new products, including an organic version of Muscle Milk. Hormel has also relaunched CytoSport’s “Monster” brand of protein supplements. Hormel also faced a dearth of innovation with Skippy — which it bought from Unilever in 2013 for $700 million. Plus, it was a neglected brand. Hormel last year began national advertising for Skippy for the first time since 2009. The company also beefed up Skippy’s distribution to retailers. “There were some markets where the distribution was very spotty,” Ettinger said. While Skippy is still a distant second to Jif peanut butter, data from Chicago-based food market researcher IRI show it has gained about one percentage point of market share since the end of 2013. Ettinger said the Skippy acquisition has exceeded Hormel’s expectations. Hormel is capitalizing on the hot market for snacks by launching this month Skippy P.B. Bites, essentially peanut butter balls. The idea was to create a portable peanut butter product. “People love the flavor of peanut butter,” said James Splinter, Hormel’s group vice president for grocery products. But on-the-go consumption is tough. “It’s putting a spoon in a jar of peanut butter and carrying it around and eating it.” Hormel expects Skippy P.B. Bites to be available in half of the country by the end of October, and a full rollout is expected in 2016. A national ad campaign is slated to begin in February. Spam Snacks are in a similar vein to Skippy snacks, though packaged in single servings. Made with what Hormel calls a “proprietary dried meat technology,” Spam snacks come in “classic,” bacon and teriyaki varieties. They’re rolling out now in Spam’s strongest U.S. markets: the West Coast, Hawaii and the Southeast. If bite-size dried Spam seems a stretch, consider this: The U.S. meat snack market is booming — think of beef jerky’s rise to fame. And Hormel has a long track record of transforming basic stuff — turkey, pepperoni, and even crackers and cheese — into successful new items. “Hormel is the best at developing value-added, convenience-based protein products,” said Rob Moskow, a stock analyst at Credit Suisse. Spam Snacks and Skippy P.B. Bites “are very much on trend with what consumers are looking for. There’s a high probability that they will work.” Mike Hughlett • 612-673-7003 HORMEL’S BIG THREE ACQUISITIONS APPLEGATE FARMS When: May 2015 Cost: $775 million Products: Natural and organic meat CYTOSPORT HOLDINGS When: July 2014 Cost: $450 million Products: Muscle Milk and other supplements SKIPPY BRAND (OWNED BY UNILEVER) When: January 2013 Cost: $700 million Products: Peanut butter </w:t>
      </w:r>
    </w:p>
    <w:p xmlns:wp14="http://schemas.microsoft.com/office/word/2010/wordml" w14:paraId="7D904EDB" wp14:textId="77777777">
      <w:pPr>
        <w:pStyle w:val="Heading1"/>
      </w:pPr>
      <w:r>
        <w:t>End of Article 15</w:t>
      </w:r>
    </w:p>
    <w:p xmlns:wp14="http://schemas.microsoft.com/office/word/2010/wordml" w14:paraId="3656B9AB" wp14:textId="77777777">
      <w:r>
        <w:br w:type="page"/>
      </w:r>
    </w:p>
    <w:p xmlns:wp14="http://schemas.microsoft.com/office/word/2010/wordml" w14:paraId="683C7493" wp14:textId="77777777">
      <w:pPr>
        <w:pStyle w:val="Heading1"/>
      </w:pPr>
      <w:r>
        <w:t>Start of Article 16</w:t>
      </w:r>
    </w:p>
    <w:p xmlns:wp14="http://schemas.microsoft.com/office/word/2010/wordml" w14:paraId="51CEEDFA" wp14:textId="77777777">
      <w:pPr>
        <w:pStyle w:val="Heading1"/>
      </w:pPr>
      <w:r>
        <w:t>Document ID DJDN000020150302eb320019u</w:t>
      </w:r>
    </w:p>
    <w:p xmlns:wp14="http://schemas.microsoft.com/office/word/2010/wordml" w14:paraId="52867118" wp14:textId="77777777">
      <w:r>
        <w:br/>
      </w:r>
      <w:r>
        <w:t xml:space="preserve">PARSIPPANY, N.J.--(BUSINESS WIRE)--March 02, 2015-- </w:t>
      </w:r>
      <w:r>
        <w:br/>
      </w:r>
      <w:r>
        <w:br/>
      </w:r>
      <w:r>
        <w:t>Pacira Pharmaceuticals, Inc. (NASDAQ: PCRX) today announced the receipt of a Complete Response Letter (CRL) from the U.S. Food and Drug Administration (FDA) following a review of its supplemental New Drug Application (sNDA) for the use of EXPAREL(R) (bupivacaine liposome injectable suspension) in nerve block to provide postsurgical analgesia. Pacira will immediately schedule an End-of-Review meeting with the Division of Anesthesia, Analgesia and Addiction Products of the Center for Drug Evaluation and Research to discuss the contents of the CRL.</w:t>
      </w:r>
      <w:r>
        <w:br/>
      </w:r>
      <w:r>
        <w:br/>
      </w:r>
      <w:r>
        <w:t>"We are reviewing the contents of the CRL and will work actively with the FDA to bring this important new indication to our core and growing business in infiltration," said Dave Stack, president, chief executive officer and chairman of Pacira. "Prescribed opioids in the acute care, postsurgical setting lead to chronic use and abuse in approximately one out of every 15 surgery patients in the United States; we remain committed to providing patients with long-acting, non-opioid analgesic options, like EXPAREL, to treat their pain while minimizing the risk of opioid-related adverse events. We look forward to finding solutions to address this public healthcare problem together with the FDA."</w:t>
      </w:r>
      <w:r>
        <w:br/>
      </w:r>
      <w:r>
        <w:br/>
      </w:r>
      <w:r>
        <w:t>EXPAREL is currently indicated for single-dose infiltration into the surgical site to produce postsurgical analgesia. The product combines bupivacaine with DepoFoam(R) , a proven product delivery technology that delivers medication over a desired time period. EXPAREL represents the first and only multivesicular liposome local anesthetic that can be utilized in the peri- or postsurgical setting. By utilizing the DepoFoam platform, a single dose of EXPAREL delivers bupivacaine over time, providing significant reductions in cumulative pain scores with a 45 percent decrease in opioid consumption; the clinical benefit of the opioid reduction was not demonstrated. Additional information is available at www.EXPAREL.com.</w:t>
      </w:r>
      <w:r>
        <w:br/>
      </w:r>
      <w:r>
        <w:br/>
      </w:r>
      <w:r>
        <w:t>Important Safety Information</w:t>
      </w:r>
      <w:r>
        <w:br/>
      </w:r>
      <w:r>
        <w:br/>
      </w:r>
      <w:r>
        <w:t>EXPAREL is contraindicated in obstetrical paracervical block anesthesia. EXPAREL has not been studied for use in patients younger than 18 years of age. Non-bupivacaine-based local anesthetics, including lidocaine, may cause an immediate release of bupivacaine from EXPAREL if administered together locally. The administration of EXPAREL may follow the administration of lidocaine after a delay of 20 minutes or more. Other formulations of bupivacaine should not be administered within 96 hours following administration of EXPAREL. Monitoring of cardiovascular and neurological status, as well as vital signs should be performed during and after injection of EXPAREL as with other local anesthetic products. Because amide-type local anesthetics, such as bupivacaine, are metabolized by the liver, EXPAREL should be used cautiously in patients with hepatic disease. Patients with severe hepatic disease, because of their inability to metabolize local anesthetics normally, are at a greater risk of developing toxic plasma concentrations. In clinical trials, the most common adverse reactions (incidence greater-than or equal to 10%) following EXPAREL administration were nausea, constipation, and vomiting.</w:t>
      </w:r>
      <w:r>
        <w:br/>
      </w:r>
      <w:r>
        <w:br/>
      </w:r>
      <w:r>
        <w:t>Please see the full Prescribing Information for more details available at http://www.exparel.com/pdf/EXPAREL_Prescribing_Information.pdf.</w:t>
      </w:r>
      <w:r>
        <w:br/>
      </w:r>
      <w:r>
        <w:br/>
      </w:r>
      <w:r>
        <w:t>About Pacira</w:t>
      </w:r>
      <w:r>
        <w:br/>
      </w:r>
      <w:r>
        <w:br/>
      </w:r>
      <w:r>
        <w:t>Pacira Pharmaceuticals, Inc. (NASDAQ: PCRX) is a specialty pharmaceutical company focused on the clinical and commercial development of new products that meet the needs of acute care practitioners and their patients. The company's flagship product, EXPAREL(R) (bupivacaine liposome injectable suspension), a non-opioid local analgesic for postsurgical pain control, was commercially launched in the United States in April 2012. EXPAREL and two other products have successfully utilized DepoFoam(R) , a unique and proprietary product delivery technology that encapsulates drugs without altering their molecular structure, and releases them over a desired period of time. Additional information about Pacira is available at www.pacira.com.</w:t>
      </w:r>
      <w:r>
        <w:br/>
      </w:r>
      <w:r>
        <w:br/>
      </w:r>
      <w:r>
        <w:t>Forward Looking Statements</w:t>
      </w:r>
      <w:r>
        <w:br/>
      </w:r>
      <w:r>
        <w:br/>
      </w:r>
      <w:r>
        <w:t xml:space="preserve">Any statements in this press release about our future expectations, plans, outlook and prospects, including statements about our expected revenues, and other statements containing the words "believes," "anticipates," "plans," "estimates," "expects," and similar expressions, constitute forward-looking statements within the meaning of The Private Securities Litigation Reform Act of 1995. Actual results may differ materially from those indicated by such forward-looking statements as a result of various important factors, including risks relating to: the success of our sales and manufacturing efforts in support of the commercialization of EXPAREL; the rate and degree of market acceptance of EXPAREL; the size and growth of the potential markets for EXPAREL and our ability to serve those markets; our plans to expand the use of EXPAREL to additional indications, including nerve block, oral surgery and chronic pain, as well as pediatrics; the related timing and success of a United States Food and Drug Administration supplemental New Drug Application; our receipt of FDA approval of our nerve block indication; the adverse effects and impacts of FDA warning letters; our plans to evaluate, develop and pursue additional DepoFoam-based product candidates; clinical studies in support of an existing or potential DepoFoam-based product; our plans to continue to manufacture and provide support services for our commercial partners who have licensed DepoCyt(e); our commercialization and marketing capabilities; our and Patheon UK Limited's ability to successfully and timely construct dedicated EXPAREL manufacturing suites; and other factors discussed in the "Risk Factors" of our most recent Annual Report on Form 10-K for the fiscal year ended December 31, 2014, and in other filings that we periodically make with the SEC. In addition, the forward-looking statements included in this press release represent our views as of the date of this press release. Important factors could cause our actual results to differ materially from those indicated or implied by forward-looking statements, and as such we anticipate that subsequent events and developments will cause our views to change. However, while we may elect to update these forward-looking statements at some point in the future, we specifically disclaim any obligation to do so. These forward-looking statements should not be relied upon as representing our views as of any date subsequent to the date of this press release. </w:t>
      </w:r>
      <w:r>
        <w:br/>
      </w:r>
      <w:r>
        <w:br/>
      </w:r>
      <w:r>
        <w:br/>
      </w:r>
      <w:r>
        <w:t xml:space="preserve"> </w:t>
      </w:r>
      <w:r>
        <w:br/>
      </w:r>
      <w:r>
        <w:t xml:space="preserve">    CONTACT:    Pacira Pharmaceuticals, Inc. </w:t>
      </w:r>
      <w:r>
        <w:br/>
      </w:r>
      <w:r>
        <w:br/>
      </w:r>
      <w:r>
        <w:t>Jessica Cho, 973-254-3574</w:t>
      </w:r>
      <w:r>
        <w:br/>
      </w:r>
      <w:r>
        <w:br/>
      </w:r>
      <w:r>
        <w:t>or</w:t>
      </w:r>
      <w:r>
        <w:br/>
      </w:r>
      <w:r>
        <w:br/>
      </w:r>
      <w:r>
        <w:t>Media Contact:</w:t>
      </w:r>
      <w:r>
        <w:br/>
      </w:r>
      <w:r>
        <w:br/>
      </w:r>
      <w:r>
        <w:t>Pure Communications, Inc.</w:t>
      </w:r>
      <w:r>
        <w:br/>
      </w:r>
      <w:r>
        <w:br/>
      </w:r>
      <w:r>
        <w:t>Susan Heins, 864-286-9597</w:t>
      </w:r>
      <w:r>
        <w:br/>
      </w:r>
      <w:r>
        <w:br/>
      </w:r>
      <w:r>
        <w:t>2 Mar 2015 06:33 ET *Pacira Pharmaceuticals: Reviewing Contents of CRL And Will Work Actively With FDA</w:t>
      </w:r>
      <w:r>
        <w:br/>
      </w:r>
      <w:r>
        <w:br/>
      </w:r>
      <w:r>
        <w:t>(MORE TO FOLLOW) Dow Jones Newswires (212-416-2800)</w:t>
      </w:r>
      <w:r>
        <w:br/>
      </w:r>
      <w:r>
        <w:br/>
      </w:r>
      <w:r>
        <w:t>March 02, 2015 06:33 ET (11:33 GMT)</w:t>
      </w:r>
    </w:p>
    <w:p xmlns:wp14="http://schemas.microsoft.com/office/word/2010/wordml" w14:paraId="1598B80D" wp14:textId="77777777">
      <w:pPr>
        <w:pStyle w:val="Heading1"/>
      </w:pPr>
      <w:r>
        <w:t>End of Article 16</w:t>
      </w:r>
    </w:p>
    <w:p xmlns:wp14="http://schemas.microsoft.com/office/word/2010/wordml" w14:paraId="45FB0818" wp14:textId="77777777">
      <w:r>
        <w:br w:type="page"/>
      </w:r>
    </w:p>
    <w:p xmlns:wp14="http://schemas.microsoft.com/office/word/2010/wordml" w14:paraId="080DA12C" wp14:textId="77777777">
      <w:pPr>
        <w:pStyle w:val="Heading1"/>
      </w:pPr>
      <w:r>
        <w:t>Start of Article 17</w:t>
      </w:r>
    </w:p>
    <w:p xmlns:wp14="http://schemas.microsoft.com/office/word/2010/wordml" w14:paraId="1B8FD422" wp14:textId="77777777">
      <w:pPr>
        <w:pStyle w:val="Heading1"/>
      </w:pPr>
      <w:r>
        <w:t>Document ID ATPHAM0020150206eb24000eq</w:t>
      </w:r>
    </w:p>
    <w:p xmlns:wp14="http://schemas.microsoft.com/office/word/2010/wordml" w14:paraId="5AE2B8E7" wp14:textId="77777777">
      <w:r>
        <w:t>One of the new PCORI Funding Announcements (PFAs) offers up to $50 million for up to four comparative clinical effectiveness studies on the best ways to diagnose and treat hepatitis C virus (HCV) infection. The other five announcements issued under PCORI's National Priorities for Research provide up to $88 million for a broad range of research projects, with a pool of $12 million of that total set aside for studies that focus on rare disease.</w:t>
      </w:r>
      <w:r>
        <w:br/>
      </w:r>
      <w:r>
        <w:br/>
      </w:r>
      <w:r>
        <w:t>The HCV announcement is a product of a research prioritization process that included a large multi-stakeholder workshop that PCORI held in October 2014; PCORI's Board of Governors later approved the topic for development into a PFA. The announcement addresses four specific research questions addressing critical issues involving HCV screening and treatment options.</w:t>
      </w:r>
      <w:r>
        <w:br/>
      </w:r>
      <w:r>
        <w:br/>
      </w:r>
      <w:r>
        <w:t>HCV is a major chronic condition that affects more than 3 million people in the U.S., the majority of whom are undiagnosed. About one-third of these individuals will develop chronic liver disease-including liver cancer-if left untreated.</w:t>
      </w:r>
      <w:r>
        <w:br/>
      </w:r>
      <w:r>
        <w:br/>
      </w:r>
      <w:r>
        <w:t>"Hepatitis C is a substantial health threat that can have devastating consequences for infected people and their families," said PCORI Executive Director Joe Selby, MD, MPH. "Recently approved medications are very promising and appear to be vast improvements over previous therapies, but as yet there's no 'real-world' evidence of their long-term effectiveness or comparative evidence on a number of critical research questions that should be answered to help patients and those who care for them make better-informed decisions."</w:t>
      </w:r>
      <w:r>
        <w:br/>
      </w:r>
      <w:r>
        <w:br/>
      </w:r>
      <w:r>
        <w:t>Rare disease research is called out as a particular area of interest in four of the five broad funding announcements issued today (the PFA seeking proposals for methods studies is excluded). PCORI is earmarking $12 million for studies that focus on rare diseases, which are defined as life-threatening and chronically debilitating conditions that affect fewer than 200,000 people, or fewer than one in 1,500, in the United States.</w:t>
      </w:r>
      <w:r>
        <w:br/>
      </w:r>
      <w:r>
        <w:br/>
      </w:r>
      <w:r>
        <w:t>PCORI's authorizing legislation calls for the institute to address rare diseases as part of its research agenda. Rare diseases also are the focus of about half of the Patient-Powered Research Networks that are part of PCORnet, PCORI's national patient-centered health data initiative designed to allow the nation to conduct clinical research faster and more efficiently.</w:t>
      </w:r>
      <w:r>
        <w:br/>
      </w:r>
      <w:r>
        <w:br/>
      </w:r>
      <w:r>
        <w:t>"We recognize the special challenges and efforts needed to study rare diseases effectively, so we've added a call for rare disease-focused projects across our broad funding announcements," Selby said. "We're hoping to solicit studies that can gather the amounts of data needed to conduct comparative effectiveness research studies and produce useful information about how to better care for people with these conditions."</w:t>
      </w:r>
      <w:r>
        <w:br/>
      </w:r>
      <w:r>
        <w:br/>
      </w:r>
      <w:r>
        <w:t>Applicants can also learn about PCORI's application process through informational "town hall" webinars that are designed to help them meet all criteria for each funding announcement.</w:t>
      </w:r>
      <w:r>
        <w:br/>
      </w:r>
      <w:r>
        <w:br/>
      </w:r>
      <w:r>
        <w:t>Letters of Intent (LOIs) for the Clinical Management of Hepatitis C Infection and five broad PFAs, including rare disease research proposals, are due by 5 p.m. ET Friday, March 6, 2015. LOIs are required and will be reviewed for responsiveness and fit with program goals. Those invited to submit full applications will be notified Monday, March 23; applications will be due Tuesday, May 5.</w:t>
      </w:r>
      <w:r>
        <w:br/>
      </w:r>
      <w:r>
        <w:br/>
      </w:r>
      <w:r>
        <w:t>Source: Patient-Centered Outcomes Research Institute</w:t>
      </w:r>
    </w:p>
    <w:p xmlns:wp14="http://schemas.microsoft.com/office/word/2010/wordml" w14:paraId="27A8C906" wp14:textId="77777777">
      <w:pPr>
        <w:pStyle w:val="Heading1"/>
      </w:pPr>
      <w:r>
        <w:t>End of Article 17</w:t>
      </w:r>
    </w:p>
    <w:p xmlns:wp14="http://schemas.microsoft.com/office/word/2010/wordml" w14:paraId="049F31CB" wp14:textId="77777777">
      <w:r>
        <w:br w:type="page"/>
      </w:r>
    </w:p>
    <w:p xmlns:wp14="http://schemas.microsoft.com/office/word/2010/wordml" w14:paraId="35676AA4" wp14:textId="77777777">
      <w:pPr>
        <w:pStyle w:val="Heading1"/>
      </w:pPr>
      <w:r>
        <w:t>Start of Article 18</w:t>
      </w:r>
    </w:p>
    <w:p xmlns:wp14="http://schemas.microsoft.com/office/word/2010/wordml" w14:paraId="5C06423D" wp14:textId="77777777">
      <w:pPr>
        <w:pStyle w:val="Heading1"/>
      </w:pPr>
      <w:r>
        <w:t>Document ID DRIDY00020150520eb5k00006</w:t>
      </w:r>
    </w:p>
    <w:p xmlns:wp14="http://schemas.microsoft.com/office/word/2010/wordml" w14:paraId="3032E5ED" wp14:textId="77777777">
      <w:r>
        <w:t>Some 2,300 individual complaints were consolidated in the Philadelphia case, which claims manufacturers failed to warn of risks of tardive dyskinesia on the label of generic Reglan (metoclopramide).</w:t>
      </w:r>
      <w:r>
        <w:br/>
      </w:r>
      <w:r>
        <w:br/>
      </w:r>
      <w:r>
        <w:t>Previously, the court denied requests to review the Pennsylvania court's rulings in Teva Pharmaceuticals v. Dorothy Bennett, on April 27, and in Morton Grove Pharmaceuticals v. Adams, Sparkell, et al on March 23 (DID, April 16).</w:t>
      </w:r>
      <w:r>
        <w:br/>
      </w:r>
      <w:r>
        <w:br/>
      </w:r>
      <w:r>
        <w:t>This was Teva's fourth stab at getting the nation's highest court to consider failure-to-warn arguments. At the end of March, the Supreme Court rejected generics subsidiary Pliva's request to hear similar arguments in an Iowa Supreme Court decision, leaving the drugmaker vulnerable to lawsuits under state law.</w:t>
      </w:r>
      <w:r>
        <w:br/>
      </w:r>
      <w:r>
        <w:br/>
      </w:r>
      <w:r>
        <w:t>And in January, the Supreme Court turned down Teva's request to review a California appeals court ruling that would also make generics makers liable for failing to update labels to reflect new risks.</w:t>
      </w:r>
      <w:r>
        <w:br/>
      </w:r>
      <w:r>
        <w:br/>
      </w:r>
      <w:r>
        <w:t>Teva declined to comment on the decision. -- Jonathon Shacat</w:t>
      </w:r>
      <w:r>
        <w:br/>
      </w:r>
      <w:r>
        <w:br/>
      </w:r>
      <w:r>
        <w:t>Release date: 20150520</w:t>
      </w:r>
    </w:p>
    <w:p xmlns:wp14="http://schemas.microsoft.com/office/word/2010/wordml" w14:paraId="1CAA193A" wp14:textId="77777777">
      <w:pPr>
        <w:pStyle w:val="Heading1"/>
      </w:pPr>
      <w:r>
        <w:t>End of Article 18</w:t>
      </w:r>
    </w:p>
    <w:p xmlns:wp14="http://schemas.microsoft.com/office/word/2010/wordml" w14:paraId="53128261" wp14:textId="77777777">
      <w:r>
        <w:br w:type="page"/>
      </w:r>
    </w:p>
    <w:p xmlns:wp14="http://schemas.microsoft.com/office/word/2010/wordml" w14:paraId="07DDDC5C" wp14:textId="77777777">
      <w:pPr>
        <w:pStyle w:val="Heading1"/>
      </w:pPr>
      <w:r>
        <w:t>Start of Article 19</w:t>
      </w:r>
    </w:p>
    <w:p xmlns:wp14="http://schemas.microsoft.com/office/word/2010/wordml" w14:paraId="591ABC17" wp14:textId="77777777">
      <w:pPr>
        <w:pStyle w:val="Heading1"/>
      </w:pPr>
      <w:r>
        <w:t>Document ID INDFED0020150805eb850020a</w:t>
      </w:r>
    </w:p>
    <w:p xmlns:wp14="http://schemas.microsoft.com/office/word/2010/wordml" w14:paraId="19A57C92" wp14:textId="77777777">
      <w:r>
        <w:t>ZELTIQ Aesthetics Inc. is a medical technology company. It is focused on developing and commercializing products utilizing its controlled-cooling technology platform. Its commercial product, the CoolSculpting System, is designed to reduce stubborn fat bulges.</w:t>
      </w:r>
    </w:p>
    <w:p xmlns:wp14="http://schemas.microsoft.com/office/word/2010/wordml" w14:paraId="33BA6BBB" wp14:textId="77777777">
      <w:pPr>
        <w:pStyle w:val="Heading1"/>
      </w:pPr>
      <w:r>
        <w:t>End of Article 19</w:t>
      </w:r>
    </w:p>
    <w:p xmlns:wp14="http://schemas.microsoft.com/office/word/2010/wordml" w14:paraId="62486C05" wp14:textId="77777777">
      <w:r>
        <w:br w:type="page"/>
      </w:r>
    </w:p>
    <w:p xmlns:wp14="http://schemas.microsoft.com/office/word/2010/wordml" w14:paraId="5ABD0470" wp14:textId="77777777">
      <w:pPr>
        <w:pStyle w:val="Heading1"/>
      </w:pPr>
      <w:r>
        <w:t>Start of Article 20</w:t>
      </w:r>
    </w:p>
    <w:p xmlns:wp14="http://schemas.microsoft.com/office/word/2010/wordml" w14:paraId="7DF832B5" wp14:textId="77777777">
      <w:pPr>
        <w:pStyle w:val="Heading1"/>
      </w:pPr>
      <w:r>
        <w:t>Document ID DJDN000020151001eba1002ac</w:t>
      </w:r>
    </w:p>
    <w:p xmlns:wp14="http://schemas.microsoft.com/office/word/2010/wordml" w14:paraId="7C3C22BD" wp14:textId="77777777">
      <w:r>
        <w:t>The hefty price tag underscores a dilemma amid progress in cancer care: oncologists believe combinations of newer therapies have potential to improve treatment versus single-drug therapies, but the costs could strain health-care budgets as the cocktails are deployed against multiple cancer types. Bristol-Myers also is studying its Yervoy-Opdivo combination in lung cancer, which has a bigger patient population than melanoma.</w:t>
      </w:r>
      <w:r>
        <w:br/>
      </w:r>
      <w:r>
        <w:br/>
      </w:r>
      <w:r>
        <w:t>"What we don't want to see is that cost becomes a factor in people getting the best kind of care that's available," said Tim Turnham, executive director of the nonprofit Melanoma Research Foundation.</w:t>
      </w:r>
      <w:r>
        <w:br/>
      </w:r>
      <w:r>
        <w:br/>
      </w:r>
      <w:r>
        <w:t>He said it is difficult to assess whether the cost of the Bristol-Myers combination is justifiable because the magnitude of the treatment's benefit on patient survival isn't yet known. So far, studies have shown that it shrinks tumors and delays the time until either tumor progression or death compared with its component drugs alone.</w:t>
      </w:r>
      <w:r>
        <w:br/>
      </w:r>
      <w:r>
        <w:br/>
      </w:r>
      <w:r>
        <w:t>A Bristol-Myers spokeswoman said "long-term survival, which is ultimately our goal and that of patients, should be given appropriate and significant consideration in assessing value." She added that only patients who continue to respond to the therapy stay on treatment.</w:t>
      </w:r>
      <w:r>
        <w:br/>
      </w:r>
      <w:r>
        <w:br/>
      </w:r>
      <w:r>
        <w:t>Other expensive combinations have also hit the market. A two-drug melanoma regimen from Novartis AG costs about $18,869 for a 30-day supply, or roughly $226,428 per patient if taken for a year. A Novartis spokeswoman said studies have shown the combination prolongs patient survival.</w:t>
      </w:r>
      <w:r>
        <w:br/>
      </w:r>
      <w:r>
        <w:br/>
      </w:r>
      <w:r>
        <w:t>The FDA based its approval of the Yervoy-Opdivo combination on a Bristol-funded study that showed the regimen significantly shrank tumors in 60% of melanoma patients, versus 11% of patients receiving Yervoy alone. The median time from start of treatment until disease progression or death—also known as progression-free survival—was 8.9 months among those receiving the combination, versus 4.7 months in the Yervoy-alone group.</w:t>
      </w:r>
      <w:r>
        <w:br/>
      </w:r>
      <w:r>
        <w:br/>
      </w:r>
      <w:r>
        <w:t>"It is the first example of an immuno-oncology treatment that could produce an objective [tumor] response in the majority of patients," said Jedd Wolchok, chief of melanoma and immunotherapies service at Memorial Sloan Kettering Cancer Center, New York, and a leader of several studies of the combined treatments.</w:t>
      </w:r>
      <w:r>
        <w:br/>
      </w:r>
      <w:r>
        <w:br/>
      </w:r>
      <w:r>
        <w:t>The combination also increased the risk of serious adverse events such as the gastrointestinal disorder colitis.</w:t>
      </w:r>
      <w:r>
        <w:br/>
      </w:r>
      <w:r>
        <w:br/>
      </w:r>
      <w:r>
        <w:t>Dr. Wolchok said oncologists in community practices may need some education in managing the side effects, which are different from those resulting from chemotherapy and other cancer drugs. The new combination requires oncologists and nurses "to pay attention to toxicity so it can be reversed quickly," said Dr. Wolchok, who is a consultant for Bristol-Myers and whose institution gets grant support from the company.</w:t>
      </w:r>
      <w:r>
        <w:br/>
      </w:r>
      <w:r>
        <w:br/>
      </w:r>
      <w:r>
        <w:t>A patient receiving the combination therapy takes both drugs for the first 12 weeks and then Yervoy treatment is stopped. The patient continues taking Opdivo until experiencing disease progression or unacceptable toxicity. The cost for the initial 12-week phase of the combination is about $141,000, and then $12,500 a month for Opdivo alone, totaling roughly $256,000 if a patient stays on therapy for a year, according to a Bristol-Myers spokeswoman. Subsequent full-year costs of therapy would be about $150,000 for Opdivo alone.</w:t>
      </w:r>
      <w:r>
        <w:br/>
      </w:r>
      <w:r>
        <w:br/>
      </w:r>
      <w:r>
        <w:t>Yervoy, which was introduced in 2011, generated $621 million in sales for Bristol in the first half of this year. Opdivo, launched late last year, had $162 million in sales for the same period.</w:t>
      </w:r>
      <w:r>
        <w:br/>
      </w:r>
      <w:r>
        <w:br/>
      </w:r>
      <w:r>
        <w:t>Write to Peter Loftus at peter.loftus@wsj.com and Ron Winslow at ron.winslow@wsj.com</w:t>
      </w:r>
      <w:r>
        <w:br/>
      </w:r>
      <w:r>
        <w:br/>
      </w:r>
      <w:r>
        <w:t>(END) Dow Jones Newswires</w:t>
      </w:r>
      <w:r>
        <w:br/>
      </w:r>
      <w:r>
        <w:br/>
      </w:r>
      <w:r>
        <w:t>October 01, 2015 11:25 ET (15:25 GMT)</w:t>
      </w:r>
    </w:p>
    <w:p xmlns:wp14="http://schemas.microsoft.com/office/word/2010/wordml" w14:paraId="75DF0169" wp14:textId="77777777">
      <w:pPr>
        <w:pStyle w:val="Heading1"/>
      </w:pPr>
      <w:r>
        <w:t>End of Article 20</w:t>
      </w:r>
    </w:p>
    <w:p xmlns:wp14="http://schemas.microsoft.com/office/word/2010/wordml" w14:paraId="4101652C" wp14:textId="77777777">
      <w:r>
        <w:br w:type="page"/>
      </w:r>
    </w:p>
    <w:p xmlns:wp14="http://schemas.microsoft.com/office/word/2010/wordml" w14:paraId="6A7A9B8C" wp14:textId="77777777">
      <w:pPr>
        <w:pStyle w:val="Heading1"/>
      </w:pPr>
      <w:r>
        <w:t>Start of Article 21</w:t>
      </w:r>
    </w:p>
    <w:p xmlns:wp14="http://schemas.microsoft.com/office/word/2010/wordml" w14:paraId="44CA0280" wp14:textId="77777777">
      <w:pPr>
        <w:pStyle w:val="Heading1"/>
      </w:pPr>
      <w:r>
        <w:t>Document ID ENPNEW0020150130eb1u00044</w:t>
      </w:r>
    </w:p>
    <w:p xmlns:wp14="http://schemas.microsoft.com/office/word/2010/wordml" w14:paraId="705B874E" wp14:textId="77777777">
      <w:r>
        <w:t>This represents the fourth indication for IMBRUVICA since its initial approval in November 2013. IMBRUVICA was granted Breakthrough Therapy Designation for WM by the FDA and is being jointly developed and commercialized by Janssen and Pharmacyclics, Inc.</w:t>
      </w:r>
      <w:r>
        <w:br/>
      </w:r>
      <w:r>
        <w:br/>
      </w:r>
      <w:r>
        <w:t>The update to the IMBRUVICA label is based on data from a Dana-Farber Cancer Institute Phase 2 study. Earlier releases of these data were previously presented at the 2013 American Society of Hematology (ASH) and the 2013 International Congress of Malignant Lymphoma (ICML) annual meetings.</w:t>
      </w:r>
      <w:r>
        <w:br/>
      </w:r>
      <w:r>
        <w:br/>
      </w:r>
      <w:r>
        <w:t>'Since the first description of Waldenstrom's macroglobulinemia more than 70 years ago, there has been no approved treatment for this cancer. Rather, doctors relied on therapies borrowed from similar cancers to treat these patients. I am truly grateful to the FDA for their thorough review and expedited approval of IMBRUVICA for this indication. The approval was made possible because of the hard work and dedication of scientists and clinicians at various leading medical centers who diligently worked on the clinical trial that supports IMBRUVICA as a safe and effective therapy for patients with Waldenstrom's macroglobulinemia,' said Steven P. Treon, M.D., Ph.D., Director of the Bing Center for Waldenstrom's Macroglobulinemia at the Dana-Farber Cancer Institute and Associate Professor at Harvard Medical School, and, who led the trial.</w:t>
      </w:r>
      <w:r>
        <w:br/>
      </w:r>
      <w:r>
        <w:br/>
      </w:r>
      <w:r>
        <w:t>'Waldenstrom's macroglobulinemia patients and physicians have been waiting for a treatment specifically studied and approved to treat this rare disease,' said Carl Harrington, President of the International Waldenstrom's Macroglobulinemia Foundation. 'The approval of IMBRUVICA is an important milestone for the entire global WM community and has the potential to positively impact our patients, their physicians and caregivers.'</w:t>
      </w:r>
      <w:r>
        <w:br/>
      </w:r>
      <w:r>
        <w:br/>
      </w:r>
      <w:r>
        <w:t>The Phase 2 multi-center study on which this approval was based evaluated the efficacy and tolerability of IMBRUVICA 420 mg once daily in 63 patients with previously treated WM (median age of 63; range, 44-86 years old). The response rate as assessed by an Independent Review Committee using criteria adopted from the International Workshop on WM was 62 percent (95% CI, 48.8, 73.9). Nearly 51 percent of patients achieved a partial response (PR) and 11 percent achieved a very good PR. No complete responses were reported. The median duration of response has not been reached (2.8+, 18.8+ months). The median time to response was 1.2 months (range, 0.7-13.4 months).</w:t>
      </w:r>
      <w:r>
        <w:br/>
      </w:r>
      <w:r>
        <w:br/>
      </w:r>
      <w:r>
        <w:t>The most commonly occurring adverse reactions in the WM trial (=20 percent of IMBRUVICA patients) were neutropenia (decreased amount of neutrophils in the blood), thrombocytopenia (decrease in platelets in the blood), diarrhea, rash, nausea, muscle spasms and fatigue. Six percent of patients in the WM trial receiving IMBRUVICA discontinued treatment due to adverse events. Adverse events leading to dose reduction occurred in 11 percent of patients.</w:t>
      </w:r>
      <w:r>
        <w:br/>
      </w:r>
      <w:r>
        <w:br/>
      </w:r>
      <w:r>
        <w:t>'The IMBRUVICA Waldenstrom's macroglobulinemia approval is a sterling example of collaboration for the benefit of patients,' said Peter F. Lebowitz, M.D., Ph.D., Global Oncology Head, Janssen. 'All partners involved recognized the urgent need for approved treatment options for those living with WM, and collectively set an aggressive pace to gain approval. The fact that the FDA granted full approval for this indication is meaningful and confirms the safety and efficacy of IMBRUVICA in WM.'</w:t>
      </w:r>
      <w:r>
        <w:br/>
      </w:r>
      <w:r>
        <w:br/>
      </w:r>
      <w:r>
        <w:t>In the U.S., there are approximately 1,000 to 1,500 new cases of WM each year and the median age at diagnosis is 60 to 70 years of age.2,3 WM (a clinically recognized subset of lymphoplasmacytic lymphoma, or LPL) begins with a malignant change to the B cell, a type of white blood cell (lymphocyte), during its maturation so that it continues to reproduce more malignant B cells.4 WM cells make large amounts of a certain type of antibody (immunoglobulin M, or IgM) mostly in the bone marrow.4 Antibodies such as IgM normally help the body to fight infection.4 However, the overproduction of IgM, a hallmark of WM, often leads to the bone marrow becoming dysfunctional.4 Typically, patients with WM are diagnosed after developing symptoms associated with the disease such as anemia, fatigue and night sweats.4</w:t>
      </w:r>
      <w:r>
        <w:br/>
      </w:r>
      <w:r>
        <w:br/>
      </w:r>
      <w:r>
        <w:t>About IMBRUVICA</w:t>
      </w:r>
      <w:r>
        <w:br/>
      </w:r>
      <w:r>
        <w:br/>
      </w:r>
      <w:r>
        <w:t>IMBRUVICA was one of the first therapies to receive U.S. approval after having received the FDA's Breakthrough Therapy Designation. IMBRUVICA works by blocking a specific protein called Bruton's tyrosine kinase (BTK).1 The BTK protein transmits important signals that tell B cells to mature and produce antibodies and is needed by specific cancer cells to multiply and spread.1, IMBRUVICA targets and blocks BTK, inhibiting cancer cell survival and spread.1 For more information, visit www.IMBRUVICA.com.</w:t>
      </w:r>
      <w:r>
        <w:br/>
      </w:r>
      <w:r>
        <w:br/>
      </w:r>
      <w:r>
        <w:t>Janssen and Pharmacyclics are striving to make the process of obtaining IMBRUVICA and navigating insurance benefits easy for patients. The YOU&amp;i Support Program is a personalized program that includes information on access and affordability, nurse call support and resources for patients being treated with IMBRUVICA. This includes the YOU&amp;i Instant Savings program, which provides co-pay support and benefits information to eligible commercially-insured patients. This program is not valid for patients with Medicare or Medicaid. Patients can access the program by contacting 1-877-877-3536, option 1 or by visiting http://www.imbruvica.com.</w:t>
      </w:r>
      <w:r>
        <w:br/>
      </w:r>
      <w:r>
        <w:br/>
      </w:r>
      <w:r>
        <w:t>Additional Information about IMBRUVICA</w:t>
      </w:r>
      <w:r>
        <w:br/>
      </w:r>
      <w:r>
        <w:br/>
      </w:r>
      <w:r>
        <w:t>INDICATIONS</w:t>
      </w:r>
      <w:r>
        <w:br/>
      </w:r>
      <w:r>
        <w:br/>
      </w:r>
      <w:r>
        <w:t>IMBRUVICA is indicated to treat people with:</w:t>
      </w:r>
      <w:r>
        <w:br/>
      </w:r>
      <w:r>
        <w:br/>
      </w:r>
      <w:r>
        <w:t>Mantle cell lymphoma (MCL) who have received at least one prior therapy</w:t>
      </w:r>
      <w:r>
        <w:br/>
      </w:r>
      <w:r>
        <w:br/>
      </w:r>
      <w:r>
        <w:t>Accelerated approval was granted for this indication based on overall response rate. Continued approval for this indication may be contingent upon verification of clinical benefit in confirmatory trials.</w:t>
      </w:r>
      <w:r>
        <w:br/>
      </w:r>
      <w:r>
        <w:br/>
      </w:r>
      <w:r>
        <w:t>Chronic lymphocytic leukemia (CLL) who have received at least one prior therapy</w:t>
      </w:r>
      <w:r>
        <w:br/>
      </w:r>
      <w:r>
        <w:br/>
      </w:r>
      <w:r>
        <w:t>Chronic lymphocytic leukemia (CLL) with 17p deletion</w:t>
      </w:r>
      <w:r>
        <w:br/>
      </w:r>
      <w:r>
        <w:br/>
      </w:r>
      <w:r>
        <w:t>Waldenstrom's macroglobulinemia (WM)</w:t>
      </w:r>
      <w:r>
        <w:br/>
      </w:r>
      <w:r>
        <w:br/>
      </w:r>
      <w:r>
        <w:t>IMPORTANT SAFETY INFORMATION</w:t>
      </w:r>
      <w:r>
        <w:br/>
      </w:r>
      <w:r>
        <w:br/>
      </w:r>
      <w:r>
        <w:t>WARNINGS AND PRECAUTIONS</w:t>
      </w:r>
      <w:r>
        <w:br/>
      </w:r>
      <w:r>
        <w:br/>
      </w:r>
      <w:r>
        <w:t>Hemorrhage - Fatal bleeding events have occurred in patients treated with IMBRUVICA. Grade 3 or higher bleeding events (subdural hematoma, gastrointestinal bleeding, hematuria, and post-procedural hemorrhage) have occurred in up to 6% of patients. Bleeding events of any grade, including bruising and petechiae, occurred in approximately half of patients treated with IMBRUVICA.</w:t>
      </w:r>
      <w:r>
        <w:br/>
      </w:r>
      <w:r>
        <w:br/>
      </w:r>
      <w:r>
        <w:t>The mechanism for the bleeding events is not well understood. IMBRUVICA may increase the risk of hemorrhage in patients receiving antiplatelet or anticoagulant therapies. Consider the benefit-risk of withholding IMBRUVICA for at least 3 to 7 days pre and post-surgery depending upon the type of surgery and the risk of bleeding.</w:t>
      </w:r>
      <w:r>
        <w:br/>
      </w:r>
      <w:r>
        <w:br/>
      </w:r>
      <w:r>
        <w:t>Infections - Fatal and non-fatal infections have occurred with IMBRUVICA therapy. Grade 3 or greater infections occurred in 14% to 26% of patients. Cases of progressive multifocal leukoencephalopathy (PML) have occurred in patients treated with IMBRUVICA. Monitor patients for fever and infections and evaluate promptly.</w:t>
      </w:r>
      <w:r>
        <w:br/>
      </w:r>
      <w:r>
        <w:br/>
      </w:r>
      <w:r>
        <w:t>Cytopenias - Treatment-emergent Grade 3 or 4 cytopenias including neutropenia (range, 19 to 29%), thrombocytopenia (range, 5 to 17%), and anemia (range, 0 to 9%) occurred in patients treated with IMBRUVICA. Monitor complete blood counts monthly.</w:t>
      </w:r>
      <w:r>
        <w:br/>
      </w:r>
      <w:r>
        <w:br/>
      </w:r>
      <w:r>
        <w:t>Atrial Fibrillation - Atrial fibrillation and atrial flutter (range, 6 to 9%) have occurred in patients treated with IMBRUVICA, particularly in patients with cardiac risk factors, acute infections, and a previous history of atrial fibrillation. Periodically monitor patients clinically for atrial fibrillation. Patients who develop arrhythmic symptoms (eg, palpitations, lightheadedness) or new-onset dyspnea should have an ECG performed. If atrial fibrillation persists, consider the risks and benefits of IMBRUVICA treatment and dose modification.</w:t>
      </w:r>
      <w:r>
        <w:br/>
      </w:r>
      <w:r>
        <w:br/>
      </w:r>
      <w:r>
        <w:t>Second Primary Malignancies - Other malignancies (range, 5 to 14%) including non-skin carcinomas (range, 1 to 3%) have occurred in patients treated with IMBRUVICA. The most frequent second primary malignancy was non-melanoma skin cancer (range, 4 to 11%).</w:t>
      </w:r>
      <w:r>
        <w:br/>
      </w:r>
      <w:r>
        <w:br/>
      </w:r>
      <w:r>
        <w:t>Tumor Lysis Syndrome - Tumor lysis syndrome has been reported with IMBRUVICA therapy. Monitor patients closely and take appropriate precautions in patients at risk for tumor lysis syndrome (e.g. high tumor burden).</w:t>
      </w:r>
      <w:r>
        <w:br/>
      </w:r>
      <w:r>
        <w:br/>
      </w:r>
      <w:r>
        <w:t>Embryo-Fetal Toxicity - Based on findings in animals, IMBRUVICA can cause fetal harm when administered to a pregnant woman. Advise women to avoid becoming pregnant while taking IMBRUVICA. If this drug is used during pregnancy or if the patient becomes pregnant while taking this drug, the patient should be apprised of the potential hazard to a fetus.</w:t>
      </w:r>
      <w:r>
        <w:br/>
      </w:r>
      <w:r>
        <w:br/>
      </w:r>
      <w:r>
        <w:t>ADVERSE REACTIONS</w:t>
      </w:r>
      <w:r>
        <w:br/>
      </w:r>
      <w:r>
        <w:br/>
      </w:r>
      <w:r>
        <w:t>The most common adverse reactions (=25%) in patients with B-cell malignancies (MCL, CLL, WM) were thrombocytopenia, neutropenia, diarrhea, anemia, fatigue, musculoskeletal pain, bruising, nausea, upper respiratory tract infection, and rash. Seven percent of patients receiving IMBRUVICA discontinued treatment due to adverse events.</w:t>
      </w:r>
      <w:r>
        <w:br/>
      </w:r>
      <w:r>
        <w:br/>
      </w:r>
      <w:r>
        <w:t>DRUG INTERACTIONS</w:t>
      </w:r>
      <w:r>
        <w:br/>
      </w:r>
      <w:r>
        <w:br/>
      </w:r>
      <w:r>
        <w:t>CYP3A Inhibitors - Avoid co-administration with strong and moderate CYP3A inhibitors. If a moderate CYP3A inhibitor must be used, reduce the IMBRUVICA dose.</w:t>
      </w:r>
      <w:r>
        <w:br/>
      </w:r>
      <w:r>
        <w:br/>
      </w:r>
      <w:r>
        <w:t>CYP3A Inducers - Avoid co-administration with strong CYP3A inducers.</w:t>
      </w:r>
      <w:r>
        <w:br/>
      </w:r>
      <w:r>
        <w:br/>
      </w:r>
      <w:r>
        <w:t>SPECIFIC POPULATIONS</w:t>
      </w:r>
      <w:r>
        <w:br/>
      </w:r>
      <w:r>
        <w:br/>
      </w:r>
      <w:r>
        <w:t>Hepatic Impairment - Avoid use in patients with moderate or severe baseline hepatic impairment. In patients with mild impairment, reduce IMBRUVICA dose.</w:t>
      </w:r>
      <w:r>
        <w:br/>
      </w:r>
      <w:r>
        <w:br/>
      </w:r>
      <w:r>
        <w:t>Please see full prescribing information: http://www.imbruvica.com/downloads/Prescribing_Information.pdf</w:t>
      </w:r>
      <w:r>
        <w:br/>
      </w:r>
      <w:r>
        <w:br/>
      </w:r>
      <w:r>
        <w:t>About Janssen Biotech, Inc.</w:t>
      </w:r>
      <w:r>
        <w:br/>
      </w:r>
      <w:r>
        <w:br/>
      </w:r>
      <w:r>
        <w:t>Janssen Biotech, Inc. redefines the standard of care in immunology, oncology, urology and nephrology. Built upon a rich legacy of innovative firsts, Janssen Biotech has delivered on the promise of new treatments and ways to improve the health of individuals with serious disease. Beyond its innovative medicines, Janssen Biotech is at the forefront of developing education and public policy initiatives to ensure patients and their families, caregivers, advocates and health care professionals have access to the latest treatment information, support services and quality care. For more information on Janssen Biotech, Inc. or its products, visit www.janssenbiotech.com. Follow us on Twitter at www.twitter.com/JanssenUS.</w:t>
      </w:r>
      <w:r>
        <w:br/>
      </w:r>
      <w:r>
        <w:br/>
      </w:r>
      <w:r>
        <w:t>Janssen in Oncology</w:t>
      </w:r>
      <w:r>
        <w:br/>
      </w:r>
      <w:r>
        <w:br/>
      </w:r>
      <w:r>
        <w:t>In oncology, our goal is to fundamentally alter the way cancer is understood, diagnosed and managed, reinforcing our commitment to the patients who inspire us. In looking to find innovative ways to address the cancer challenge, our primary efforts focus on several treatment and prevention solutions. These include a focus on hematologic malignancies, prostate cancer and lung cancer; cancer interception with the goal of developing products that interrupt the carcinogenic process; biomarkers that may help guide targeted, individualized use of our therapies; as well as safe and effective identification and treatment of early changes in the tumor microenvironment. Please visit oncology.janssenrnd.com.</w:t>
      </w:r>
      <w:r>
        <w:br/>
      </w:r>
      <w:r>
        <w:br/>
      </w:r>
      <w:r>
        <w:t>1 IMBRUVICA Prescribing Information, January 2015.</w:t>
      </w:r>
      <w:r>
        <w:br/>
      </w:r>
      <w:r>
        <w:br/>
      </w:r>
      <w:r>
        <w:t>2 American Cancer Society. 'What are the key statistics about Waldenstrom macroglobulinemia?' Available at: http://www.cancer.org/cancer/waldenstrommacroglobulinemia/detailedguide/waldenstrom-macroglobulinemia-key-statistics-w-m. Accessed January 2015.</w:t>
      </w:r>
      <w:r>
        <w:br/>
      </w:r>
      <w:r>
        <w:br/>
      </w:r>
      <w:r>
        <w:t>3 Fonseca R, Hayman S. Waldenstrom macroglobulinaemia. Br J Haematol. 2007;138(6)700-720.</w:t>
      </w:r>
      <w:r>
        <w:br/>
      </w:r>
      <w:r>
        <w:br/>
      </w:r>
      <w:r>
        <w:t>4 American Cancer Society. 'What is Waldenstrom macroglobulinemia?' Available at: http://www.cancer.org/cancer/waldenstrommacroglobulinemia/detailedguide/waldenstrom-macroglobulinemia-w-m. Accessed January 2015.</w:t>
      </w:r>
      <w:r>
        <w:br/>
      </w:r>
      <w:r>
        <w:br/>
      </w:r>
      <w:r>
        <w:t>5 Genetics Home Reference. Isolated growth hormone deficiency. Available at: http://ghr.nlm.nih.gov/condition/isolated-growth-hormone-deficiency. Accessed January 2015.</w:t>
      </w:r>
      <w:r>
        <w:br/>
      </w:r>
      <w:r>
        <w:br/>
      </w:r>
      <w:r>
        <w:t>Media Inquiries:</w:t>
      </w:r>
      <w:r>
        <w:br/>
      </w:r>
      <w:r>
        <w:br/>
      </w:r>
      <w:r>
        <w:t>Stephanie Jacobson</w:t>
      </w:r>
      <w:r>
        <w:br/>
      </w:r>
      <w:r>
        <w:br/>
      </w:r>
      <w:r>
        <w:t>Phone: 1-215-325-4368</w:t>
      </w:r>
      <w:r>
        <w:br/>
      </w:r>
      <w:r>
        <w:br/>
      </w:r>
      <w:r>
        <w:t>Mobile: 1-484-999-4954</w:t>
      </w:r>
      <w:r>
        <w:br/>
      </w:r>
      <w:r>
        <w:br/>
      </w:r>
      <w:r>
        <w:t>Investor Relations:</w:t>
      </w:r>
      <w:r>
        <w:br/>
      </w:r>
      <w:r>
        <w:br/>
      </w:r>
      <w:r>
        <w:t>Lesley Fishman</w:t>
      </w:r>
      <w:r>
        <w:br/>
      </w:r>
      <w:r>
        <w:br/>
      </w:r>
      <w:r>
        <w:t>Phone: 1-732-524-3922</w:t>
      </w:r>
      <w:r>
        <w:br/>
      </w:r>
      <w:r>
        <w:br/>
      </w:r>
      <w:r>
        <w:t>Louise Mehrotra</w:t>
      </w:r>
      <w:r>
        <w:br/>
      </w:r>
      <w:r>
        <w:br/>
      </w:r>
      <w:r>
        <w:t>Phone: 1-732-524-6491</w:t>
      </w:r>
      <w:r>
        <w:br/>
      </w:r>
      <w:r>
        <w:br/>
      </w:r>
      <w:r>
        <w:t>U.S. Medical Inquiries:</w:t>
      </w:r>
      <w:r>
        <w:br/>
      </w:r>
      <w:r>
        <w:br/>
      </w:r>
      <w:r>
        <w:t>Pharmacyclics Medical Information:</w:t>
      </w:r>
      <w:r>
        <w:br/>
      </w:r>
      <w:r>
        <w:br/>
      </w:r>
      <w:r>
        <w:t>1-877-877-3536</w:t>
      </w:r>
      <w:r>
        <w:br/>
      </w:r>
      <w:r>
        <w:br/>
      </w:r>
      <w:r>
        <w:t>[Editorial queries for this story should be sent to newswire@enpublishing.co.uk]</w:t>
      </w:r>
    </w:p>
    <w:p xmlns:wp14="http://schemas.microsoft.com/office/word/2010/wordml" w14:paraId="4DF1E517" wp14:textId="77777777">
      <w:pPr>
        <w:pStyle w:val="Heading1"/>
      </w:pPr>
      <w:r>
        <w:t>End of Article 21</w:t>
      </w:r>
    </w:p>
    <w:p xmlns:wp14="http://schemas.microsoft.com/office/word/2010/wordml" w14:paraId="4B99056E" wp14:textId="77777777">
      <w:r>
        <w:br w:type="page"/>
      </w:r>
    </w:p>
    <w:p xmlns:wp14="http://schemas.microsoft.com/office/word/2010/wordml" w14:paraId="7079CD0E" wp14:textId="77777777">
      <w:pPr>
        <w:pStyle w:val="Heading1"/>
      </w:pPr>
      <w:r>
        <w:t>Start of Article 22</w:t>
      </w:r>
    </w:p>
    <w:p xmlns:wp14="http://schemas.microsoft.com/office/word/2010/wordml" w14:paraId="417A31BE" wp14:textId="77777777">
      <w:pPr>
        <w:pStyle w:val="Heading1"/>
      </w:pPr>
      <w:r>
        <w:t>Document ID DJDN000020150403eb430019x</w:t>
      </w:r>
    </w:p>
    <w:p xmlns:wp14="http://schemas.microsoft.com/office/word/2010/wordml" w14:paraId="0F2F65C0" wp14:textId="77777777">
      <w:r>
        <w:t>13:18 EDT - The chief risk officer for Sodexo, the North American unit of Sodexo SA (SW.FR), says in an interview that the company will have to improve its approach to risk management in order to achieve the ambitious financial goals it has set in the context of a global restructuring. There's more risk because there's more distraction--and people in new roles may not have institutional experience to fall back on. "We have some very significant financial goals that have to be reached and if we don't manage the risk side well it will be a lot harder and less efficient," says Peter Rosiere, vice president of risk management for North America at Sodexo. (gregory.millman@wsj.com)</w:t>
      </w:r>
      <w:r>
        <w:br/>
      </w:r>
      <w:r>
        <w:br/>
      </w:r>
      <w:r>
        <w:t>13:14 EDT - The US legal services sector shed 1,200 jobs in March, dipping slightly below employment levels at the start of the year, the Labor Department said as part of today's employment report. The total number of legal jobs now stands at 1.12M, a preliminary and seasonally adjusted figure around which the sector's employment has hovered the past year and that's still tens of thousands short of pre-recession levels. Counted in the space includes lawyers, paralegals, legal consultants, process servers, notaries and patent agents, among others. Legal's March decline came as overall US job growth was far below expectations and the least in more than a year. (jacob.gershman@wsj.com)</w:t>
      </w:r>
      <w:r>
        <w:br/>
      </w:r>
      <w:r>
        <w:br/>
      </w:r>
      <w:r>
        <w:t>13:06 EDT - Morgan Stanley's own Fed timing measure, known as M1KE (number of months before the first rate hike), reflects expectations for a delay in tightening after this morning's weak jobs report. The measure is now at 8.5 months, versus about 6 months in mid-March, so it's suggesting the 1st rate hike won't come until December. Despite the delay, it compares to a M1KE measure of 45 months for the ECB. Morgan Stanley says a wide gap sets up well for US bonds, recommending investors buy 10-year Treasurys while selling 10-year German bunds and twice as many 10-year Japan bonds. US 10-years yield 1.84%, while German 10s yield 0.19% and Japanese 10s yield 0.35%. (cynthia.lin@wsj.com; @cynthialin_dj)</w:t>
      </w:r>
      <w:r>
        <w:br/>
      </w:r>
      <w:r>
        <w:br/>
      </w:r>
      <w:r>
        <w:t>12:49 EDT - Friday's price rally in US Treasurys caps a winning weak for bond buyers. The 10-year Treasury yield ends at a two-month low of 1.84% today in a shortened holiday session, and for the week falls about 11 bps. The yield has tumbled from this year's peak of 2.24% on March 6 after a strong February jobs report. But sentiment has swung to a more downbeat view of the economy, and now many investors expect the Fed to stand pat on tightening until very late this year. (min.zeng@wsj.com; @minzengwsj)</w:t>
      </w:r>
      <w:r>
        <w:br/>
      </w:r>
      <w:r>
        <w:br/>
      </w:r>
      <w:r>
        <w:t>12:41 EDT - As regulators angst over how to boost oil train safety, one railroad is taking unilateral actions. That's unusual since it will slow trains and pressure peers in an industry where major players nearly always act in concert. Earlier this year, BNSF Railway began charging extra for each older railcar shippers use for crude. The American Fuel &amp; Petrochemical Manufacturers sued saying that's improper. Last week, BNSF additionally said it would slow its oil trains to 35 MPH from 40 in certain populated areas and would increase inspections of tracks and cars. That will slow BNSF's entire system and undoubtedly make some other freight railroads squirm. (betsy.morris@wsj.com)</w:t>
      </w:r>
      <w:r>
        <w:br/>
      </w:r>
      <w:r>
        <w:br/>
      </w:r>
      <w:r>
        <w:t>12:28 EDT - C&amp;A Marketing has closed a $1.9M dollar deal to purchase SkyMall's trademark and online business, according to a C&amp;A Marketing spokeswoman. The sale could mark a new beginning for SkyMall, which is best known for the quirky products it sold through its in-flight catalog. Chaim Pikarski, an owner and executive at New Jersey-based C&amp;A Marketing, told The Wall Street Journal that he plans to turn around the failed business, capitalizing on its widely recognized brand. That process, he says, may include reinstating the now-defunct SkyMall catalog, beloved by many frequent fliers. C&amp;A Marketing has a history of buying up bankrupt businesses with strong brands, including Polaroid and Ritz Camera stores. (tom.corrigan@wsj.com)</w:t>
      </w:r>
      <w:r>
        <w:br/>
      </w:r>
      <w:r>
        <w:br/>
      </w:r>
      <w:r>
        <w:t>12:18 EDT - Venture capitalists are funding startups with technologies to help health-care providers adapt to shifts in medical reimbursement. Conventional, fee-for-service health care pays for every service piecemeal. Medicare and private insurers are testing bundled-payment strategies that instead pay a lump sum for a medical procedure. This encourages care providers to eliminate waste and to quickly catch problems that could increase the cost of treating a patient. VC-backed HealthLoop's cloud-based system helps doctors monitor patients who are recovering from surgery. This helps them catch infections and other complications before they become severe. HealthLoop just signed Cedars-Sinai Health System as a customer. Other care-coordination companies raising venture capital include Cureatr and Caremerge. (brian.gormley@wsj.com)</w:t>
      </w:r>
      <w:r>
        <w:br/>
      </w:r>
      <w:r>
        <w:br/>
      </w:r>
      <w:r>
        <w:t>12:06 EDT - The popular night trading sessions run by the Shanghai Gold Exchange and Shanghai Futures Exchange are giving gold traders there a head start on counterparts in London and New York today. While markets in Europe and Asia are closed for Good Friday, Chinese traders are able to react to today's disappointing jobs report says RBC's George Gero. Mr. Gero said that gold nudged higher in the Far East following the U.S. employment data, "but it didn't spike." Still, gold's reaction is likely to be more pronounced on Sunday night, when electronic trading in U.S. stock and bond futures as well as commodities resumes. "There will be more markets and more liquidity," Mr. Gero said. (tatyana.shumsky@wsj.com; @MissShumsky)</w:t>
      </w:r>
      <w:r>
        <w:br/>
      </w:r>
      <w:r>
        <w:br/>
      </w:r>
      <w:r>
        <w:t>11:57 EDT - While a number of analysts have voiced concerns about railroad's 1Q cargo volumes coming in lower than expected, the sector has surprised in the past in such periods with higher operating-earnings gains than expected, notes Barclays. It finds in 16 cases since 2004, such profits rose more than 5% while volumes fell. "Pricing and productivity are also important drivers of railroad earnings," notes Barclays, which expect the sector's pricing power to continue rising this year. Plus, railroads may report efficiency gains after spending money last year to improve service and capacity. (laura.stevens@wsj.com; @LauraStevensWSJ)</w:t>
      </w:r>
      <w:r>
        <w:br/>
      </w:r>
      <w:r>
        <w:br/>
      </w:r>
      <w:r>
        <w:t>11:55 EDT - People with illnesses like cancer often battle depression and other mental-health problems. Quartet Health has raised $7M in venture capital to help patients get the medical and mental-health care they need. Patients often struggle to get mental health care because of a shortage of clinicians and a lack of financial incentives for primary-care and mental-health-care physicians to collaborate. Quartet's technology connects PCPs and mental-health clinicians to make collaboration easier. The startup, whose primary customers are health plans, is also working with partners on reimbursement structures that encourage collaboration. Others raising VC to improve access to mental-health care include software startup Pear Therapeutics. (brian.gormley@wsj.com)</w:t>
      </w:r>
      <w:r>
        <w:br/>
      </w:r>
      <w:r>
        <w:br/>
      </w:r>
      <w:r>
        <w:t>11:52 EDT - Rail analyst Tony Hatch asks whether "deals may be back?" in a new report on the short-line railroad sector after attending the American Short Line and Regional Railroad Association convention in Orlando, Florida. "There was certainly a fair amount of money around" he writes, from private equity and strategic investors, along with short lines' higher valuations and need for capital investment. He came away with a "general sense" that deal conversations were more serious than in prior years. (betsy.morris@wsj.com)</w:t>
      </w:r>
      <w:r>
        <w:br/>
      </w:r>
      <w:r>
        <w:br/>
      </w:r>
      <w:r>
        <w:t>(END) Dow Jones Newswires</w:t>
      </w:r>
      <w:r>
        <w:br/>
      </w:r>
      <w:r>
        <w:br/>
      </w:r>
      <w:r>
        <w:t>April 03, 2015 13:24 ET (17:24 GMT)</w:t>
      </w:r>
    </w:p>
    <w:p xmlns:wp14="http://schemas.microsoft.com/office/word/2010/wordml" w14:paraId="176727E4" wp14:textId="77777777">
      <w:pPr>
        <w:pStyle w:val="Heading1"/>
      </w:pPr>
      <w:r>
        <w:t>End of Article 22</w:t>
      </w:r>
    </w:p>
    <w:p xmlns:wp14="http://schemas.microsoft.com/office/word/2010/wordml" w14:paraId="1299C43A" wp14:textId="77777777">
      <w:r>
        <w:br w:type="page"/>
      </w:r>
    </w:p>
    <w:p xmlns:wp14="http://schemas.microsoft.com/office/word/2010/wordml" w14:paraId="38D0FAF8" wp14:textId="77777777">
      <w:pPr>
        <w:pStyle w:val="Heading1"/>
      </w:pPr>
      <w:r>
        <w:t>Start of Article 23</w:t>
      </w:r>
    </w:p>
    <w:p xmlns:wp14="http://schemas.microsoft.com/office/word/2010/wordml" w14:paraId="0A62D1CA" wp14:textId="77777777">
      <w:pPr>
        <w:pStyle w:val="Heading1"/>
      </w:pPr>
      <w:r>
        <w:t>Document ID DJDN000020150310eb3a000ok</w:t>
      </w:r>
    </w:p>
    <w:p xmlns:wp14="http://schemas.microsoft.com/office/word/2010/wordml" w14:paraId="5328FB3C" wp14:textId="77777777">
      <w:r>
        <w:t>FARNBOROUGH, Hampshire, United Kingdom, March 10, 2015 (GLOBE NEWSWIRE) -- Security &amp; Policing 2015 -- American Science and Engineering, Inc. ("AS&amp;E") (Nasdaq:ASEI), a leading worldwide supplier of innovative X-ray detection solutions, today announced the United Kingdom (UK) debut of MINI Z(TM), the world's first handheld Z Backscatter(R) imaging scanner for fast, portable, real-time detection of hidden drugs, explosives, and other organic threats and contraband behind non-metallic surfaces. The MINI Z system enables law enforcement, public safety and other security professionals to determine "on the go" if drugs, explosives or other threats are present in unattended bags, packages, and difficult-to-reach locations such as car interiors and aircraft compartments.</w:t>
      </w:r>
      <w:r>
        <w:br/>
      </w:r>
      <w:r>
        <w:br/>
      </w:r>
      <w:r>
        <w:t>Since its launch in June 2014, the MINI Z system has been named the "Best of What's New" by Popular Science magazine and received the American Society for Industrial Security (ASIS) Accolades Award for Security Innovation. Recent customer demonstrations of the MINI Z system for U.S. public safety agencies have led to actual drug seizures, including a large quantity of well-concealed marijuana valued at more than $150,000 USD.</w:t>
      </w:r>
      <w:r>
        <w:br/>
      </w:r>
      <w:r>
        <w:br/>
      </w:r>
      <w:r>
        <w:t>"As AS&amp;E continues to make inroads into the international public safety market, we are very pleased to work together with our new channel partner, Scanna, to introduce the MINI Z to security and police agencies in the UK," said Chuck Dougherty, AS&amp;E's President and CEO. "The MINI Z, like our ZBV(R) mobile inspection system, is a highly effective, easy-to-use, detection solution that is ideal for detecting security threats wherever and whenever they occur. Using the MINI Z, we are confident that customers in the UK -- and elsewhere in the world -- will achieve the same, immediate results that U.S. public safety agencies have experienced using the system."</w:t>
      </w:r>
      <w:r>
        <w:br/>
      </w:r>
      <w:r>
        <w:br/>
      </w:r>
      <w:r>
        <w:t>AS&amp;E and Scanna will conduct demos at booth #C96 during the Security &amp; Policing Event 2015, held at the FIVE exhibition hall in Farnborough, Hampshire, UK from March 10--12, 2015. Security &amp; Policing is the UK's premier event for police, law enforcement, and security professionals tasked with security, civil protection, and National Resilience. Scanna is a leading supplier of portable X-ray and postal security equipment and AS&amp;E's authorized supplier of MINI Z systems in the UK.</w:t>
      </w:r>
      <w:r>
        <w:br/>
      </w:r>
      <w:r>
        <w:br/>
      </w:r>
      <w:r>
        <w:t xml:space="preserve">The MINI Z system is ideal for security and public safety officials for many different applications, including: </w:t>
      </w:r>
      <w:r>
        <w:br/>
      </w:r>
      <w:r>
        <w:br/>
      </w:r>
      <w:r>
        <w:br/>
      </w:r>
      <w:r>
        <w:t xml:space="preserve">   -- Border and Security Checkpoints: Inspecting vehicle bumpers, tires, and </w:t>
      </w:r>
      <w:r>
        <w:br/>
      </w:r>
      <w:r>
        <w:t xml:space="preserve">      interiors for drugs, explosives, currency and other concealed threats and </w:t>
      </w:r>
      <w:r>
        <w:br/>
      </w:r>
      <w:r>
        <w:t xml:space="preserve">      contraband. </w:t>
      </w:r>
      <w:r>
        <w:br/>
      </w:r>
      <w:r>
        <w:t xml:space="preserve"> </w:t>
      </w:r>
      <w:r>
        <w:br/>
      </w:r>
      <w:r>
        <w:t xml:space="preserve">   -- Drug Interdiction: Screening interiors of vehicles and facilities for </w:t>
      </w:r>
      <w:r>
        <w:br/>
      </w:r>
      <w:r>
        <w:t xml:space="preserve">      concealed drugs and currency. </w:t>
      </w:r>
      <w:r>
        <w:br/>
      </w:r>
      <w:r>
        <w:t xml:space="preserve"> </w:t>
      </w:r>
      <w:r>
        <w:br/>
      </w:r>
      <w:r>
        <w:t xml:space="preserve">   -- Public Safety: Quick screening of unattended and suspicious bags and </w:t>
      </w:r>
      <w:r>
        <w:br/>
      </w:r>
      <w:r>
        <w:t xml:space="preserve">      packages in public spaces. </w:t>
      </w:r>
      <w:r>
        <w:br/>
      </w:r>
      <w:r>
        <w:t xml:space="preserve"> </w:t>
      </w:r>
      <w:r>
        <w:br/>
      </w:r>
      <w:r>
        <w:t xml:space="preserve">   -- Event Security:  Screening small personal items to ensure public safety. </w:t>
      </w:r>
      <w:r>
        <w:br/>
      </w:r>
      <w:r>
        <w:t xml:space="preserve"> </w:t>
      </w:r>
      <w:r>
        <w:br/>
      </w:r>
      <w:r>
        <w:t xml:space="preserve">   -- VIP Security: Security sweeps of meeting rooms and furniture to ensure </w:t>
      </w:r>
      <w:r>
        <w:br/>
      </w:r>
      <w:r>
        <w:t xml:space="preserve">      personnel safety. </w:t>
      </w:r>
      <w:r>
        <w:br/>
      </w:r>
      <w:r>
        <w:t xml:space="preserve"> </w:t>
      </w:r>
      <w:r>
        <w:br/>
      </w:r>
      <w:r>
        <w:t xml:space="preserve">   -- Maritime Security: Screening the hulls and bulkheads of suspected drug </w:t>
      </w:r>
      <w:r>
        <w:br/>
      </w:r>
      <w:r>
        <w:t xml:space="preserve">      running boats for contraband or narcotics. </w:t>
      </w:r>
      <w:r>
        <w:br/>
      </w:r>
      <w:r>
        <w:t xml:space="preserve"> </w:t>
      </w:r>
      <w:r>
        <w:br/>
      </w:r>
      <w:r>
        <w:t xml:space="preserve">   -- General Aviation Security: Inspecting the seats, compartments, and panels </w:t>
      </w:r>
      <w:r>
        <w:br/>
      </w:r>
      <w:r>
        <w:t xml:space="preserve">      of planes for hidden contraband. </w:t>
      </w:r>
      <w:r>
        <w:br/>
      </w:r>
      <w:r>
        <w:br/>
      </w:r>
      <w:r>
        <w:t xml:space="preserve">MINI Z -- the World's First Handheld Z Backscatter(R) Imaging System: </w:t>
      </w:r>
      <w:r>
        <w:br/>
      </w:r>
      <w:r>
        <w:br/>
      </w:r>
      <w:r>
        <w:br/>
      </w:r>
      <w:r>
        <w:t xml:space="preserve">   -- Scans in places other systems can't reach: The MINI Z system is a compact, </w:t>
      </w:r>
      <w:r>
        <w:br/>
      </w:r>
      <w:r>
        <w:t xml:space="preserve">      single-sided imager that can be used to scan objects in hard-to-reach </w:t>
      </w:r>
      <w:r>
        <w:br/>
      </w:r>
      <w:r>
        <w:t xml:space="preserve">      areas, such as unattended bags, backpacks, or packages in a subway or bus </w:t>
      </w:r>
      <w:r>
        <w:br/>
      </w:r>
      <w:r>
        <w:t xml:space="preserve">      station. </w:t>
      </w:r>
      <w:r>
        <w:br/>
      </w:r>
      <w:r>
        <w:t xml:space="preserve"> </w:t>
      </w:r>
      <w:r>
        <w:br/>
      </w:r>
      <w:r>
        <w:t xml:space="preserve">   -- Unsurpassed detection of organic threats: The MINI Z handheld system uses </w:t>
      </w:r>
      <w:r>
        <w:br/>
      </w:r>
      <w:r>
        <w:t xml:space="preserve">      AS&amp;E's signature Z Backscatter technology, an advanced X-ray imaging </w:t>
      </w:r>
      <w:r>
        <w:br/>
      </w:r>
      <w:r>
        <w:t xml:space="preserve">      technology that produces a real-time image of the scan target, </w:t>
      </w:r>
      <w:r>
        <w:br/>
      </w:r>
      <w:r>
        <w:t xml:space="preserve">      highlighting organic materials that transmission X-ray systems can miss, </w:t>
      </w:r>
      <w:r>
        <w:br/>
      </w:r>
      <w:r>
        <w:t xml:space="preserve">      such as explosives, currency, and drugs. Unlike density meters, trace </w:t>
      </w:r>
      <w:r>
        <w:br/>
      </w:r>
      <w:r>
        <w:t xml:space="preserve">      detectors, or portable transmission X-ray systems, the MINI Z system </w:t>
      </w:r>
      <w:r>
        <w:br/>
      </w:r>
      <w:r>
        <w:t xml:space="preserve">      produces an easy-to-interpret image to quickly detect organic threats and </w:t>
      </w:r>
      <w:r>
        <w:br/>
      </w:r>
      <w:r>
        <w:t xml:space="preserve">      contraband behind non-metallic surfaces. </w:t>
      </w:r>
      <w:r>
        <w:br/>
      </w:r>
      <w:r>
        <w:t xml:space="preserve"> </w:t>
      </w:r>
      <w:r>
        <w:br/>
      </w:r>
      <w:r>
        <w:t xml:space="preserve">   -- An easy to use, all-in-one imaging system: The MINI Z system is </w:t>
      </w:r>
      <w:r>
        <w:br/>
      </w:r>
      <w:r>
        <w:t xml:space="preserve">      self-contained and does not require set-up, enabling immediate operation. </w:t>
      </w:r>
      <w:r>
        <w:br/>
      </w:r>
      <w:r>
        <w:t xml:space="preserve">      The operator controls the scanning function using a simple, intuitive GUI </w:t>
      </w:r>
      <w:r>
        <w:br/>
      </w:r>
      <w:r>
        <w:t xml:space="preserve">      on the system's dedicated tablet, upon which an image of the scanned </w:t>
      </w:r>
      <w:r>
        <w:br/>
      </w:r>
      <w:r>
        <w:t xml:space="preserve">      target appears in real-time. </w:t>
      </w:r>
      <w:r>
        <w:br/>
      </w:r>
      <w:r>
        <w:t xml:space="preserve"> </w:t>
      </w:r>
      <w:r>
        <w:br/>
      </w:r>
      <w:r>
        <w:t xml:space="preserve">   -- Safe, secure, and dependable operation: The MINI Z system is safe for </w:t>
      </w:r>
      <w:r>
        <w:br/>
      </w:r>
      <w:r>
        <w:t xml:space="preserve">      operators, bystanders, and the environment. The system's X-ray dose </w:t>
      </w:r>
      <w:r>
        <w:br/>
      </w:r>
      <w:r>
        <w:t xml:space="preserve">      conforms to the appropriate ANSI, ICRP, NCRP, and EURATOM radiation </w:t>
      </w:r>
      <w:r>
        <w:br/>
      </w:r>
      <w:r>
        <w:t xml:space="preserve">      safety standards. Although the MINI Z is a low-energy and low-dose Z </w:t>
      </w:r>
      <w:r>
        <w:br/>
      </w:r>
      <w:r>
        <w:t xml:space="preserve">      Backscatter system, it is not designed to scan people. The MINI Z system </w:t>
      </w:r>
      <w:r>
        <w:br/>
      </w:r>
      <w:r>
        <w:t xml:space="preserve">      must be used in accordance with the manufacturer's instructions, as well </w:t>
      </w:r>
      <w:r>
        <w:br/>
      </w:r>
      <w:r>
        <w:t xml:space="preserve">      as applicable laws and regulations. </w:t>
      </w:r>
      <w:r>
        <w:br/>
      </w:r>
      <w:r>
        <w:br/>
      </w:r>
      <w:r>
        <w:t>Experience the MINI Z system at www.meetminiz.com.</w:t>
      </w:r>
      <w:r>
        <w:br/>
      </w:r>
      <w:r>
        <w:br/>
      </w:r>
      <w:r>
        <w:t>About AS&amp;E</w:t>
      </w:r>
      <w:r>
        <w:br/>
      </w:r>
      <w:r>
        <w:br/>
      </w:r>
      <w:r>
        <w:t>American Science and Engineering, Inc. (AS&amp;E) is the trusted global provider of threat and contraband detection solutions for ports, borders, military, critical infrastructure, law enforcement, and aviation. With over 50 years of experience, AS&amp;E offers proven, advanced X-ray inspection systems to combat terrorism, drug smuggling, illegal immigration, and trade fraud. AS&amp;E systems are designed in a variety of configurations for cargo and vehicle inspection, parcel inspection, and personnel screening. Using a combination of technologies, these systems provide superior detection capabilities, with high-energy, dual-energy, and Z Backscatter X-rays -- pioneered by AS&amp;E. Learn more about AS&amp;E products and technologies at www.as-e.com and follow us on Twitter @ase_detects.</w:t>
      </w:r>
      <w:r>
        <w:br/>
      </w:r>
      <w:r>
        <w:br/>
      </w:r>
      <w:r>
        <w:t>About Scanna</w:t>
      </w:r>
      <w:r>
        <w:br/>
      </w:r>
      <w:r>
        <w:br/>
      </w:r>
      <w:r>
        <w:t>Scanna supplies, designs, and manufactures portable X-ray and mail screening equipment for the Defense, Security, Commercial, and Industrial sectors. Based in the UK, with operations in the USA and Middle East, Scanna's client list spans more than 100 countries and includes UK MoD, US DoD and many other NATO forces and federal agencies, plus a wide range of governmental and blue chip commercial organizations.</w:t>
      </w:r>
      <w:r>
        <w:br/>
      </w:r>
      <w:r>
        <w:br/>
      </w:r>
      <w:r>
        <w:t xml:space="preserve">Safe Harbor Statement: The foregoing press release contains statements concerning AS&amp;E's financial performance, markets and business operations that may be considered "forward-looking" under applicable securities laws. AS&amp;E wishes to caution readers of this press release that actual results might differ materially from those projected in any forward-looking statements. Factors which might cause actual results to differ materially from those projected in the forward-looking statements contained herein include the following: significant reductions, delays or cancellations (in full or in part) in procurements of the Company's systems by the United States and other governments; disruption in the supply of any source component incorporated into AS&amp;E's products; litigation seeking to restrict the use of intellectual property used by the Company; limitations under certain laws on the Company's ability to protect its own intellectual property; potential product liability claims against the Company; global political trends and events which affect public perception of the threat presented by drugs, explosives and other contraband; global economic developments and the ability of governments and private organizations to fund purchases of the Company's products to address such threats; the potential insufficiency of Company resources, including human resources, capital, plant and equipment and management systems, to accommodate any future growth; technical problems and other delays that could impact new product development and the Company's ability to adapt to changes in technology and customer requirements; competitive pressures; lengthy sales cycles both in United States government procurement and procurement abroad; future delays in federal funding, the market price of the company's stock prevailing from time to time, the nature of other investment opportunities presented to the company from time to time, the company's cash flows from operations and market and general economic conditions. These and certain other factors which might cause actual results to differ materially from those projected are detailed from time to time in AS&amp;E's periodic reports and registration statements filed with the Securities and Exchange Commission, which important factors are incorporated herein by reference. AS&amp;E undertakes no obligation to update forward looking statements to reflect changed assumptions, the occurrence of unanticipated events, or changes in future operating results, financial condition or business over time. Readers are further advised to review the "Risk Factors" set forth in the Company's most recent Form 10-Q and Form 10-K, which further detail and supplement the factors described in this Safe Harbor Statement. Among other disclosures, the Risk Factors disclose risks pertaining to that portion of the Company's business that is dependent on United States government contracting as well as international customers. </w:t>
      </w:r>
      <w:r>
        <w:br/>
      </w:r>
      <w:r>
        <w:br/>
      </w:r>
      <w:r>
        <w:br/>
      </w:r>
      <w:r>
        <w:t xml:space="preserve">CONTACT: Public Relations Contact: </w:t>
      </w:r>
      <w:r>
        <w:br/>
      </w:r>
      <w:r>
        <w:t xml:space="preserve">         Dana Harris </w:t>
      </w:r>
      <w:r>
        <w:br/>
      </w:r>
      <w:r>
        <w:t xml:space="preserve">         Red Javelin Communications, Inc. </w:t>
      </w:r>
      <w:r>
        <w:br/>
      </w:r>
      <w:r>
        <w:t xml:space="preserve">         978-440-8392 </w:t>
      </w:r>
      <w:r>
        <w:br/>
      </w:r>
      <w:r>
        <w:t xml:space="preserve">         dana@redjavelin.com </w:t>
      </w:r>
      <w:r>
        <w:br/>
      </w:r>
      <w:r>
        <w:t xml:space="preserve"> </w:t>
      </w:r>
      <w:r>
        <w:br/>
      </w:r>
      <w:r>
        <w:t xml:space="preserve">         Laura Berman </w:t>
      </w:r>
      <w:r>
        <w:br/>
      </w:r>
      <w:r>
        <w:t xml:space="preserve">         American Science and Engineering, Inc. </w:t>
      </w:r>
      <w:r>
        <w:br/>
      </w:r>
      <w:r>
        <w:t xml:space="preserve">         978-262-8700 </w:t>
      </w:r>
      <w:r>
        <w:br/>
      </w:r>
      <w:r>
        <w:t xml:space="preserve">         lberman@as-e.com </w:t>
      </w:r>
      <w:r>
        <w:br/>
      </w:r>
      <w:r>
        <w:br/>
      </w:r>
      <w:r>
        <w:t>(END) Dow Jones Newswires</w:t>
      </w:r>
      <w:r>
        <w:br/>
      </w:r>
      <w:r>
        <w:br/>
      </w:r>
      <w:r>
        <w:t>March 10, 2015 03:00 ET (07:00 GMT)</w:t>
      </w:r>
    </w:p>
    <w:p xmlns:wp14="http://schemas.microsoft.com/office/word/2010/wordml" w14:paraId="6736FD64" wp14:textId="77777777">
      <w:pPr>
        <w:pStyle w:val="Heading1"/>
      </w:pPr>
      <w:r>
        <w:t>End of Article 23</w:t>
      </w:r>
    </w:p>
    <w:p xmlns:wp14="http://schemas.microsoft.com/office/word/2010/wordml" w14:paraId="4DDBEF00" wp14:textId="77777777">
      <w:r>
        <w:br w:type="page"/>
      </w:r>
    </w:p>
    <w:p xmlns:wp14="http://schemas.microsoft.com/office/word/2010/wordml" w14:paraId="4708C50D" wp14:textId="77777777">
      <w:pPr>
        <w:pStyle w:val="Heading1"/>
      </w:pPr>
      <w:r>
        <w:t>Start of Article 24</w:t>
      </w:r>
    </w:p>
    <w:p xmlns:wp14="http://schemas.microsoft.com/office/word/2010/wordml" w14:paraId="65E0DE93" wp14:textId="77777777">
      <w:pPr>
        <w:pStyle w:val="Heading1"/>
      </w:pPr>
      <w:r>
        <w:t>Document ID JTRANS0020151009eba90007r</w:t>
      </w:r>
    </w:p>
    <w:p xmlns:wp14="http://schemas.microsoft.com/office/word/2010/wordml" w14:paraId="31CD063D" wp14:textId="77777777">
      <w:r>
        <w:t>This patent was filed on September 18, 2009 and was published online on September 29, 2015.</w:t>
      </w:r>
      <w:r>
        <w:br/>
      </w:r>
      <w:r>
        <w:br/>
      </w:r>
      <w:r>
        <w:t>From the background information supplied by the inventors, news correspondents obtained the following quote: "In certain circumstances, it is desirable to inject medication directly into human tissue. Typically, syringes or pen injection devices are used to inject medicaments into tissue areas, such as the intramuscular tissue layer, the subcutaneous tissue layer, and the intradermal tissue layer.</w:t>
      </w:r>
      <w:r>
        <w:br/>
      </w:r>
      <w:r>
        <w:br/>
      </w:r>
      <w:r>
        <w:t>"The assembly and operation of a typical pen injection device, as shown in FIGS. 1 and 2, is described in U.S. Patent Application Publication No. 2006/0229562, published on Oct. 12, 2006, which is hereby incorporated by reference in its entirety.</w:t>
      </w:r>
      <w:r>
        <w:br/>
      </w:r>
      <w:r>
        <w:br/>
      </w:r>
      <w:r>
        <w:t>"Pen injection devices, such as the exemplary pen injector 100, as shown in FIG. 1, typically comprise a dose knob/button 24, an outer sleeve 13, and a cap 21. The dose knob/button 24 allows a user to set the dosage of medication to be injected. The outer sleeve 13 is gripped by the user when injecting medication. The cap 21 is used by the user to securely hold the pen injector device 100 in a shirt pocket, purse or other suitable location.</w:t>
      </w:r>
      <w:r>
        <w:br/>
      </w:r>
      <w:r>
        <w:br/>
      </w:r>
      <w:r>
        <w:t>"FIG. 2 is an exploded view of an exemplary drug delivery pen shown in FIG. 1. The dose knob/button 24 has a dual purpose and is used to both set the dosage of the medication to be injected and to inject the dosed medicament via the lead screw 7 and stopper 15 through the medicament cartridge 12, which is attached to the drug delivery pen through a lower housing 17. In standard drug delivery pens, the dosing and delivery mechanisms are all found within the outer sleeve 13 and are not described in greater detail here as they are understood by those knowledgeable of the prior art. The distal movement of the plunger or stopper 15 within the medicament cartridge 12 causes medication to be forced into the needle 11 of the hub 20. The medicament cartridge 12 is sealed by septum 16, which is punctured by a septum penetrating needle cannula 18 located within the hub 20. The hub 20 is preferably screwed onto the lower housing 17, although other attachment means can be used such as attaching to the cartridge. To protect a user, or anyone who handles the pen injection device 100, an outer shield 69, which attaches to the hub 20, covers the hub. An inner shield 59 covers the patient needle 11 within the outer shield 69. The inner shield 59 can be secured to the hub 20 to cover the patient needle 11 by any suitable means, such as an interference fit or a snap fit. The outer shield 69 and inner shield 59 are removed prior to use. The cap 21 fits snugly against outer sleeve 13 to allow a user to securely carry the drug delivery pen 100.</w:t>
      </w:r>
      <w:r>
        <w:br/>
      </w:r>
      <w:r>
        <w:br/>
      </w:r>
      <w:r>
        <w:t>"The medicament cartridge 12 is typically a glass tube sealed at one end with the septum 16 and sealed at the other end with the stopper 15. The septum 16 is pierceable by a septum penetrating cannula 18 in the hub 20, but does not move with respect to the medicament cartridge 12. The stopper 15 is axially displaceable within the medicament cartridge 12 while maintaining a fluid tight seal.</w:t>
      </w:r>
      <w:r>
        <w:br/>
      </w:r>
      <w:r>
        <w:br/>
      </w:r>
      <w:r>
        <w:t>"Following an injection, the used needle 11 and hub assembly 20, or 'sharps', is removed and must be properly disposed of. Used sharps may become contaminated by body fluids and the like creating a hazard for anyone that may handle them following their use. Sharps disposal containers store the disposed sharps and prevent unintentional contact with any object disposed therein.</w:t>
      </w:r>
      <w:r>
        <w:br/>
      </w:r>
      <w:r>
        <w:br/>
      </w:r>
      <w:r>
        <w:t>"One problem associated with shipping new product and a sharps disposal container is that the new product and the sharps disposal container are each contained in separate rigid containers, such that the overall size of the shipping container is the size of both containers combined. Accordingly, a need exists for a shipping container that integrates a sharps disposal container with a new product storage container such that the size of the shipping container is substantially the same size as the larger of the storage container or the sharps disposal container."</w:t>
      </w:r>
      <w:r>
        <w:br/>
      </w:r>
      <w:r>
        <w:br/>
      </w:r>
      <w:r>
        <w:t>Supplementing the background information on this patent, VerticalNews reporters also obtained the inventors' summary information for this patent: "In accordance with an aspect of the present invention, the shipping container integrates a sharps disposal container with a storage container containing new product such that one container is disposed inside the other for shipping.</w:t>
      </w:r>
      <w:r>
        <w:br/>
      </w:r>
      <w:r>
        <w:br/>
      </w:r>
      <w:r>
        <w:t>"In accordance with another aspect of the present invention, a storage container containing new product is disposed within a sharps disposal container for shipping, thereby reducing the size of the shipping container.</w:t>
      </w:r>
      <w:r>
        <w:br/>
      </w:r>
      <w:r>
        <w:br/>
      </w:r>
      <w:r>
        <w:t>"In accordance with yet another aspect of the present invention, a sharps disposal container having a movable partition is disposed within a storage container for shipping, thereby reducing the size of the shipping container.</w:t>
      </w:r>
      <w:r>
        <w:br/>
      </w:r>
      <w:r>
        <w:br/>
      </w:r>
      <w:r>
        <w:t>"The shipping container of an exemplary embodiment of the present invention integrates a disposal container with a new product storage container for shipping. The storage container stores new product. A disposal container receives used product, such as used sharps. One of the storage container and the disposal container is nested within the other of the storage container and the disposal container for shipping. A lid is adapted to be connected to the outermost one of the disposal container and the storage container for shipping and to a top of the disposal container for receiving the used product. Accordingly, a shipping container is provided that is not significantly larger than required to store the new product.</w:t>
      </w:r>
      <w:r>
        <w:br/>
      </w:r>
      <w:r>
        <w:br/>
      </w:r>
      <w:r>
        <w:t>"Objects, advantages, and salient features of the invention will become apparent from the following detailed description, which, taken in conjunction with the annexed drawings, discloses exemplary embodiments of the invention."</w:t>
      </w:r>
      <w:r>
        <w:br/>
      </w:r>
      <w:r>
        <w:br/>
      </w:r>
      <w:r>
        <w:t>For the URL and additional information on this patent, see: Hwang, Charles G.; Horvath, Joshua D.; Schlenk, Christopher; Tunkel, Roman; Zaveri, Zenia. Shipping Container Integrating a Sharps Disposal Container with a New Product Storage Container. U.S. Patent Number 9144642, filed September 18, 2009, and published online on September 29, 2015. Patent URL: http://patft.uspto.gov/netacgi/nph-Parser?Sect1=PTO1&amp;Sect2=HITOFF&amp;d=PALL&amp;p=1&amp;u=%2Fnetahtml%2FPTO%2Fsrchnum.htm&amp;r=1&amp;f=G&amp;l=50&amp;s1=9144642.PN.&amp;OS=PN/9144642RS=PN/9144642</w:t>
      </w:r>
      <w:r>
        <w:br/>
      </w:r>
      <w:r>
        <w:br/>
      </w:r>
      <w:r>
        <w:t>Keywords for this news article include: Therapy, Transportation, Shipping Container, Drug Delivery Systems, Becton Dickinson and Company.</w:t>
      </w:r>
      <w:r>
        <w:br/>
      </w:r>
      <w:r>
        <w:br/>
      </w:r>
      <w:r>
        <w:t>Our reports deliver fact-based news of research and discoveries from around the world. Copyright 2015, NewsRx LLC</w:t>
      </w:r>
    </w:p>
    <w:p xmlns:wp14="http://schemas.microsoft.com/office/word/2010/wordml" w14:paraId="0093D89C" wp14:textId="77777777">
      <w:pPr>
        <w:pStyle w:val="Heading1"/>
      </w:pPr>
      <w:r>
        <w:t>End of Article 24</w:t>
      </w:r>
    </w:p>
    <w:p xmlns:wp14="http://schemas.microsoft.com/office/word/2010/wordml" w14:paraId="3461D779" wp14:textId="77777777">
      <w:r>
        <w:br w:type="page"/>
      </w:r>
    </w:p>
    <w:p xmlns:wp14="http://schemas.microsoft.com/office/word/2010/wordml" w14:paraId="63A52234" wp14:textId="77777777">
      <w:pPr>
        <w:pStyle w:val="Heading1"/>
      </w:pPr>
      <w:r>
        <w:t>Start of Article 25</w:t>
      </w:r>
    </w:p>
    <w:p xmlns:wp14="http://schemas.microsoft.com/office/word/2010/wordml" w14:paraId="70FB35AF" wp14:textId="77777777">
      <w:pPr>
        <w:pStyle w:val="Heading1"/>
      </w:pPr>
      <w:r>
        <w:t>Document ID BWR0000020150720eb7k00096</w:t>
      </w:r>
    </w:p>
    <w:p xmlns:wp14="http://schemas.microsoft.com/office/word/2010/wordml" w14:paraId="0DCC73DA" wp14:textId="77777777">
      <w:r>
        <w:t>Physicians at John Muir Health are among the first in Northern California to offer patients suffering from mitral regurgitation (MR), a breakthrough new minimally invasive treatment option. Performed at John Muir Medical Center, Concord, percutaneous mitral valve repair, or MitraClip, has been approved for U.S. patients with severe symptomatic degenerative MR who are at prohibitive risk for open heart, mitral valve surgery. Physicians at John Muir Health successfully performed their first MitraClip procedure on June 11 and have a number of procedures slated in the coming weeks.</w:t>
      </w:r>
      <w:r>
        <w:br/>
      </w:r>
      <w:r>
        <w:br/>
      </w:r>
      <w:r>
        <w:t>Degenerative MR is caused by an anatomic defect of the mitral valve of the heart. It's a debilitating, progressive and life-threatening disease in which a leaky mitral valve causes a backward flow of blood in the heart. MR is common, affecting more than 4 million Americans -- nearly one in 10 people aged 75 and above.(1) The condition can raise the risk of irregular heartbeats, stroke, and heart failure.</w:t>
      </w:r>
      <w:r>
        <w:br/>
      </w:r>
      <w:r>
        <w:br/>
      </w:r>
      <w:r>
        <w:t>Open heart mitral valve surgery is the gold standard treatment, but many patients are at prohibitive risk for the invasive procedure based on certain factors, such as age and physical condition. Medications for the condition are limited to symptom management and do not stop the progression of the disease.</w:t>
      </w:r>
      <w:r>
        <w:br/>
      </w:r>
      <w:r>
        <w:br/>
      </w:r>
      <w:r>
        <w:t>Abbott Vascular's MitraClip procedure repairs the mitral valve without the need for open heart surgery. The device is delivered to the heart through the femoral vein, a blood vessel in the leg, and once implanted, allows the heart to pump blood more efficiently, thereby relieving symptoms and improving patient quality of life. Patients undergoing MitraClip treatment typically experience short recovery times and short hospital stays, which are generally less than 48 hours.</w:t>
      </w:r>
      <w:r>
        <w:br/>
      </w:r>
      <w:r>
        <w:br/>
      </w:r>
      <w:r>
        <w:t>The John Muir Health MitraClip team is comprised of cardiologists and cardiovascular surgeons, who work closely together to screen and perform the MitraClip procedure on those patients that will benefit greatly from this life-enhancing treatment. They include cardiologists Andrew Dublin, M.D., Faizul Haque, M.D., Paul McWhirter, M.D., Howard Min, M.D. and Perkin Shiu, M.D. and cardiovascular surgeons Murali Dharan, M.D. and Jatinder Dhillon, M.D.</w:t>
      </w:r>
      <w:r>
        <w:br/>
      </w:r>
      <w:r>
        <w:br/>
      </w:r>
      <w:r>
        <w:t>Multiple trials, published reports, and registries of patients treated with the MitraClip device consistently demonstrate its safety, reduction in MR, improvement in symptoms, and reduction in hospitalizations for heart failure, even in some of the most severely ill and debilitated patients. More than 20,000 patients around the world have been treated with the MitraClip device.</w:t>
      </w:r>
      <w:r>
        <w:br/>
      </w:r>
      <w:r>
        <w:br/>
      </w:r>
      <w:r>
        <w:t>About John Muir Health</w:t>
      </w:r>
      <w:r>
        <w:br/>
      </w:r>
      <w:r>
        <w:br/>
      </w:r>
      <w:r>
        <w:t>John Muir Health is a nationally recognized, not-for-profit health care organization east of San Francisco serving patients in Contra Costa, eastern Alameda and southern Solano Counties. It includes a network of more than 1,000 primary care and specialty physicians, more than 5,500 employees, medical centers in Concord and Walnut Creek, including Contra Costa County's only trauma center, and a Behavioral Health Center. John Muir Health also has partnerships with San Ramon Regional Medical Center, UCSF Medical Center and Stanford Children's Health to expand its capabilities, increase access to services and better serve patients. The health system offers a full-range of medical services, including primary care, outpatient and imaging services, and is widely recognized as a leader in many specialties -- neurosciences, orthopedic, cancer, cardiovascular, trauma, emergency, pediatrics and high-risk obstetrics care. For more information, visit www.johnmuirhealth.com.</w:t>
      </w:r>
      <w:r>
        <w:br/>
      </w:r>
      <w:r>
        <w:br/>
      </w:r>
      <w:r>
        <w:t>To contact the John Muir Health High Risk Valve Clinic regarding a MitraClip procedure, please call (925) 674-2858.</w:t>
      </w:r>
      <w:r>
        <w:br/>
      </w:r>
      <w:r>
        <w:br/>
      </w:r>
      <w:r>
        <w:t>About Abbott Vascular</w:t>
      </w:r>
      <w:r>
        <w:br/>
      </w:r>
      <w:r>
        <w:br/>
      </w:r>
      <w:r>
        <w:t>Abbott Vascular, a division of Abbott, is a global leader in cardiac and vascular care with market-leading products and an industry-leading pipeline. Headquartered in Northern California, we are committed to advancing patient care by transforming the treatment of vascular disease through medical device innovations, investments in research and development, and physician training and education.</w:t>
      </w:r>
      <w:r>
        <w:br/>
      </w:r>
      <w:r>
        <w:br/>
      </w:r>
      <w:r>
        <w:t>We offer cutting-edge devices for coronary artery disease, peripheral vascular disease, carotid artery disease and structural heart disease. Our flagship product is the market-leading XIENCE family of Everolimus Eluting Coronary Stent Systems drug eluting stents for the treatment of coronary artery disease. In addition, our comprehensive product portfolio includes bare metal stents, balloon catheters, guide wires and vessel closure devices.</w:t>
      </w:r>
      <w:r>
        <w:br/>
      </w:r>
      <w:r>
        <w:br/>
      </w:r>
      <w:r>
        <w:t>Additional information about MitraClip, including important safety information, is available online at: http://www.abbottvascular.com/static/cms_workspace/pdf/ifu/structural_heart/eIFU_MitraClip.pdf</w:t>
      </w:r>
      <w:r>
        <w:br/>
      </w:r>
      <w:r>
        <w:br/>
      </w:r>
      <w:r>
        <w:t>(1) Nkomo VT, Gardin JM, Skelton TN, Gottdiener JS, Scott CG, Enriquez-Sarano M. Burden of valvular heart diseases: a population-based study. Lancet. 2006 Sep 16;368(9540):1005-11. http://www.ncbi.nlm.nih.gov/pubmed/16980116</w:t>
      </w:r>
      <w:r>
        <w:br/>
      </w:r>
      <w:r>
        <w:br/>
      </w:r>
      <w:r>
        <w:t>View source version on businesswire.com: http://www.businesswire.com/news/home/20150720005158/en/</w:t>
      </w:r>
    </w:p>
    <w:p xmlns:wp14="http://schemas.microsoft.com/office/word/2010/wordml" w14:paraId="72E99226" wp14:textId="77777777">
      <w:pPr>
        <w:pStyle w:val="Heading1"/>
      </w:pPr>
      <w:r>
        <w:t>End of Article 25</w:t>
      </w:r>
    </w:p>
    <w:p xmlns:wp14="http://schemas.microsoft.com/office/word/2010/wordml" w14:paraId="3CF2D8B6" wp14:textId="77777777">
      <w:r>
        <w:br w:type="page"/>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BCED9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78e875c9-74cb-42b4-8d80-97b93e7fc83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C7B599B-3E2C-45CA-90FB-7DDFBD84CC01}"/>
</file>

<file path=customXml/itemProps3.xml><?xml version="1.0" encoding="utf-8"?>
<ds:datastoreItem xmlns:ds="http://schemas.openxmlformats.org/officeDocument/2006/customXml" ds:itemID="{38261329-08FA-41C2-AC1B-DF913F5BBF44}"/>
</file>

<file path=customXml/itemProps4.xml><?xml version="1.0" encoding="utf-8"?>
<ds:datastoreItem xmlns:ds="http://schemas.openxmlformats.org/officeDocument/2006/customXml" ds:itemID="{C5EBCA5A-643C-4EFD-8B8D-62D87472588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Office Word</ap:Application>
  <ap:DocSecurity>0</ap:DocSecurity>
  <ap:ScaleCrop>false</ap:ScaleCrop>
  <ap:Manager/>
  <ap:Company/>
  <ap:SharedDoc>false</ap:SharedDoc>
  <ap:HyperlinkBase/>
  <ap:HyperlinksChanged>false</ap:HyperlinksChanged>
  <ap:AppVersion>00.0001</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Nair, Devika Tara (dtn2ep)</cp:lastModifiedBy>
  <cp:revision>2</cp:revision>
  <dcterms:created xsi:type="dcterms:W3CDTF">2013-12-23T23:15:00Z</dcterms:created>
  <dcterms:modified xsi:type="dcterms:W3CDTF">2019-07-24T17:58:51Z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