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4946DC" wp14:textId="77777777">
      <w:pPr>
        <w:pStyle w:val="Heading1"/>
      </w:pPr>
      <w:r>
        <w:t>Start of Article 1</w:t>
      </w:r>
    </w:p>
    <w:p xmlns:wp14="http://schemas.microsoft.com/office/word/2010/wordml" w14:paraId="090D9362" wp14:textId="77777777">
      <w:pPr>
        <w:pStyle w:val="Heading1"/>
      </w:pPr>
      <w:r>
        <w:t>Document ID DALTNC0020150715eb7e00008</w:t>
      </w:r>
    </w:p>
    <w:p xmlns:wp14="http://schemas.microsoft.com/office/word/2010/wordml" w14:paraId="4A8A3825" wp14:textId="77777777">
      <w:r>
        <w:t>Supplies will be sold to police and fire departments at reduced costs.</w:t>
      </w:r>
      <w:r>
        <w:br/>
      </w:r>
      <w:r>
        <w:br/>
      </w:r>
      <w:r>
        <w:t>Lawmakers also approved a plan allowing private healthcare providers and other individuals to buy naloxone from pharmacies without a prescription - purchases that are now illegal. To do so, potential buyers must undergo free training by state health officials in administering the medicine.</w:t>
      </w:r>
      <w:r>
        <w:br/>
      </w:r>
      <w:r>
        <w:br/>
      </w:r>
      <w:r>
        <w:t>Rep. Linda Campbell, D-Methuen, whose district has been hit hard by opiate overdoses, said the rising cost of naloxone is threatening lives. Many communities struggle to keep it in stock.</w:t>
      </w:r>
      <w:r>
        <w:br/>
      </w:r>
      <w:r>
        <w:br/>
      </w:r>
      <w:r>
        <w:t>"We need to get the costs down so that communities that are dealing with this epidemic are able to purchase this life-saving medicine," she said.</w:t>
      </w:r>
      <w:r>
        <w:br/>
      </w:r>
      <w:r>
        <w:br/>
      </w:r>
      <w:r>
        <w:t>Massachusetts reported more than 1,000 fatal overdoses in 2014, but state and local law enforcement officials say naloxone -- marketed under the brand name Narcan -- has saved hundreds of lives.</w:t>
      </w:r>
      <w:r>
        <w:br/>
      </w:r>
      <w:r>
        <w:br/>
      </w:r>
      <w:r>
        <w:t>Narcan is a nasal spray that counteracts the effects of heroin, OxyContin and other painkillers by blocking certain receptors in the brain. The medicine, which has been used by first responders for decades, has a shelf life of 12 to 18 months.</w:t>
      </w:r>
      <w:r>
        <w:br/>
      </w:r>
      <w:r>
        <w:br/>
      </w:r>
      <w:r>
        <w:t>In recent years, the cost of the drug has increased more than 100 percent — from $19.56 to $41.43 for a 2-milliliter dose, according to published reports. That has led to allegations by state officials of price gouging.</w:t>
      </w:r>
      <w:r>
        <w:br/>
      </w:r>
      <w:r>
        <w:br/>
      </w:r>
      <w:r>
        <w:t>Attorney General Maura Healey, who in April launched an investigation into the skyrocketing price of the medicine, praised the bulk purchasing plan and said her office will contribute to the fund.</w:t>
      </w:r>
      <w:r>
        <w:br/>
      </w:r>
      <w:r>
        <w:br/>
      </w:r>
      <w:r>
        <w:t>"Opiates now take more lives in our state than car accidents and guns combined," Healey said in a statement. "Our office intends to make its own contributions to this fund and encourages other entities - both private and public - to do the same."</w:t>
      </w:r>
      <w:r>
        <w:br/>
      </w:r>
      <w:r>
        <w:br/>
      </w:r>
      <w:r>
        <w:t>The drug's manufacturer, California-based Amphastar Pharmaceuticals, attributes price increases to rising costs of materials, energy and labor. A company spokesman didn't respond to a call for comment.</w:t>
      </w:r>
      <w:r>
        <w:br/>
      </w:r>
      <w:r>
        <w:br/>
      </w:r>
      <w:r>
        <w:t>The bulk purchasing program hinges on approval by Gov. Charlie Baker, whose administration is reviewing the budget.</w:t>
      </w:r>
      <w:r>
        <w:br/>
      </w:r>
      <w:r>
        <w:br/>
      </w:r>
      <w:r>
        <w:t>Baker spokesman Billy Pitman noted that a municipal bulk purchasing program was among 65 recommendations by task force created by the Republican governor to address a rash of deaths from heroin and opiate overdoses. Baker supports the panel's recommendations, he said.</w:t>
      </w:r>
      <w:r>
        <w:br/>
      </w:r>
      <w:r>
        <w:br/>
      </w:r>
      <w:r>
        <w:t>The report also calls for spending $35 million in the next three years on substance abuse treatment and prevention programs; heightened monitoring of prescription drugs; and required training for doctors in safe prescribing practices. It also calls for naming addiction specialists to state public health boards.</w:t>
      </w:r>
      <w:r>
        <w:br/>
      </w:r>
      <w:r>
        <w:br/>
      </w:r>
      <w:r>
        <w:t>Gloucester Police Chief Leonard Campanello, whose department has been subsidizing the cost of Narcan for addicts who don't have insurance, said many police departments simply don't have the resources to get the best wholesale prices. He said the state has more leverage to bring down costs.</w:t>
      </w:r>
      <w:r>
        <w:br/>
      </w:r>
      <w:r>
        <w:br/>
      </w:r>
      <w:r>
        <w:t>His department buys Narcan through a distributor at about $28 a dose, spending more than $12,000 a year. Every police cruiser, fire truck and ambulance is equipped with the life-saving medicine, he said.</w:t>
      </w:r>
      <w:r>
        <w:br/>
      </w:r>
      <w:r>
        <w:br/>
      </w:r>
      <w:r>
        <w:t>Last year, Gloucester police officers, EMTs and firefighters used Narcan more than 60 times to reverse heroin or opioid overdoses, Campanello said. The individuals likely would have died without it, he said.</w:t>
      </w:r>
      <w:r>
        <w:br/>
      </w:r>
      <w:r>
        <w:br/>
      </w:r>
      <w:r>
        <w:t>"These are unconscious people, some barely breathing, who've been brought back," Campanello said.</w:t>
      </w:r>
      <w:r>
        <w:br/>
      </w:r>
      <w:r>
        <w:br/>
      </w:r>
      <w:r>
        <w:t>The state also needs to get to the root of the Narcan cost quandary, he said.</w:t>
      </w:r>
      <w:r>
        <w:br/>
      </w:r>
      <w:r>
        <w:br/>
      </w:r>
      <w:r>
        <w:t>"We need to have conversations with the distributors about getting the prices down," he said. "Narcan is not the answer, but it is saving lives, and we need to make sure it's affordable to those who need it."</w:t>
      </w:r>
      <w:r>
        <w:br/>
      </w:r>
      <w:r>
        <w:br/>
      </w:r>
      <w:r>
        <w:t>Christian Wade covers the Massachusetts Statehouse for CNHI's newspapers and websites. Reach him at cwade@cnhi.com.</w:t>
      </w:r>
    </w:p>
    <w:p xmlns:wp14="http://schemas.microsoft.com/office/word/2010/wordml" w14:paraId="1C71B958" wp14:textId="77777777">
      <w:pPr>
        <w:pStyle w:val="Heading1"/>
      </w:pPr>
      <w:r>
        <w:t>End of Article 1</w:t>
      </w:r>
    </w:p>
    <w:p xmlns:wp14="http://schemas.microsoft.com/office/word/2010/wordml" w14:paraId="672A6659" wp14:textId="77777777">
      <w:r>
        <w:br w:type="page"/>
      </w:r>
    </w:p>
    <w:p xmlns:wp14="http://schemas.microsoft.com/office/word/2010/wordml" w14:paraId="1A1BB6B8" wp14:textId="77777777">
      <w:pPr>
        <w:pStyle w:val="Heading1"/>
      </w:pPr>
      <w:r>
        <w:t>Start of Article 2</w:t>
      </w:r>
    </w:p>
    <w:p xmlns:wp14="http://schemas.microsoft.com/office/word/2010/wordml" w14:paraId="74EFE31C" wp14:textId="77777777">
      <w:pPr>
        <w:pStyle w:val="Heading1"/>
      </w:pPr>
      <w:r>
        <w:t>Document ID ATPHAM0020151009eba80008e</w:t>
      </w:r>
    </w:p>
    <w:p xmlns:wp14="http://schemas.microsoft.com/office/word/2010/wordml" w14:paraId="3443AC77" wp14:textId="77777777">
      <w:r>
        <w:t>The research data showed that the drug was more effective compared to a placebo in slowing down involuntary movements in patients with tardive dyskinesia, a neurological disorder characterized by involuntary movements of the face and jaw.</w:t>
      </w:r>
      <w:r>
        <w:br/>
      </w:r>
      <w:r>
        <w:br/>
      </w:r>
      <w:r>
        <w:t>So far, there is no medication for this disorder in the United States, therefore such patients usually change their anti-psychotic regimen either by reducing dosage or by switching medicines.</w:t>
      </w:r>
      <w:r>
        <w:br/>
      </w:r>
      <w:r>
        <w:br/>
      </w:r>
      <w:r>
        <w:t>Matteis expects that the medicine would be rolled out in 2017 and would generate sales revenue of around $1.15 billion. The medicine would cost around $45, 000 per patient annually.</w:t>
      </w:r>
    </w:p>
    <w:p xmlns:wp14="http://schemas.microsoft.com/office/word/2010/wordml" w14:paraId="0FDED580" wp14:textId="77777777">
      <w:pPr>
        <w:pStyle w:val="Heading1"/>
      </w:pPr>
      <w:r>
        <w:t>End of Article 2</w:t>
      </w:r>
    </w:p>
    <w:p xmlns:wp14="http://schemas.microsoft.com/office/word/2010/wordml" w14:paraId="0A37501D" wp14:textId="77777777">
      <w:r>
        <w:br w:type="page"/>
      </w:r>
    </w:p>
    <w:p xmlns:wp14="http://schemas.microsoft.com/office/word/2010/wordml" w14:paraId="6E8EB604" wp14:textId="77777777">
      <w:pPr>
        <w:pStyle w:val="Heading1"/>
      </w:pPr>
      <w:r>
        <w:t>Start of Article 3</w:t>
      </w:r>
    </w:p>
    <w:p xmlns:wp14="http://schemas.microsoft.com/office/word/2010/wordml" w14:paraId="67D83D72" wp14:textId="77777777">
      <w:pPr>
        <w:pStyle w:val="Heading1"/>
      </w:pPr>
      <w:r>
        <w:t>Document ID OBWK000020150730eb7u001j0</w:t>
      </w:r>
    </w:p>
    <w:p xmlns:wp14="http://schemas.microsoft.com/office/word/2010/wordml" w14:paraId="7523A1CC" wp14:textId="77777777">
      <w:r>
        <w:t>New antibiotics to which bacteria are unlikely to develop resistance are urgently needed to combat the rise of superbugs - drug resistant bacteria.</w:t>
      </w:r>
      <w:r>
        <w:br/>
      </w:r>
      <w:r>
        <w:br/>
      </w:r>
      <w:r>
        <w:t>The research, led by Professor Matt Cooper and Dr Johannes Zuegg from UQ's Institute for Molecular Bioscience (IMB) in partnership with Alchemia, was published in scientific journal Nature Communications.</w:t>
      </w:r>
      <w:r>
        <w:br/>
      </w:r>
      <w:r>
        <w:br/>
      </w:r>
      <w:r>
        <w:t>Professor Cooper, Director of the IMB Centre for Superbug Solutions, said bacteria are less likely to become resistant to an antibiotic based on a modified version of their own sugar.</w:t>
      </w:r>
      <w:r>
        <w:br/>
      </w:r>
      <w:r>
        <w:br/>
      </w:r>
      <w:r>
        <w:t>"Bacteria have cell walls similar to the walls of a brick house, except instead of mortar the walls are held together by sugar polymers," Professor Cooper said.</w:t>
      </w:r>
      <w:r>
        <w:br/>
      </w:r>
      <w:r>
        <w:br/>
      </w:r>
      <w:r>
        <w:t>"But if you add one of our modified sugar molecules, they stop the linking process, destroying the cell wall and killing the bacteria."</w:t>
      </w:r>
      <w:r>
        <w:br/>
      </w:r>
      <w:r>
        <w:br/>
      </w:r>
      <w:r>
        <w:t>"The cell wall has been a target for antibiotics such as penicillin and vancomycin before, but the difference here is that we are stopping a centrally important part of the cell wall linking process."</w:t>
      </w:r>
      <w:r>
        <w:br/>
      </w:r>
      <w:r>
        <w:br/>
      </w:r>
      <w:r>
        <w:t>Dr Zuegg said the team examined hundreds of versions of Alchemia's modified sugar molecules to find those that will kill bacteria and are non-toxic to human cells.</w:t>
      </w:r>
      <w:r>
        <w:br/>
      </w:r>
      <w:r>
        <w:br/>
      </w:r>
      <w:r>
        <w:t>"Most molecules screened to become drugs have a flat, planar shape, whereas these molecules are three dimensional," Dr Zuegg said.</w:t>
      </w:r>
      <w:r>
        <w:br/>
      </w:r>
      <w:r>
        <w:br/>
      </w:r>
      <w:r>
        <w:t>"This means we can build on the sugar core in a variety of ways to make thousands of different combinations in three dimensional space.</w:t>
      </w:r>
      <w:r>
        <w:br/>
      </w:r>
      <w:r>
        <w:br/>
      </w:r>
      <w:r>
        <w:t>Keywords for this news article include: Antibacterial, Antibiotics, Antimicrobials, Therapy, Cell Wall, Cellular Structures, University of Queensland.</w:t>
      </w:r>
      <w:r>
        <w:br/>
      </w:r>
      <w:r>
        <w:br/>
      </w:r>
      <w:r>
        <w:t>Our reports deliver fact-based news of research and discoveries from around the world. Copyright 2015, NewsRx LLC</w:t>
      </w:r>
    </w:p>
    <w:p xmlns:wp14="http://schemas.microsoft.com/office/word/2010/wordml" w14:paraId="23301A02" wp14:textId="77777777">
      <w:pPr>
        <w:pStyle w:val="Heading1"/>
      </w:pPr>
      <w:r>
        <w:t>End of Article 3</w:t>
      </w:r>
    </w:p>
    <w:p xmlns:wp14="http://schemas.microsoft.com/office/word/2010/wordml" w14:paraId="5DAB6C7B" wp14:textId="77777777">
      <w:r>
        <w:br w:type="page"/>
      </w:r>
    </w:p>
    <w:p xmlns:wp14="http://schemas.microsoft.com/office/word/2010/wordml" w14:paraId="35371ADB" wp14:textId="77777777">
      <w:pPr>
        <w:pStyle w:val="Heading1"/>
      </w:pPr>
      <w:r>
        <w:t>Start of Article 4</w:t>
      </w:r>
    </w:p>
    <w:p xmlns:wp14="http://schemas.microsoft.com/office/word/2010/wordml" w14:paraId="618BC796" wp14:textId="77777777">
      <w:pPr>
        <w:pStyle w:val="Heading1"/>
      </w:pPr>
      <w:r>
        <w:t>Document ID BNZNGA0020150326eb3q0005m</w:t>
      </w:r>
    </w:p>
    <w:p xmlns:wp14="http://schemas.microsoft.com/office/word/2010/wordml" w14:paraId="7265FACC" wp14:textId="77777777">
      <w:r>
        <w:t>About IGI Laboratories, Inc.</w:t>
      </w:r>
      <w:r>
        <w:br/>
      </w:r>
      <w:r>
        <w:br/>
      </w:r>
      <w:r>
        <w:t>IGI Laboratories is a specialty generic pharmaceutical company.  Our mission is to be a leading player in the specialty generic prescription drug market.</w:t>
      </w:r>
      <w:r>
        <w:br/>
      </w:r>
      <w:r>
        <w:br/>
      </w:r>
      <w:r>
        <w:t>Forward-Looking Statements</w:t>
      </w:r>
      <w:r>
        <w:br/>
      </w:r>
      <w:r>
        <w:br/>
      </w:r>
      <w:r>
        <w:t>This press release includes certain "forward-looking statements" within the meaning of the Private Securities Litigation Reform Act of 1995. These forward-looking statements include, but are not limited to, plans, objectives, expectations and intentions, and other statements contained in this</w:t>
      </w:r>
      <w:r>
        <w:br/>
      </w:r>
      <w:r>
        <w:br/>
      </w:r>
      <w:r>
        <w:t>See full press release</w:t>
      </w:r>
      <w:r>
        <w:br/>
      </w:r>
      <w:r>
        <w:br/>
      </w:r>
      <w:r>
        <w:t>© 2015 Benzinga.com. Benzinga does not provide investment advice. All rights reserved.</w:t>
      </w:r>
    </w:p>
    <w:p xmlns:wp14="http://schemas.microsoft.com/office/word/2010/wordml" w14:paraId="06BBFE80" wp14:textId="77777777">
      <w:pPr>
        <w:pStyle w:val="Heading1"/>
      </w:pPr>
      <w:r>
        <w:t>End of Article 4</w:t>
      </w:r>
    </w:p>
    <w:p xmlns:wp14="http://schemas.microsoft.com/office/word/2010/wordml" w14:paraId="02EB378F" wp14:textId="77777777">
      <w:r>
        <w:br w:type="page"/>
      </w:r>
    </w:p>
    <w:p xmlns:wp14="http://schemas.microsoft.com/office/word/2010/wordml" w14:paraId="317907DB" wp14:textId="77777777">
      <w:pPr>
        <w:pStyle w:val="Heading1"/>
      </w:pPr>
      <w:r>
        <w:t>Start of Article 5</w:t>
      </w:r>
    </w:p>
    <w:p xmlns:wp14="http://schemas.microsoft.com/office/word/2010/wordml" w14:paraId="3CFD0297" wp14:textId="77777777">
      <w:pPr>
        <w:pStyle w:val="Heading1"/>
      </w:pPr>
      <w:r>
        <w:t>Document ID ATPHAM0020151030ebat0006f</w:t>
      </w:r>
    </w:p>
    <w:p xmlns:wp14="http://schemas.microsoft.com/office/word/2010/wordml" w14:paraId="7B24B337" wp14:textId="77777777">
      <w:r>
        <w:t>Its consolidated revenue climbed 13.6% on-year, surging from Rs 16.8 billion to Rs 19.09 billion.</w:t>
      </w:r>
      <w:r>
        <w:br/>
      </w:r>
      <w:r>
        <w:br/>
      </w:r>
      <w:r>
        <w:t>Sales for the formulation business in India increased 27%, standing at Rs 6.09 billion, up from Rs 4.78 in the same quarter of the previous fiscal.</w:t>
      </w:r>
      <w:r>
        <w:br/>
      </w:r>
      <w:r>
        <w:br/>
      </w:r>
      <w:r>
        <w:t>Its revenue from Glenmark Pharmaceuticals Inc. USA leaped 18% during the period from Rs 5.08 billion to Rs 5.98 billion.</w:t>
      </w:r>
      <w:r>
        <w:br/>
      </w:r>
      <w:r>
        <w:br/>
      </w:r>
      <w:r>
        <w:t>According to Glenn Saldanha, chairman and managing director of the company, the drug maker has registered good growth in general in the second quarter of the current financial year due to strong business in India, Europe and the United States.</w:t>
      </w:r>
      <w:r>
        <w:br/>
      </w:r>
      <w:r>
        <w:br/>
      </w:r>
      <w:r>
        <w:t>The devaluation of currencies across emerging economies especially in Russia and Brazil had a negative effect on its operation, he noted, adding that they expected the businesses in the United States, Europe and India to continue as driving force for the company.</w:t>
      </w:r>
    </w:p>
    <w:p xmlns:wp14="http://schemas.microsoft.com/office/word/2010/wordml" w14:paraId="5BF0DC42" wp14:textId="77777777">
      <w:pPr>
        <w:pStyle w:val="Heading1"/>
      </w:pPr>
      <w:r>
        <w:t>End of Article 5</w:t>
      </w:r>
    </w:p>
    <w:p xmlns:wp14="http://schemas.microsoft.com/office/word/2010/wordml" w14:paraId="6A05A809" wp14:textId="77777777">
      <w:r>
        <w:br w:type="page"/>
      </w:r>
    </w:p>
    <w:p xmlns:wp14="http://schemas.microsoft.com/office/word/2010/wordml" w14:paraId="384B2BF2" wp14:textId="77777777">
      <w:pPr>
        <w:pStyle w:val="Heading1"/>
      </w:pPr>
      <w:r>
        <w:t>Start of Article 6</w:t>
      </w:r>
    </w:p>
    <w:p xmlns:wp14="http://schemas.microsoft.com/office/word/2010/wordml" w14:paraId="3ECC9711" wp14:textId="77777777">
      <w:pPr>
        <w:pStyle w:val="Heading1"/>
      </w:pPr>
      <w:r>
        <w:t>Document ID OKLD000020151215ebc9000b6</w:t>
      </w:r>
    </w:p>
    <w:p xmlns:wp14="http://schemas.microsoft.com/office/word/2010/wordml" w14:paraId="40478C96" wp14:textId="77777777">
      <w:r>
        <w:t>Once or twice a week, she goes to the Peninsula Wellness Centre in Mountain View to stand neck-high in a closetlike tank while a fog of liquid nitrogen gas billows around her underwear-clad body. The fog takes the temperature in the tank down to 230 to 250 degrees below zero Fahrenheit -- colder than any natural place on Earth.</w:t>
      </w:r>
      <w:r>
        <w:br/>
      </w:r>
      <w:r>
        <w:br/>
      </w:r>
      <w:r>
        <w:t>The technique is called whole-body cryotherapy, and yes, it may be coming to a spa, sports medicine clinic or wellness center near you.</w:t>
      </w:r>
      <w:r>
        <w:br/>
      </w:r>
      <w:r>
        <w:br/>
      </w:r>
      <w:r>
        <w:t>Depending on whom you talk to, cryotherapy is either the latest fad, boasting a range of yet-to-be proven benefits -- while boosting the interests of a largely unregulated industry -- or, it's a cutting-edge therapy that can genuinely help people such as Toy resume active, normal lives. It has also become de rigueur for a growing number of elite athletes -- LeBron James, Kobe Bryant and, most recently, members of the Green Bay Packers. These pros, as well as celebrities such as Daniel Craig prepping for his latest James Bond outing, use it to reduce the aches and inflammation caused by tough workouts so they can recover quickly, exercise harder and boost performance.</w:t>
      </w:r>
      <w:r>
        <w:br/>
      </w:r>
      <w:r>
        <w:br/>
      </w:r>
      <w:r>
        <w:t>"This is a supercharged ice bath," says Landan Laurusaitis, a personal trainer, former college football lineman, and co-founder of the recently opened Performist cryotherapy studio in Palo Alto. "I've done a lot of ice baths, and they work wonders on your recovery, but it's not pleasant. This only takes three minutes. It basically gives you all the impact of an ice bath in a fraction of the time."</w:t>
      </w:r>
      <w:r>
        <w:br/>
      </w:r>
      <w:r>
        <w:br/>
      </w:r>
      <w:r>
        <w:t>Laurusaitis adds that hard-driving tech workers have begun to drop in at The Performist, looking for an endorphin rush from a quick chill in the studio's $75,000 tank. That boost, they say, allows them to keep working late into the evening.</w:t>
      </w:r>
      <w:r>
        <w:br/>
      </w:r>
      <w:r>
        <w:br/>
      </w:r>
      <w:r>
        <w:t>Toy was skeptical of the treatment's purported benefits and worried that getting into the tank would be as much of a shock to her system as jumping into the Arctic Ocean.</w:t>
      </w:r>
      <w:r>
        <w:br/>
      </w:r>
      <w:r>
        <w:br/>
      </w:r>
      <w:r>
        <w:t>But, she says, "I would walk through fire if it would take away the pain."</w:t>
      </w:r>
      <w:r>
        <w:br/>
      </w:r>
      <w:r>
        <w:br/>
      </w:r>
      <w:r>
        <w:t>As it turned out, her treatment left her feeling briefly chilled, but it was tolerable, as if she stepped outside on a cold winter morning. She also noticed tingling in the areas of her body affected by pain, but the tingling quickly went away -- as did the pain.</w:t>
      </w:r>
      <w:r>
        <w:br/>
      </w:r>
      <w:r>
        <w:br/>
      </w:r>
      <w:r>
        <w:t>"It was amazing," she says. "I felt immediately better."</w:t>
      </w:r>
      <w:r>
        <w:br/>
      </w:r>
      <w:r>
        <w:br/>
      </w:r>
      <w:r>
        <w:t>She has since returned for about 40 treatments. The downside is that the treatments, ranging from $40 to $65, depending on the package, aren't covered by insurance. While she wishes the therapy were not so expensive, she thinks it's worth it.</w:t>
      </w:r>
      <w:r>
        <w:br/>
      </w:r>
      <w:r>
        <w:br/>
      </w:r>
      <w:r>
        <w:t>The concept of cryotherapy is nothing new. Applying cold packs to injured joints or muscles to reduce blood flow, swelling and inflammation has long been standard practice among medical practitioners. And, as Laurusaitis said, soaking in ice baths after intense exercise is routine among professional and college athletes.</w:t>
      </w:r>
      <w:r>
        <w:br/>
      </w:r>
      <w:r>
        <w:br/>
      </w:r>
      <w:r>
        <w:t>One of Laurusaitis' personal training clients, Mountain View-reared professional volleyball player Diane Copenhagen, 29, recently tried the cryotherapy tank for the first time and liked it much better than a 20- to 30-minute soak in an ice bath. "This is an easy and fast way to help your body recover and recuperate," Copenhagen says.</w:t>
      </w:r>
      <w:r>
        <w:br/>
      </w:r>
      <w:r>
        <w:br/>
      </w:r>
      <w:r>
        <w:t>The first cryotherapy tank was built in Japan for patients with rheumatoid arthritis. The treatment spread to Europe in the 1980s and the United States in the past decade. While most users these days are professional and recreational athletes, the treatment also is used to treat symptoms of arthritis, autoimmune diseases, multiple sclerosis and other neurological disorders and depression.</w:t>
      </w:r>
      <w:r>
        <w:br/>
      </w:r>
      <w:r>
        <w:br/>
      </w:r>
      <w:r>
        <w:t>Chiropractor Chris Watson, owner of the Peninsula Wellness Centre, also touts cryotherapy's potential for improving skin tone and helping weight loss; a single session reportedly burns anywhere from 500 to 800 calories.</w:t>
      </w:r>
      <w:r>
        <w:br/>
      </w:r>
      <w:r>
        <w:br/>
      </w:r>
      <w:r>
        <w:t>The medical and scientific communities are far more reserved in their assessments, saying liquid nitrogen has been used medically for procedures such as wart removal. But so far, there is little research to show that cryotherapy offers physiological benefits, either for weight loss or for reducing muscle soreness and recovery time for athletic training.</w:t>
      </w:r>
      <w:r>
        <w:br/>
      </w:r>
      <w:r>
        <w:br/>
      </w:r>
      <w:r>
        <w:t>"I remember how oxygen rooms were popping up a few years ago and a lot of athletes were using them, but the studies never really panned out," says Michael Fredericson, a professor of orthopedic surgery and expert in sports medicine at Stanford University Medical Center. "I don't know if cryotherapy will end up the same way, with the therapy getting going commercially before there is really any science behind it. I'm not saying it's bad, but we don't really know."</w:t>
      </w:r>
      <w:r>
        <w:br/>
      </w:r>
      <w:r>
        <w:br/>
      </w:r>
      <w:r>
        <w:t>Joseph Costello, senior research associate in the department of sport and exercise science at the University of Portsmouth in England and one of the world's leading researchers on cryotherapy, suggests a placebo effect might be in play for some people. If anything, he says, cryotherapy offers benefits similar to cooling off skin and muscle with ice packs or ice baths, which don't cost as much.</w:t>
      </w:r>
      <w:r>
        <w:br/>
      </w:r>
      <w:r>
        <w:br/>
      </w:r>
      <w:r>
        <w:t>And given that cryotherapy exposes people to extreme temperatures, he said it's imperative for more research to be done on its long-term safety.</w:t>
      </w:r>
      <w:r>
        <w:br/>
      </w:r>
      <w:r>
        <w:br/>
      </w:r>
      <w:r>
        <w:t>Indeed, safety concerns arose after a 24-year-old Las Vegas spa employee was found dead in a cryotherapy chamber in October. Reports say she was using the nitrogen-filling machine alone after the center closed and died of asphyxia due to a lack of oxygen.</w:t>
      </w:r>
      <w:r>
        <w:br/>
      </w:r>
      <w:r>
        <w:br/>
      </w:r>
      <w:r>
        <w:t>Cryotherapy is not regulated by the FDA or by most states, including California. The woman's death prompted Nevada health authorities to issue safety guidelines, which recommend that pregnant women or people with certain health conditions -- including high blood pressure or a history of strokes and seizures -- avoid it and that centers make sure employees are properly trained in using the machines.</w:t>
      </w:r>
      <w:r>
        <w:br/>
      </w:r>
      <w:r>
        <w:br/>
      </w:r>
      <w:r>
        <w:t>Watson, of the Wellness Centre, and Stephen Evans, another co-founder of The Performist, say client safety is their No. 1 concern. New clients fill out health questionnaires and have their blood pressure checked, they say. And in contrast to the apparent practices in the Las Vegas case, an employee is always present when someone uses their chambers, they say. Of the about 1,000 people who have visited the Wellness Centre over the past year, Watson says, "We haven't had one incident."</w:t>
      </w:r>
      <w:r>
        <w:br/>
      </w:r>
      <w:r>
        <w:br/>
      </w:r>
      <w:r>
        <w:t>To prevent potential frostbite, both centers require people to don thermal socks and gloves to protect feet and hands. They also make sure people don't go in with moist skin. Back in 2011, American sprinter Justin Gatlin said he suffered frostbite while entering a chamber wearing socks sweaty from a previous workout, according to the New York Times.</w:t>
      </w:r>
      <w:r>
        <w:br/>
      </w:r>
      <w:r>
        <w:br/>
      </w:r>
      <w:r>
        <w:t>Concerns about frostbite and inconclusive information on the treatment's athletic benefits made Michael Mendenhall, 53, of Palo Alto, wary at first. But he gave it a try because he wants to compete as a master swimmer and needs to keep up a rigorous training schedule. After a week of daily sessions, he has yet to experience frostbite. Moreover, he's noticed a marked decrease in recovery time from the workouts, from one or two days to several hours. "I just feel really good, more alert," he says.</w:t>
      </w:r>
      <w:r>
        <w:br/>
      </w:r>
      <w:r>
        <w:br/>
      </w:r>
      <w:r>
        <w:t>While Evans agrees that more research needs to be done, he says there's enough evidence to show "this isn't a quack thing."</w:t>
      </w:r>
      <w:r>
        <w:br/>
      </w:r>
      <w:r>
        <w:br/>
      </w:r>
      <w:r>
        <w:t>He himself hits the chamber daily to improve his training for marathons and CrossFit competitions.</w:t>
      </w:r>
      <w:r>
        <w:br/>
      </w:r>
      <w:r>
        <w:br/>
      </w:r>
      <w:r>
        <w:t>"We have people in here every day," he says, "and we have yet to find anyone who doesn't get anything out of it."</w:t>
      </w:r>
    </w:p>
    <w:p xmlns:wp14="http://schemas.microsoft.com/office/word/2010/wordml" w14:paraId="38C1D216" wp14:textId="77777777">
      <w:pPr>
        <w:pStyle w:val="Heading1"/>
      </w:pPr>
      <w:r>
        <w:t>End of Article 6</w:t>
      </w:r>
    </w:p>
    <w:p xmlns:wp14="http://schemas.microsoft.com/office/word/2010/wordml" w14:paraId="5A39BBE3" wp14:textId="77777777">
      <w:r>
        <w:br w:type="page"/>
      </w:r>
    </w:p>
    <w:p xmlns:wp14="http://schemas.microsoft.com/office/word/2010/wordml" w14:paraId="5220BA90" wp14:textId="77777777">
      <w:pPr>
        <w:pStyle w:val="Heading1"/>
      </w:pPr>
      <w:r>
        <w:t>Start of Article 7</w:t>
      </w:r>
    </w:p>
    <w:p xmlns:wp14="http://schemas.microsoft.com/office/word/2010/wordml" w14:paraId="71C714EA" wp14:textId="77777777">
      <w:pPr>
        <w:pStyle w:val="Heading1"/>
      </w:pPr>
      <w:r>
        <w:t>Document ID HNASNI0020150805eb85000rx</w:t>
      </w:r>
    </w:p>
    <w:p xmlns:wp14="http://schemas.microsoft.com/office/word/2010/wordml" w14:paraId="53DD7E7C" wp14:textId="77777777">
      <w:r>
        <w:t>Further, the company also claimed that they have developed a separate technology known as ZipDose that makes high-dose medications easier to swallow.</w:t>
      </w:r>
      <w:r>
        <w:br/>
      </w:r>
      <w:r>
        <w:br/>
      </w:r>
      <w:r>
        <w:t>According to experts, being able to 3D print a tablet offers the potential to create bespoke drugs based on the specific needs of patients, rather than having a one product fits all approach.</w:t>
      </w:r>
      <w:r>
        <w:br/>
      </w:r>
      <w:r>
        <w:br/>
      </w:r>
      <w:r>
        <w:t>Talking about the approval, lecturer Mohamed Albed Alhnan said that for the last 50 years, tablets have been manufactured in factories and shipped to hospitals but for the first time this process would help them in producing tablets that are much closer to the patient.</w:t>
      </w:r>
      <w:r>
        <w:br/>
      </w:r>
      <w:r>
        <w:br/>
      </w:r>
      <w:r>
        <w:t>He added that it would mean that medical institutions could adjust the dose for individual patients with just a simple tweak to the software before printing.</w:t>
      </w:r>
      <w:r>
        <w:br/>
      </w:r>
      <w:r>
        <w:br/>
      </w:r>
      <w:r>
        <w:t>According to the organisation, Spritam will be launched in the first quarter of 2016.</w:t>
      </w:r>
      <w:r>
        <w:br/>
      </w:r>
      <w:r>
        <w:br/>
      </w:r>
      <w:r>
        <w:t>Published by HT Syndication with permission from Asian News International.</w:t>
      </w:r>
    </w:p>
    <w:p xmlns:wp14="http://schemas.microsoft.com/office/word/2010/wordml" w14:paraId="65405D21" wp14:textId="77777777">
      <w:pPr>
        <w:pStyle w:val="Heading1"/>
      </w:pPr>
      <w:r>
        <w:t>End of Article 7</w:t>
      </w:r>
    </w:p>
    <w:p xmlns:wp14="http://schemas.microsoft.com/office/word/2010/wordml" w14:paraId="41C8F396" wp14:textId="77777777">
      <w:r>
        <w:br w:type="page"/>
      </w:r>
    </w:p>
    <w:p xmlns:wp14="http://schemas.microsoft.com/office/word/2010/wordml" w14:paraId="112FA418" wp14:textId="77777777">
      <w:pPr>
        <w:pStyle w:val="Heading1"/>
      </w:pPr>
      <w:r>
        <w:t>Start of Article 8</w:t>
      </w:r>
    </w:p>
    <w:p xmlns:wp14="http://schemas.microsoft.com/office/word/2010/wordml" w14:paraId="13E74265" wp14:textId="77777777">
      <w:pPr>
        <w:pStyle w:val="Heading1"/>
      </w:pPr>
      <w:r>
        <w:t>Document ID APRS000020150401eb41008qa</w:t>
      </w:r>
    </w:p>
    <w:p xmlns:wp14="http://schemas.microsoft.com/office/word/2010/wordml" w14:paraId="5CCCB3B5" wp14:textId="77777777">
      <w:r>
        <w:t xml:space="preserve"> CLOSING MOST ACTIVE STOCKS</w:t>
      </w:r>
      <w:r>
        <w:br/>
      </w:r>
      <w:r>
        <w:t xml:space="preserve"> NEW YORK (AP) — Thursday's prices for</w:t>
      </w:r>
      <w:r>
        <w:br/>
      </w:r>
      <w:r>
        <w:t xml:space="preserve"> NYSE listed most active stocks:</w:t>
      </w:r>
      <w:r>
        <w:br/>
      </w:r>
      <w:r>
        <w:t xml:space="preserve"> SalesHighLowCloseChg</w:t>
      </w:r>
      <w:r>
        <w:br/>
      </w:r>
      <w:r>
        <w:t xml:space="preserve"> AKSteel           62480     4.48     4.28     4.45+.04</w:t>
      </w:r>
      <w:r>
        <w:br/>
      </w:r>
      <w:r>
        <w:t xml:space="preserve"> AT&amp;TInc 1.88      191398    33.23    32.82    33.13+.24</w:t>
      </w:r>
      <w:r>
        <w:br/>
      </w:r>
      <w:r>
        <w:t xml:space="preserve"> AbbVie 2.04f      82730     57.81    56.90    57.01—.09</w:t>
      </w:r>
      <w:r>
        <w:br/>
      </w:r>
      <w:r>
        <w:t xml:space="preserve"> Alcoa .12         229316    13.28    12.79    13.14+.14</w:t>
      </w:r>
      <w:r>
        <w:br/>
      </w:r>
      <w:r>
        <w:t xml:space="preserve"> Alibaban          197105    83.00    81.25    82.28—.08</w:t>
      </w:r>
      <w:r>
        <w:br/>
      </w:r>
      <w:r>
        <w:t xml:space="preserve"> Altria 2.08       89727     51.29    50.36    51.19+.89</w:t>
      </w:r>
      <w:r>
        <w:br/>
      </w:r>
      <w:r>
        <w:t xml:space="preserve"> Ambev .24e        223981    6.10     5.94     6.04+.12</w:t>
      </w:r>
      <w:r>
        <w:br/>
      </w:r>
      <w:r>
        <w:t xml:space="preserve"> AmExp 1.04        56372     79.77    78.57    79.70+.77</w:t>
      </w:r>
      <w:r>
        <w:br/>
      </w:r>
      <w:r>
        <w:t xml:space="preserve"> ArchDan 1.12f     58135     48.34    47.34    47.35—.08</w:t>
      </w:r>
      <w:r>
        <w:br/>
      </w:r>
      <w:r>
        <w:t xml:space="preserve"> Avon .24          63540     7.98     7.82     7.97+.12</w:t>
      </w:r>
      <w:r>
        <w:br/>
      </w:r>
      <w:r>
        <w:t xml:space="preserve"> Axaltan           124504    28.24    27.70    27.93—.71</w:t>
      </w:r>
      <w:r>
        <w:br/>
      </w:r>
      <w:r>
        <w:t xml:space="preserve"> BcoBrads .42e     76110     9.98     9.73     9.87+.28</w:t>
      </w:r>
      <w:r>
        <w:br/>
      </w:r>
      <w:r>
        <w:t xml:space="preserve"> BkofAm .20        492903    15.62    15.43    15.54+.13</w:t>
      </w:r>
      <w:r>
        <w:br/>
      </w:r>
      <w:r>
        <w:t xml:space="preserve"> BiPVixST          312181    25.52    24.97    25.06—.46</w:t>
      </w:r>
      <w:r>
        <w:br/>
      </w:r>
      <w:r>
        <w:t xml:space="preserve"> BarrickG .20      113083    12.11    11.71    11.88—.13</w:t>
      </w:r>
      <w:r>
        <w:br/>
      </w:r>
      <w:r>
        <w:t xml:space="preserve"> BostonSci         55462     17.83    17.54    17.72+.07</w:t>
      </w:r>
      <w:r>
        <w:br/>
      </w:r>
      <w:r>
        <w:t xml:space="preserve"> CBSB .60          94570     61.49    59.11    61.16+1.54</w:t>
      </w:r>
      <w:r>
        <w:br/>
      </w:r>
      <w:r>
        <w:t xml:space="preserve"> CNOFincl .24      110977    18.08    17.55    17.79+.66</w:t>
      </w:r>
      <w:r>
        <w:br/>
      </w:r>
      <w:r>
        <w:t xml:space="preserve"> CSX .64           92418     33.40    32.94    33.32—.13</w:t>
      </w:r>
      <w:r>
        <w:br/>
      </w:r>
      <w:r>
        <w:t xml:space="preserve"> CalifResn .04     77919     8.50     7.98     8.18+.23</w:t>
      </w:r>
      <w:r>
        <w:br/>
      </w:r>
      <w:r>
        <w:t xml:space="preserve"> CarMax            88765     75.40    71.97    74.73+6.34</w:t>
      </w:r>
      <w:r>
        <w:br/>
      </w:r>
      <w:r>
        <w:t xml:space="preserve"> Cemex .52t        80435     9.85     9.36     9.73+.29</w:t>
      </w:r>
      <w:r>
        <w:br/>
      </w:r>
      <w:r>
        <w:t xml:space="preserve"> ChesEng .35       319448    14.69    14.20    14.59+.24</w:t>
      </w:r>
      <w:r>
        <w:br/>
      </w:r>
      <w:r>
        <w:t xml:space="preserve"> Chimera .38f      76225     3.16     3.12     3.14</w:t>
      </w:r>
      <w:r>
        <w:br/>
      </w:r>
      <w:r>
        <w:t xml:space="preserve"> Citigroup .04     137424    52.22    51.59    51.86+.24</w:t>
      </w:r>
      <w:r>
        <w:br/>
      </w:r>
      <w:r>
        <w:t xml:space="preserve"> CitizFinn .40     60067     24.68    24.25    24.62+.26</w:t>
      </w:r>
      <w:r>
        <w:br/>
      </w:r>
      <w:r>
        <w:t xml:space="preserve"> CocaCola 1.32f    142674    40.87    40.48    40.68</w:t>
      </w:r>
      <w:r>
        <w:br/>
      </w:r>
      <w:r>
        <w:t xml:space="preserve"> ConocoPhil 2.92   58790     63.41    62.57    63.18+.16</w:t>
      </w:r>
      <w:r>
        <w:br/>
      </w:r>
      <w:r>
        <w:t xml:space="preserve"> ContlRess         70611     47.40    45.19    46.04+.38</w:t>
      </w:r>
      <w:r>
        <w:br/>
      </w:r>
      <w:r>
        <w:t xml:space="preserve"> Corning .48f      91026     22.44    22.07    22.32+.07</w:t>
      </w:r>
      <w:r>
        <w:br/>
      </w:r>
      <w:r>
        <w:t xml:space="preserve"> CSVInvNG          100667    7.94     7.03     7.11—.95</w:t>
      </w:r>
      <w:r>
        <w:br/>
      </w:r>
      <w:r>
        <w:t xml:space="preserve"> CSVLgNGs          413546    2.45     2.21     2.43+.26</w:t>
      </w:r>
      <w:r>
        <w:br/>
      </w:r>
      <w:r>
        <w:t xml:space="preserve"> CSVLgCrde         690598    2.52     2.25     2.45—.01</w:t>
      </w:r>
      <w:r>
        <w:br/>
      </w:r>
      <w:r>
        <w:t xml:space="preserve"> DeltaAir .36      152653    43.37    42.25    42.25—1.01</w:t>
      </w:r>
      <w:r>
        <w:br/>
      </w:r>
      <w:r>
        <w:t xml:space="preserve"> DenburyR .25      153411    7.85     7.31     7.84+.46</w:t>
      </w:r>
      <w:r>
        <w:br/>
      </w:r>
      <w:r>
        <w:t xml:space="preserve"> DBXEafeEq 1.37e</w:t>
      </w:r>
      <w:r>
        <w:br/>
      </w:r>
      <w:r>
        <w:t xml:space="preserve">                   72214     30.31    30.15    30.28+.11</w:t>
      </w:r>
      <w:r>
        <w:br/>
      </w:r>
      <w:r>
        <w:t xml:space="preserve"> DxGldBull         201745    11.12    10.13    10.55—.35</w:t>
      </w:r>
      <w:r>
        <w:br/>
      </w:r>
      <w:r>
        <w:t xml:space="preserve"> DrxSCBear         92483     10.13    9.90     10.03—.08</w:t>
      </w:r>
      <w:r>
        <w:br/>
      </w:r>
      <w:r>
        <w:t xml:space="preserve"> DirGMBear .95e    59867     10.90    9.94     10.44+.39</w:t>
      </w:r>
      <w:r>
        <w:br/>
      </w:r>
      <w:r>
        <w:t xml:space="preserve"> DirDGldBr         73975     17.25    15.79    16.63+.53</w:t>
      </w:r>
      <w:r>
        <w:br/>
      </w:r>
      <w:r>
        <w:t xml:space="preserve"> DowChm 1.68       60468     48.39    47.53    48.24+.34</w:t>
      </w:r>
      <w:r>
        <w:br/>
      </w:r>
      <w:r>
        <w:t xml:space="preserve"> DuPont 1.88       87262     71.65    70.71    71.39+.41</w:t>
      </w:r>
      <w:r>
        <w:br/>
      </w:r>
      <w:r>
        <w:t xml:space="preserve"> EMCCp .46         158376    25.71    25.42    25.53+.06</w:t>
      </w:r>
      <w:r>
        <w:br/>
      </w:r>
      <w:r>
        <w:t xml:space="preserve"> EldorGldg .02e    60111     4.94     4.76     4.85—.11</w:t>
      </w:r>
      <w:r>
        <w:br/>
      </w:r>
      <w:r>
        <w:t xml:space="preserve"> EmersonEl 1.88    58899     56.26    55.50    55.54—.35</w:t>
      </w:r>
      <w:r>
        <w:br/>
      </w:r>
      <w:r>
        <w:t xml:space="preserve"> EnCanag .28       73290     11.59    11.18    11.47+.17</w:t>
      </w:r>
      <w:r>
        <w:br/>
      </w:r>
      <w:r>
        <w:t xml:space="preserve"> Exelon 1.24       72506     33.58    32.88    33.38+.53</w:t>
      </w:r>
      <w:r>
        <w:br/>
      </w:r>
      <w:r>
        <w:t xml:space="preserve"> ExxonMbl 2.76     111997    84.94    83.85    84.30—.16</w:t>
      </w:r>
      <w:r>
        <w:br/>
      </w:r>
      <w:r>
        <w:t xml:space="preserve"> FordM .60f        157587    16.04    15.85    16.03+.12</w:t>
      </w:r>
      <w:r>
        <w:br/>
      </w:r>
      <w:r>
        <w:t xml:space="preserve"> FrptMcM .20m      138747    19.07    18.74    19.00+.03</w:t>
      </w:r>
      <w:r>
        <w:br/>
      </w:r>
      <w:r>
        <w:t xml:space="preserve"> GenElec .92       286136    25.00    24.70    24.94+.10</w:t>
      </w:r>
      <w:r>
        <w:br/>
      </w:r>
      <w:r>
        <w:t xml:space="preserve"> GenMotors 1.20</w:t>
      </w:r>
      <w:r>
        <w:br/>
      </w:r>
      <w:r>
        <w:t xml:space="preserve">                   163863    36.73    36.33    36.50—.24</w:t>
      </w:r>
      <w:r>
        <w:br/>
      </w:r>
      <w:r>
        <w:t xml:space="preserve"> Genworth          152103    7.94     7.29     7.76+.43</w:t>
      </w:r>
      <w:r>
        <w:br/>
      </w:r>
      <w:r>
        <w:t xml:space="preserve"> Goldcrpg .60      58759     19.19    18.52    18.85—.16</w:t>
      </w:r>
      <w:r>
        <w:br/>
      </w:r>
      <w:r>
        <w:t xml:space="preserve"> Hallibrtn .72     110919    44.32    43.49    43.96+.14</w:t>
      </w:r>
      <w:r>
        <w:br/>
      </w:r>
      <w:r>
        <w:t xml:space="preserve"> HewlettP .64      83904     31.75    31.22    31.40+.11</w:t>
      </w:r>
      <w:r>
        <w:br/>
      </w:r>
      <w:r>
        <w:t xml:space="preserve"> Hilton            70949     29.71    29.30    29.36+.08</w:t>
      </w:r>
      <w:r>
        <w:br/>
      </w:r>
      <w:r>
        <w:t xml:space="preserve"> HostHotls .80a    56946     20.58    20.21    20.49+.23</w:t>
      </w:r>
      <w:r>
        <w:br/>
      </w:r>
      <w:r>
        <w:t xml:space="preserve"> ICICIBks .15e     68141     10.77    10.59    10.69+.07</w:t>
      </w:r>
      <w:r>
        <w:br/>
      </w:r>
      <w:r>
        <w:t xml:space="preserve"> iShBrazil 1.38e   247466    33.37    32.63    33.24+.99</w:t>
      </w:r>
      <w:r>
        <w:br/>
      </w:r>
      <w:r>
        <w:t xml:space="preserve"> iShGerm .63e      55692     30.39    30.18    30.33+.23</w:t>
      </w:r>
      <w:r>
        <w:br/>
      </w:r>
      <w:r>
        <w:t xml:space="preserve"> iShJapan .15e     242135    12.74    12.63    12.69+.11</w:t>
      </w:r>
      <w:r>
        <w:br/>
      </w:r>
      <w:r>
        <w:t xml:space="preserve"> iSTaiwn .29e      72967     16.08    15.93    16.07+.33</w:t>
      </w:r>
      <w:r>
        <w:br/>
      </w:r>
      <w:r>
        <w:t xml:space="preserve"> iShSilver         55952     16.13    15.88    16.02—.21</w:t>
      </w:r>
      <w:r>
        <w:br/>
      </w:r>
      <w:r>
        <w:t xml:space="preserve"> iShChinaLC 1.04e</w:t>
      </w:r>
      <w:r>
        <w:br/>
      </w:r>
      <w:r>
        <w:t xml:space="preserve">                   155255    45.77    45.34    45.66+.46</w:t>
      </w:r>
      <w:r>
        <w:br/>
      </w:r>
      <w:r>
        <w:t xml:space="preserve"> iShEMkts .88e     576820    41.34    40.90    41.24+.61</w:t>
      </w:r>
      <w:r>
        <w:br/>
      </w:r>
      <w:r>
        <w:t xml:space="preserve"> iSh20yrT 3.31e</w:t>
      </w:r>
      <w:r>
        <w:br/>
      </w:r>
      <w:r>
        <w:t xml:space="preserve">                   60332     131.97   130.61   130.73—1.40</w:t>
      </w:r>
      <w:r>
        <w:br/>
      </w:r>
      <w:r>
        <w:t xml:space="preserve"> iSEafe 2.26e      154321    65.24    64.93    65.19+.56</w:t>
      </w:r>
      <w:r>
        <w:br/>
      </w:r>
      <w:r>
        <w:t xml:space="preserve"> iShR2K 1.59e</w:t>
      </w:r>
      <w:r>
        <w:br/>
      </w:r>
      <w:r>
        <w:t xml:space="preserve">                   217897    125.26   124.29   124.65+.23</w:t>
      </w:r>
      <w:r>
        <w:br/>
      </w:r>
      <w:r>
        <w:t xml:space="preserve"> iShREst 2.70e     90132     80.08    79.07    79.84+.53</w:t>
      </w:r>
      <w:r>
        <w:br/>
      </w:r>
      <w:r>
        <w:t xml:space="preserve"> IntlGame .44      134257    17.93    17.73    17.77+.22</w:t>
      </w:r>
      <w:r>
        <w:br/>
      </w:r>
      <w:r>
        <w:t xml:space="preserve"> ItauUnibH .41e    188088    11.87    11.60    11.77+.32</w:t>
      </w:r>
      <w:r>
        <w:br/>
      </w:r>
      <w:r>
        <w:t xml:space="preserve"> JPMorgCh 1.60     124551    60.70    60.00    60.52+.57</w:t>
      </w:r>
      <w:r>
        <w:br/>
      </w:r>
      <w:r>
        <w:t xml:space="preserve"> JohnJn 2.80       59482     99.99    98.89    99.64+.49</w:t>
      </w:r>
      <w:r>
        <w:br/>
      </w:r>
      <w:r>
        <w:t xml:space="preserve"> Keycorp .26       79557     14.28    14.10    14.25+.09</w:t>
      </w:r>
      <w:r>
        <w:br/>
      </w:r>
      <w:r>
        <w:t xml:space="preserve"> KindMorg 1.80f    61729     42.00    41.56    41.72—.20</w:t>
      </w:r>
      <w:r>
        <w:br/>
      </w:r>
      <w:r>
        <w:t xml:space="preserve"> Kinrossg          125203    2.38     2.27     2.32—.04</w:t>
      </w:r>
      <w:r>
        <w:br/>
      </w:r>
      <w:r>
        <w:t xml:space="preserve"> LaredoPet         66017     14.34    13.60    14.30+.90</w:t>
      </w:r>
      <w:r>
        <w:br/>
      </w:r>
      <w:r>
        <w:t xml:space="preserve"> Lorillard 2.64f   111880    69.82    68.78    69.25+1.86</w:t>
      </w:r>
      <w:r>
        <w:br/>
      </w:r>
      <w:r>
        <w:t xml:space="preserve"> LumberLiq         114630    35.18    32.20    33.20+.19</w:t>
      </w:r>
      <w:r>
        <w:br/>
      </w:r>
      <w:r>
        <w:t xml:space="preserve"> MGM Rsts          94815     21.38    20.73    21.34+.46</w:t>
      </w:r>
      <w:r>
        <w:br/>
      </w:r>
      <w:r>
        <w:t xml:space="preserve"> Macys 1.25        98604     68.48    65.29    67.85+2.40</w:t>
      </w:r>
      <w:r>
        <w:br/>
      </w:r>
      <w:r>
        <w:t xml:space="preserve"> MarathnO .84      85537     27.28    26.39    27.07+.43</w:t>
      </w:r>
      <w:r>
        <w:br/>
      </w:r>
      <w:r>
        <w:t xml:space="preserve"> MVJrGold          100379    24.14    23.38    23.70—.39</w:t>
      </w:r>
      <w:r>
        <w:br/>
      </w:r>
      <w:r>
        <w:t xml:space="preserve"> MktVGold .12e     408875    19.35    18.76    18.99—.22</w:t>
      </w:r>
      <w:r>
        <w:br/>
      </w:r>
      <w:r>
        <w:t xml:space="preserve"> MVOilSvc .86e     83470     34.47    33.71    34.29+.32</w:t>
      </w:r>
      <w:r>
        <w:br/>
      </w:r>
      <w:r>
        <w:t xml:space="preserve"> MktVRus .64e      201098    18.43    17.98    18.40+.68</w:t>
      </w:r>
      <w:r>
        <w:br/>
      </w:r>
      <w:r>
        <w:t xml:space="preserve"> Masco .36         55658     26.74    25.95    26.62+.55</w:t>
      </w:r>
      <w:r>
        <w:br/>
      </w:r>
      <w:r>
        <w:t xml:space="preserve"> McDrmInt          62712     4.25     3.91     4.18+.24</w:t>
      </w:r>
      <w:r>
        <w:br/>
      </w:r>
      <w:r>
        <w:t xml:space="preserve"> McDnlds 3.40      65436     96.24    94.71    95.83—.46</w:t>
      </w:r>
      <w:r>
        <w:br/>
      </w:r>
      <w:r>
        <w:t xml:space="preserve"> Merck 1.80        75009     57.45    56.85    57.10+.24</w:t>
      </w:r>
      <w:r>
        <w:br/>
      </w:r>
      <w:r>
        <w:t xml:space="preserve"> MorgStan .40      60449     36.20    35.79    36.06+.09</w:t>
      </w:r>
      <w:r>
        <w:br/>
      </w:r>
      <w:r>
        <w:t xml:space="preserve"> MotrlaSolu 1.36   80587     67.46    61.15    62.51—4.16</w:t>
      </w:r>
      <w:r>
        <w:br/>
      </w:r>
      <w:r>
        <w:t xml:space="preserve"> NRGEgy .58f       58856     24.30    23.66    23.99+.39</w:t>
      </w:r>
      <w:r>
        <w:br/>
      </w:r>
      <w:r>
        <w:t xml:space="preserve"> Nabors .24        97096     14.62    13.90    14.07—.01</w:t>
      </w:r>
      <w:r>
        <w:br/>
      </w:r>
      <w:r>
        <w:t xml:space="preserve"> NBGreece          62925     1.25     1.22     1.23—.01</w:t>
      </w:r>
      <w:r>
        <w:br/>
      </w:r>
      <w:r>
        <w:t xml:space="preserve"> NewmtM .10        64496     22.91    22.15    22.34—.38</w:t>
      </w:r>
      <w:r>
        <w:br/>
      </w:r>
      <w:r>
        <w:t xml:space="preserve"> NobleCorp 1.50    72848     14.81    14.21    14.76+.31</w:t>
      </w:r>
      <w:r>
        <w:br/>
      </w:r>
      <w:r>
        <w:t xml:space="preserve"> NokiaCp .51e      80801     7.70     7.63     7.65+.10</w:t>
      </w:r>
      <w:r>
        <w:br/>
      </w:r>
      <w:r>
        <w:t xml:space="preserve"> OasisPet          76635     15.28    14.46    14.94+.25</w:t>
      </w:r>
      <w:r>
        <w:br/>
      </w:r>
      <w:r>
        <w:t xml:space="preserve"> Oracle .60f       x110967   43.11    42.48    42.62—.17</w:t>
      </w:r>
      <w:r>
        <w:br/>
      </w:r>
      <w:r>
        <w:t xml:space="preserve"> PeabdyE .01m      106729    4.96     4.71     4.87+.12</w:t>
      </w:r>
      <w:r>
        <w:br/>
      </w:r>
      <w:r>
        <w:t xml:space="preserve"> Penney            200476    9.20     8.82     9.13+.23</w:t>
      </w:r>
      <w:r>
        <w:br/>
      </w:r>
      <w:r>
        <w:t xml:space="preserve"> PetrbrsA .85e     117912    6.82     6.50     6.80+.39</w:t>
      </w:r>
      <w:r>
        <w:br/>
      </w:r>
      <w:r>
        <w:t xml:space="preserve"> Petrobras .46e    439239    6.79     6.41     6.76+.41</w:t>
      </w:r>
      <w:r>
        <w:br/>
      </w:r>
      <w:r>
        <w:t xml:space="preserve"> Pfizer 1.12f      248144    34.63    34.22    34.38+.05</w:t>
      </w:r>
      <w:r>
        <w:br/>
      </w:r>
      <w:r>
        <w:t xml:space="preserve"> PUltVixST         188107    14.98    14.34    14.41—.59</w:t>
      </w:r>
      <w:r>
        <w:br/>
      </w:r>
      <w:r>
        <w:t xml:space="preserve"> PrUltCrude        261328    7.48     6.95     7.35—.03</w:t>
      </w:r>
      <w:r>
        <w:br/>
      </w:r>
      <w:r>
        <w:t xml:space="preserve"> ProctGam 2.57     60183     82.59    81.92    82.43+.11</w:t>
      </w:r>
      <w:r>
        <w:br/>
      </w:r>
      <w:r>
        <w:t xml:space="preserve"> ProUShSP          73094     21.55    21.23    21.34—.15</w:t>
      </w:r>
      <w:r>
        <w:br/>
      </w:r>
      <w:r>
        <w:t xml:space="preserve"> RegionsFn .20     191427    9.64     9.42     9.58+.12</w:t>
      </w:r>
      <w:r>
        <w:br/>
      </w:r>
      <w:r>
        <w:t xml:space="preserve"> RiteAid           487525    9.07     8.62     8.79+.22</w:t>
      </w:r>
      <w:r>
        <w:br/>
      </w:r>
      <w:r>
        <w:t xml:space="preserve"> S&amp;P500ETF 3.94e</w:t>
      </w:r>
      <w:r>
        <w:br/>
      </w:r>
      <w:r>
        <w:t xml:space="preserve">                   767134    206.98   205.40   206.44+.74</w:t>
      </w:r>
      <w:r>
        <w:br/>
      </w:r>
      <w:r>
        <w:t xml:space="preserve"> SpdrLehHY 2.81e</w:t>
      </w:r>
      <w:r>
        <w:br/>
      </w:r>
      <w:r>
        <w:t xml:space="preserve">                   66759     39.15    39.09    39.15+.02</w:t>
      </w:r>
      <w:r>
        <w:br/>
      </w:r>
      <w:r>
        <w:t xml:space="preserve"> SpdrOGEx .69e     108836    51.09    49.56    50.81+.64</w:t>
      </w:r>
      <w:r>
        <w:br/>
      </w:r>
      <w:r>
        <w:t xml:space="preserve"> SandRdge          87992     1.83     1.75     1.82+.04</w:t>
      </w:r>
      <w:r>
        <w:br/>
      </w:r>
      <w:r>
        <w:t xml:space="preserve"> Schlmbrg 2f       60154     85.43    83.89    84.39+.11</w:t>
      </w:r>
      <w:r>
        <w:br/>
      </w:r>
      <w:r>
        <w:t xml:space="preserve"> SchwUSDiv 1.06e</w:t>
      </w:r>
      <w:r>
        <w:br/>
      </w:r>
      <w:r>
        <w:t xml:space="preserve">                   71223     39.43    39.16    39.26+.07</w:t>
      </w:r>
      <w:r>
        <w:br/>
      </w:r>
      <w:r>
        <w:t xml:space="preserve"> Schwab .24        68010     30.09    29.66    30.01+.08</w:t>
      </w:r>
      <w:r>
        <w:br/>
      </w:r>
      <w:r>
        <w:t xml:space="preserve"> SeadrillLtd       92055     9.70     9.30     9.66+.31</w:t>
      </w:r>
      <w:r>
        <w:br/>
      </w:r>
      <w:r>
        <w:t xml:space="preserve"> SwstAirl .24      82644     43.82    42.69    42.86—.59</w:t>
      </w:r>
      <w:r>
        <w:br/>
      </w:r>
      <w:r>
        <w:t xml:space="preserve"> SwstnEngy         96623     24.12    22.72    24.04+1.18</w:t>
      </w:r>
      <w:r>
        <w:br/>
      </w:r>
      <w:r>
        <w:t xml:space="preserve"> Sprint            170932    4.87     4.72     4.85+.12</w:t>
      </w:r>
      <w:r>
        <w:br/>
      </w:r>
      <w:r>
        <w:t xml:space="preserve"> SPHlthC .90e      73503     72.32    71.64    71.99+.22</w:t>
      </w:r>
      <w:r>
        <w:br/>
      </w:r>
      <w:r>
        <w:t xml:space="preserve"> SPEngy 1.94e      137005    78.17    77.02    77.72+.16</w:t>
      </w:r>
      <w:r>
        <w:br/>
      </w:r>
      <w:r>
        <w:t xml:space="preserve"> SPDRFncl .41e</w:t>
      </w:r>
      <w:r>
        <w:br/>
      </w:r>
      <w:r>
        <w:t xml:space="preserve">                   204868    24.25    24.03    24.21+.12</w:t>
      </w:r>
      <w:r>
        <w:br/>
      </w:r>
      <w:r>
        <w:t xml:space="preserve"> SPInds 1.07e      65588     55.76    55.25    55.43+.03</w:t>
      </w:r>
      <w:r>
        <w:br/>
      </w:r>
      <w:r>
        <w:t xml:space="preserve"> SPUtil 1.51e      110431    44.75    44.35    44.55+.08</w:t>
      </w:r>
      <w:r>
        <w:br/>
      </w:r>
      <w:r>
        <w:t xml:space="preserve"> Suncorg 1.12      81532     30.95    29.47    30.77+1.25</w:t>
      </w:r>
      <w:r>
        <w:br/>
      </w:r>
      <w:r>
        <w:t xml:space="preserve"> SunEdison         97821     25.86    24.90    25.15+.05</w:t>
      </w:r>
      <w:r>
        <w:br/>
      </w:r>
      <w:r>
        <w:t xml:space="preserve"> TaiwSemi .50e     123395    23.83    23.58    23.69+.46</w:t>
      </w:r>
      <w:r>
        <w:br/>
      </w:r>
      <w:r>
        <w:t xml:space="preserve"> TalismEg .27      64328     7.73     7.67     7.70+.02</w:t>
      </w:r>
      <w:r>
        <w:br/>
      </w:r>
      <w:r>
        <w:t xml:space="preserve"> Transocn 3        79321     15.05    14.44    14.99+.27</w:t>
      </w:r>
      <w:r>
        <w:br/>
      </w:r>
      <w:r>
        <w:t xml:space="preserve"> Twitter           132055    50.95    49.88    50.42—.05</w:t>
      </w:r>
      <w:r>
        <w:br/>
      </w:r>
      <w:r>
        <w:t xml:space="preserve"> UtdContl          73178     64.54    61.73    61.88—2.13</w:t>
      </w:r>
      <w:r>
        <w:br/>
      </w:r>
      <w:r>
        <w:t xml:space="preserve"> USNGas            89560     13.66    13.16    13.60+.50</w:t>
      </w:r>
      <w:r>
        <w:br/>
      </w:r>
      <w:r>
        <w:t xml:space="preserve"> USOilFd           348980    17.68    17.06    17.56—.02</w:t>
      </w:r>
      <w:r>
        <w:br/>
      </w:r>
      <w:r>
        <w:t xml:space="preserve"> ValeSA .60e       241634    5.79     5.45     5.76+.18</w:t>
      </w:r>
      <w:r>
        <w:br/>
      </w:r>
      <w:r>
        <w:t xml:space="preserve"> ValeSApf .60e     209042    4.96     4.57     4.94+.17</w:t>
      </w:r>
      <w:r>
        <w:br/>
      </w:r>
      <w:r>
        <w:t xml:space="preserve"> ValeroE 1.60f     130302    63.65    59.31    59.80—3.65</w:t>
      </w:r>
      <w:r>
        <w:br/>
      </w:r>
      <w:r>
        <w:t xml:space="preserve"> VangEmg 1.13e     80851     42.14    41.70    42.06+.64</w:t>
      </w:r>
      <w:r>
        <w:br/>
      </w:r>
      <w:r>
        <w:t xml:space="preserve"> VerizonCm 2.20</w:t>
      </w:r>
      <w:r>
        <w:br/>
      </w:r>
      <w:r>
        <w:t xml:space="preserve">                   132244    49.60    48.86    49.47+.55</w:t>
      </w:r>
      <w:r>
        <w:br/>
      </w:r>
      <w:r>
        <w:t xml:space="preserve"> Vipshops          62844     29.44    28.50    29.11—.20</w:t>
      </w:r>
      <w:r>
        <w:br/>
      </w:r>
      <w:r>
        <w:t xml:space="preserve"> WalMart 1.96f     57620     81.32    80.55    80.73+.02</w:t>
      </w:r>
      <w:r>
        <w:br/>
      </w:r>
      <w:r>
        <w:t xml:space="preserve"> WeathfIntl        72069     13.13    12.66    12.91+.21</w:t>
      </w:r>
      <w:r>
        <w:br/>
      </w:r>
      <w:r>
        <w:t xml:space="preserve"> WellsFargo 1.40</w:t>
      </w:r>
      <w:r>
        <w:br/>
      </w:r>
      <w:r>
        <w:t xml:space="preserve">                   132384    54.48    53.82    54.37+.43</w:t>
      </w:r>
      <w:r>
        <w:br/>
      </w:r>
      <w:r>
        <w:t xml:space="preserve"> WstnUnion .62f    88110     21.04    20.48    20.91+.35</w:t>
      </w:r>
      <w:r>
        <w:br/>
      </w:r>
      <w:r>
        <w:t xml:space="preserve"> WhitingPet        111110    33.56    31.62    32.81+.76</w:t>
      </w:r>
      <w:r>
        <w:br/>
      </w:r>
      <w:r>
        <w:t xml:space="preserve"> Xerox .28f        73654     12.84    12.68    12.77+.10</w:t>
      </w:r>
      <w:r>
        <w:br/>
      </w:r>
      <w:r>
        <w:t xml:space="preserve"> Yamanag .06       61317     3.87     3.67     3.74—.06</w:t>
      </w:r>
      <w:r>
        <w:br/>
      </w:r>
    </w:p>
    <w:p xmlns:wp14="http://schemas.microsoft.com/office/word/2010/wordml" w14:paraId="436A8518" wp14:textId="77777777">
      <w:pPr>
        <w:pStyle w:val="Heading1"/>
      </w:pPr>
      <w:r>
        <w:t>End of Article 8</w:t>
      </w:r>
    </w:p>
    <w:p xmlns:wp14="http://schemas.microsoft.com/office/word/2010/wordml" w14:paraId="72A3D3EC" wp14:textId="77777777">
      <w:r>
        <w:br w:type="page"/>
      </w:r>
    </w:p>
    <w:p xmlns:wp14="http://schemas.microsoft.com/office/word/2010/wordml" w14:paraId="3A768C6B" wp14:textId="77777777">
      <w:pPr>
        <w:pStyle w:val="Heading1"/>
      </w:pPr>
      <w:r>
        <w:t>Start of Article 9</w:t>
      </w:r>
    </w:p>
    <w:p xmlns:wp14="http://schemas.microsoft.com/office/word/2010/wordml" w14:paraId="25E57CFF" wp14:textId="77777777">
      <w:pPr>
        <w:pStyle w:val="Heading1"/>
      </w:pPr>
      <w:r>
        <w:t>Document ID RTTNEW0020150630eb6t00043</w:t>
      </w:r>
    </w:p>
    <w:p xmlns:wp14="http://schemas.microsoft.com/office/word/2010/wordml" w14:paraId="634AC55B" wp14:textId="77777777">
      <w:r>
        <w:t>Under the terms of the collaboration, Celgene has the option to be the commercialization partner for Juno's oncology and cell therapy auto-immune product candidates, including Juno's CD19 and CD22 directed CAR-T product candidates. B-Cell Maturation Antigen is excluded as a target in the collaboration.</w:t>
      </w:r>
      <w:r>
        <w:br/>
      </w:r>
      <w:r>
        <w:br/>
      </w:r>
      <w:r>
        <w:t>For Juno-originated programs co-developed under the collaboration, Juno will be responsible for research and development in North America and will retain commercialization rights in those territories. Celgene will be responsible for development and commercialization in the rest of the world, and will pay Juno a royalty on sales in those territories.</w:t>
      </w:r>
      <w:r>
        <w:br/>
      </w:r>
      <w:r>
        <w:br/>
      </w:r>
      <w:r>
        <w:t>Celgene will initially be eligible to select two programs, excluding CD19 and CD22, to be subject to a global profit sharing agreement under which the companies will share worldwide expenses and profits equally, except in China. Subject to additional obligations, Celgene may select a third program.</w:t>
      </w:r>
      <w:r>
        <w:br/>
      </w:r>
      <w:r>
        <w:br/>
      </w:r>
      <w:r>
        <w:t>Juno will have the option to enter into a co-development and co-commercialization agreement on certain Celgene-originated development candidates that target T Cells.</w:t>
      </w:r>
      <w:r>
        <w:br/>
      </w:r>
      <w:r>
        <w:br/>
      </w:r>
      <w:r>
        <w:t>For any such Celgene-originated programs co-developed under the collaboration, the parties will share global costs and profits with 70% allocated to Celgene and 30% allocated to Juno. Celgene will lead global development and commercialization, subject to a Juno co-promote option in the US and certain EU territories.</w:t>
      </w:r>
      <w:r>
        <w:br/>
      </w:r>
      <w:r>
        <w:br/>
      </w:r>
      <w:r>
        <w:t>Upon closing, Juno will receive an upfront payment of about $150 million, and in addition Celgene will purchase 9,137,672 shares of Juno's common stock at $93.00 per share. Celgene will receive the right to nominate a member to Juno's board of directors.</w:t>
      </w:r>
      <w:r>
        <w:br/>
      </w:r>
      <w:r>
        <w:br/>
      </w:r>
      <w:r>
        <w:t>During the 10-year term of the collaboration, Celgene will have the right to purchase additional equity in Juno during specified windows and at specified market premiums subject to satisfaction of certain conditions by each party including Juno opting in on select Celgene programs, such that, at a maximum, Celgene could own up to 30% of Juno's common stock then outstanding.</w:t>
      </w:r>
      <w:r>
        <w:br/>
      </w:r>
      <w:r>
        <w:br/>
      </w:r>
      <w:r>
        <w:t>Celgene has entered into a standstill agreement and agreed to certain lock-up provisions on its share ownership.</w:t>
      </w:r>
      <w:r>
        <w:br/>
      </w:r>
      <w:r>
        <w:br/>
      </w:r>
      <w:r>
        <w:t>Celgene and Juno currently expect to complete the deal during the third quarter of 2015.</w:t>
      </w:r>
      <w:r>
        <w:br/>
      </w:r>
      <w:r>
        <w:br/>
      </w:r>
      <w:r>
        <w:t>For comments and feedback: contact editorial@rttnews.com</w:t>
      </w:r>
      <w:r>
        <w:br/>
      </w:r>
      <w:r>
        <w:br/>
      </w:r>
      <w:r>
        <w:t>Copyright(c) 2015 RTTNews.com. All Rights Reserved</w:t>
      </w:r>
    </w:p>
    <w:p xmlns:wp14="http://schemas.microsoft.com/office/word/2010/wordml" w14:paraId="79DB7A3A" wp14:textId="77777777">
      <w:pPr>
        <w:pStyle w:val="Heading1"/>
      </w:pPr>
      <w:r>
        <w:t>End of Article 9</w:t>
      </w:r>
    </w:p>
    <w:p xmlns:wp14="http://schemas.microsoft.com/office/word/2010/wordml" w14:paraId="0D0B940D" wp14:textId="77777777">
      <w:r>
        <w:br w:type="page"/>
      </w:r>
    </w:p>
    <w:p xmlns:wp14="http://schemas.microsoft.com/office/word/2010/wordml" w14:paraId="568594CE" wp14:textId="77777777">
      <w:pPr>
        <w:pStyle w:val="Heading1"/>
      </w:pPr>
      <w:r>
        <w:t>Start of Article 10</w:t>
      </w:r>
    </w:p>
    <w:p xmlns:wp14="http://schemas.microsoft.com/office/word/2010/wordml" w14:paraId="6DE56B43" wp14:textId="77777777">
      <w:pPr>
        <w:pStyle w:val="Heading1"/>
      </w:pPr>
      <w:r>
        <w:t>Document ID CTRW000020150501eb54000m3</w:t>
      </w:r>
    </w:p>
    <w:p xmlns:wp14="http://schemas.microsoft.com/office/word/2010/wordml" w14:paraId="6596CE2A" wp14:textId="77777777">
      <w:r>
        <w:t>Reporters obtained the following quote from the background information supplied by the inventors: "Maytansinoids are highly cytotoxic compounds, including maytansinol and C-3 esters of maytansinol (U.S. Pat. No. 4,151,042), as shown below:</w:t>
      </w:r>
      <w:r>
        <w:br/>
      </w:r>
      <w:r>
        <w:br/>
      </w:r>
      <w:r>
        <w:t>"##STR00001##</w:t>
      </w:r>
      <w:r>
        <w:br/>
      </w:r>
      <w:r>
        <w:br/>
      </w:r>
      <w:r>
        <w:t>"The naturally occurring and synthetic C-3 esters of maytansinol can be classified into two groups: (a) Maytansine (2) and its analogs (e.g., DM1 and DM4), which are C-3 esters with N-methyl-L-alanine or derivatives of N-methyl-L-alanine (U.S. Pat. Nos. 4,137,230; 4,260,608; 5,208,020; and Chem. Pharm. Bull. 12:3441 (1984)); (b) Ansamitocins, which are C-3 esters with simple carboxylic acids (U.S. Pat. Nos. 4,248,870; 4,265,814; 4,308,268; 4,308,269; 4,309,428; 4,317,821; 4,322,348; and 4,331,598).</w:t>
      </w:r>
      <w:r>
        <w:br/>
      </w:r>
      <w:r>
        <w:br/>
      </w:r>
      <w:r>
        <w:t>"Maytansine (2), its analogs and each of the ansamitocin species are C3 esters of maytansinol that can be prepared by esterification of maytansinol (1). U.S. Pat. Nos. 7,301,019 and 7,598,375 describe methods of acylating maytansinol (1), with an N-carboxyanhydride of an amino acid (NCA, 5), in the presence of a base to form an amino acid ester of maytansinol (May-AA, 6) as shown below:</w:t>
      </w:r>
      <w:r>
        <w:br/>
      </w:r>
      <w:r>
        <w:br/>
      </w:r>
      <w:r>
        <w:t>"##STR00002##</w:t>
      </w:r>
      <w:r>
        <w:br/>
      </w:r>
      <w:r>
        <w:br/>
      </w:r>
      <w:r>
        <w:t>"Amino acid esters of maytansinol are valuable intermediates that can be coupled to carboxylic acids to provide maytansinoids. For example, reaction of maytansinol with (4S)-3,4-dimethyl-2,5-oxazolidinedione (5a) forms N2'-deacetyl-maytansine (6a), which in turn can be coupled to 3-(methyldithio)propionic acid (7), using N-(3-dimethylaminopropyl)-N'-ethylcarbodiimide hydrochloride (EDAC) to form DM1-SMe (8) as shown below:</w:t>
      </w:r>
      <w:r>
        <w:br/>
      </w:r>
      <w:r>
        <w:br/>
      </w:r>
      <w:r>
        <w:t>"##STR00003##</w:t>
      </w:r>
      <w:r>
        <w:br/>
      </w:r>
      <w:r>
        <w:br/>
      </w:r>
      <w:r>
        <w:t>"A significant disadvantage of the acylation reaction that forms amino acid esters of maytansinol is that it also forms a by-product comprising an extra N-methyl-alanyl moiety in the C3 side chain, referred to as 'extra-NMA' (9). When N2'-deacetyl-maytansine is acylated, extra NMA (9) is also acylated to form extra NMA-DM1-SMe (9a). The structures of extra-NMA (9) and extra-NMA-DM1-SMe (9a) are shown below:</w:t>
      </w:r>
      <w:r>
        <w:br/>
      </w:r>
      <w:r>
        <w:br/>
      </w:r>
      <w:r>
        <w:t>"##STR00004##</w:t>
      </w:r>
      <w:r>
        <w:br/>
      </w:r>
      <w:r>
        <w:br/>
      </w:r>
      <w:r>
        <w:t>"DM1 (3) can be prepared from DM1-SMe (8) by reduction, which also converts any extra-NMA-DM1-SMe (9a) to extra-NMA-DM1 (10) as shown below:</w:t>
      </w:r>
      <w:r>
        <w:br/>
      </w:r>
      <w:r>
        <w:br/>
      </w:r>
      <w:r>
        <w:t>"##STR00005##</w:t>
      </w:r>
      <w:r>
        <w:br/>
      </w:r>
      <w:r>
        <w:br/>
      </w:r>
      <w:r>
        <w:t>"Extra-NMA-DM1 (10) is difficult to remove from DM1 (3) because both compounds have similar polarities and give overlapping peaks in the HPLC trace of purified DM1 (3). DM1 (3) and DM4 (4) are used to prepare antibody conjugates, several of which are currently in clinical trials.</w:t>
      </w:r>
      <w:r>
        <w:br/>
      </w:r>
      <w:r>
        <w:br/>
      </w:r>
      <w:r>
        <w:t>"Thus, there is a need to improve the yield and robustness of the processes to prepare such maytansinoids and to minimize by-products formed during reactions used in their preparation."</w:t>
      </w:r>
      <w:r>
        <w:br/>
      </w:r>
      <w:r>
        <w:br/>
      </w:r>
      <w:r>
        <w:t>In addition to obtaining background information on this patent, NewsRx editors also obtained the inventors' summary information for this patent: "It has now been found that addition of a drying agent to the reaction between maytansinol and an N-carboxyanhydride of an amino acid substantially increases the yield of an amino acid ester of maytansinol, as shown in Examples 1-4. It has also been found that addition of a pre-quenching step with a nucleophile following the reaction of maytansinol and an N-carboxyanhydride of an amino acid substantially reduces formation of undesirable by-products, such as extra-NMA, as shown in Examples 6-8. Based on these discoveries, improved methods of preparing an amino acid ester of maytansinol are disclosed herein.</w:t>
      </w:r>
      <w:r>
        <w:br/>
      </w:r>
      <w:r>
        <w:br/>
      </w:r>
      <w:r>
        <w:t>"A first embodiment of the invention is a method of preparing an amino acid ester of maytansinol represented by Formula (I):</w:t>
      </w:r>
      <w:r>
        <w:br/>
      </w:r>
      <w:r>
        <w:br/>
      </w:r>
      <w:r>
        <w:t>"##STR00006## wherein R.sub.1 is hydrogen, an optionally substituted C1-C10 alkyl group or an amino acid side chain, provided that, if the amino acid side chain has a functional group, the functional group is optionally protected; and R.sub.2 is hydrogen or an optionally substituted C1-C10 alkyl group.</w:t>
      </w:r>
      <w:r>
        <w:br/>
      </w:r>
      <w:r>
        <w:br/>
      </w:r>
      <w:r>
        <w:t>"The method comprises reacting maytansinol with an N-carboxyanhydride in a reaction mixture additionally comprising a base and a drying agent. The N-carboxyanhydride is represented by the following formula:</w:t>
      </w:r>
      <w:r>
        <w:br/>
      </w:r>
      <w:r>
        <w:br/>
      </w:r>
      <w:r>
        <w:t>"##STR00007## All the variables in Formula (II) are as defined in Formula (I).</w:t>
      </w:r>
      <w:r>
        <w:br/>
      </w:r>
      <w:r>
        <w:br/>
      </w:r>
      <w:r>
        <w:t>"A second embodiment of the invention is a method of preparing an amino acid ester of maytaninol represented by Formula (I), comprising: a) reacting maytansinol with an N-carboxyanhydride represented by Formula (II) in a reaction mixture additionally comprising a base; and b) reacting unreacted N-carboxyanhydride from step a) with a nucleophilic reagent. All the variables in Formulas (I) and (II) are as defined in the first embodiment of the invention."</w:t>
      </w:r>
      <w:r>
        <w:br/>
      </w:r>
      <w:r>
        <w:br/>
      </w:r>
      <w:r>
        <w:t>For more information, see this patent: Widdison, Wayne C.; Zhao, Robert Yongxin. Methods for the Acylation of Maytansinol. U.S. Patent Number 9012629, filed September 26, 2013, and published online on April 21, 2015. Patent URL: http://patft.uspto.gov/netacgi/nph-Parser?Sect1=PTO1&amp;Sect2=HITOFF&amp;d=PALL&amp;p=1&amp;u=%2Fnetahtml%2FPTO%2Fsrchnum.htm&amp;r=1&amp;f=G&amp;l=50&amp;s1=9012629.PN.&amp;OS=PN/9012629RS=PN/9012629</w:t>
      </w:r>
      <w:r>
        <w:br/>
      </w:r>
      <w:r>
        <w:br/>
      </w:r>
      <w:r>
        <w:t>Keywords for this news article include: Esters, Peptides, Proteins, Amino Acids, ImmunoGen Inc., Carboxylic Acids.</w:t>
      </w:r>
      <w:r>
        <w:br/>
      </w:r>
      <w:r>
        <w:br/>
      </w:r>
      <w:r>
        <w:t>Our reports deliver fact-based news of research and discoveries from around the world. Copyright 2015, NewsRx LLC</w:t>
      </w:r>
    </w:p>
    <w:p xmlns:wp14="http://schemas.microsoft.com/office/word/2010/wordml" w14:paraId="148394C6" wp14:textId="77777777">
      <w:pPr>
        <w:pStyle w:val="Heading1"/>
      </w:pPr>
      <w:r>
        <w:t>End of Article 10</w:t>
      </w:r>
    </w:p>
    <w:p xmlns:wp14="http://schemas.microsoft.com/office/word/2010/wordml" w14:paraId="0E27B00A" wp14:textId="77777777">
      <w:r>
        <w:br w:type="page"/>
      </w:r>
    </w:p>
    <w:p xmlns:wp14="http://schemas.microsoft.com/office/word/2010/wordml" w14:paraId="2A8A3CDE" wp14:textId="77777777">
      <w:pPr>
        <w:pStyle w:val="Heading1"/>
      </w:pPr>
      <w:r>
        <w:t>Start of Article 11</w:t>
      </w:r>
    </w:p>
    <w:p xmlns:wp14="http://schemas.microsoft.com/office/word/2010/wordml" w14:paraId="2E85CCF0" wp14:textId="77777777">
      <w:pPr>
        <w:pStyle w:val="Heading1"/>
      </w:pPr>
      <w:r>
        <w:t>Document ID DJDN000020151215ebcf0038v</w:t>
      </w:r>
    </w:p>
    <w:p xmlns:wp14="http://schemas.microsoft.com/office/word/2010/wordml" w14:paraId="4B988092" wp14:textId="77777777">
      <w:r>
        <w:t>December 15, 2015 15:19 ET (20:19 GMT)</w:t>
      </w:r>
    </w:p>
    <w:p xmlns:wp14="http://schemas.microsoft.com/office/word/2010/wordml" w14:paraId="4D4F66BE" wp14:textId="77777777">
      <w:pPr>
        <w:pStyle w:val="Heading1"/>
      </w:pPr>
      <w:r>
        <w:t>End of Article 11</w:t>
      </w:r>
    </w:p>
    <w:p xmlns:wp14="http://schemas.microsoft.com/office/word/2010/wordml" w14:paraId="60061E4C" wp14:textId="77777777">
      <w:r>
        <w:br w:type="page"/>
      </w:r>
    </w:p>
    <w:p xmlns:wp14="http://schemas.microsoft.com/office/word/2010/wordml" w14:paraId="5B6A1C71" wp14:textId="77777777">
      <w:pPr>
        <w:pStyle w:val="Heading1"/>
      </w:pPr>
      <w:r>
        <w:t>Start of Article 12</w:t>
      </w:r>
    </w:p>
    <w:p xmlns:wp14="http://schemas.microsoft.com/office/word/2010/wordml" w14:paraId="2A210A5E" wp14:textId="77777777">
      <w:pPr>
        <w:pStyle w:val="Heading1"/>
      </w:pPr>
      <w:r>
        <w:t>Document ID ATPHAM0020150930eb9u000el</w:t>
      </w:r>
    </w:p>
    <w:p xmlns:wp14="http://schemas.microsoft.com/office/word/2010/wordml" w14:paraId="7E8BCE77" wp14:textId="77777777">
      <w:r>
        <w:t>October 7-9, 2015</w:t>
      </w:r>
      <w:r>
        <w:br/>
      </w:r>
      <w:r>
        <w:br/>
      </w:r>
      <w:r>
        <w:t>Las Vegas, Nevada</w:t>
      </w:r>
      <w:r>
        <w:br/>
      </w:r>
      <w:r>
        <w:br/>
      </w:r>
      <w:r>
        <w:t>Brean Capital Life Sciences Summit</w:t>
      </w:r>
      <w:r>
        <w:br/>
      </w:r>
      <w:r>
        <w:br/>
      </w:r>
      <w:r>
        <w:t>One-on-one meetings only</w:t>
      </w:r>
      <w:r>
        <w:br/>
      </w:r>
      <w:r>
        <w:br/>
      </w:r>
      <w:r>
        <w:t>November 16, 2015</w:t>
      </w:r>
      <w:r>
        <w:br/>
      </w:r>
      <w:r>
        <w:br/>
      </w:r>
      <w:r>
        <w:t>New York, NY</w:t>
      </w:r>
      <w:r>
        <w:br/>
      </w:r>
      <w:r>
        <w:br/>
      </w:r>
      <w:r>
        <w:t>Stifel Healthcare Conference</w:t>
      </w:r>
      <w:r>
        <w:br/>
      </w:r>
      <w:r>
        <w:br/>
      </w:r>
      <w:r>
        <w:t>November 17-18, 2015</w:t>
      </w:r>
      <w:r>
        <w:br/>
      </w:r>
      <w:r>
        <w:br/>
      </w:r>
      <w:r>
        <w:t>New York, NY</w:t>
      </w:r>
      <w:r>
        <w:br/>
      </w:r>
      <w:r>
        <w:br/>
      </w:r>
      <w:r>
        <w:t>President and CEO, Dr. J. Joseph Kim, will give a corporate presentation at the Aegis Growth Conference on October 8 at 3:30PM PT. A live and archived version of Dr. Kim's presentation will be made available through the "Webcast" tab on Inovio's home page at www.inovio.com as well as at the following URL: http://wsw.com/webcast/aegis2/ino.</w:t>
      </w:r>
      <w:r>
        <w:br/>
      </w:r>
      <w:r>
        <w:br/>
      </w:r>
      <w:r>
        <w:t>Inovio's COO, Dr. Niranjan Sardesai, will present at the Stifel Healthcare Conference. The time, date and webcast link for the presentation will be made available on Inovio's website two weeks prior to the event.</w:t>
      </w:r>
      <w:r>
        <w:br/>
      </w:r>
      <w:r>
        <w:br/>
      </w:r>
      <w:r>
        <w:t>Source: Inovio Pharmaceuticals</w:t>
      </w:r>
    </w:p>
    <w:p xmlns:wp14="http://schemas.microsoft.com/office/word/2010/wordml" w14:paraId="66DB7AF3" wp14:textId="77777777">
      <w:pPr>
        <w:pStyle w:val="Heading1"/>
      </w:pPr>
      <w:r>
        <w:t>End of Article 12</w:t>
      </w:r>
    </w:p>
    <w:p xmlns:wp14="http://schemas.microsoft.com/office/word/2010/wordml" w14:paraId="44EAFD9C" wp14:textId="77777777">
      <w:r>
        <w:br w:type="page"/>
      </w:r>
    </w:p>
    <w:p xmlns:wp14="http://schemas.microsoft.com/office/word/2010/wordml" w14:paraId="49DC9E91" wp14:textId="77777777">
      <w:pPr>
        <w:pStyle w:val="Heading1"/>
      </w:pPr>
      <w:r>
        <w:t>Start of Article 13</w:t>
      </w:r>
    </w:p>
    <w:p xmlns:wp14="http://schemas.microsoft.com/office/word/2010/wordml" w14:paraId="49C8CEC7" wp14:textId="77777777">
      <w:pPr>
        <w:pStyle w:val="Heading1"/>
      </w:pPr>
      <w:r>
        <w:t>Document ID DJDN000020150311eb3b004c0</w:t>
      </w:r>
    </w:p>
    <w:p xmlns:wp14="http://schemas.microsoft.com/office/word/2010/wordml" w14:paraId="7FD8A81A" wp14:textId="77777777">
      <w:r>
        <w:t>The announcement came as the San Diego biopharmaceutical company, which focuses on treatment of central nervous system disorders, said longtime Chief Executive Uli Hacksell has resigned from his post, effective immediately.</w:t>
      </w:r>
      <w:r>
        <w:br/>
      </w:r>
      <w:r>
        <w:br/>
      </w:r>
      <w:r>
        <w:t>No reason was specified in a filing with the Securities and Exchange Commission. The company said in a news release Mr. Hacksell had retired. Executive Vice President Stephen R. Davis, who has also serves as chief financial officer and chief business officer, has taken over on an interim basis.</w:t>
      </w:r>
      <w:r>
        <w:br/>
      </w:r>
      <w:r>
        <w:br/>
      </w:r>
      <w:r>
        <w:t>Shares plunged nearly 22% to $35 in recent after-hours trading.</w:t>
      </w:r>
      <w:r>
        <w:br/>
      </w:r>
      <w:r>
        <w:br/>
      </w:r>
      <w:r>
        <w:t>Acadia said additional time to seek regulatory approval was needed to make sure it is ready to support production and supply of its candidate treatment pimavanserin, which would be commercialized as Nuplazid. The Food and Drug Administration granted the drug breakthrough therapy designation last year, which means the FDA will act on the application within 60 days of receipt.</w:t>
      </w:r>
      <w:r>
        <w:br/>
      </w:r>
      <w:r>
        <w:br/>
      </w:r>
      <w:r>
        <w:t>Acadia had planned to file a new drug application in the first quarter.</w:t>
      </w:r>
      <w:r>
        <w:br/>
      </w:r>
      <w:r>
        <w:br/>
      </w:r>
      <w:r>
        <w:t>"The change in submission timing is not a result of any change to Nuplazid's clinical or safety profile, nor is it a result of any interaction with or request for information from the FDA," the company said in a statement.</w:t>
      </w:r>
      <w:r>
        <w:br/>
      </w:r>
      <w:r>
        <w:br/>
      </w:r>
      <w:r>
        <w:t>Under the terms of an agreement with Mr. Hacksell, the former chief executive will receive a $36,000 lump sum payment and an additional $580,000, broken down in monthly installments, for consulting work over the next 1 1/2 years.</w:t>
      </w:r>
      <w:r>
        <w:br/>
      </w:r>
      <w:r>
        <w:br/>
      </w:r>
      <w:r>
        <w:t>Write to Maria Armental at maria.armental@wsj.com</w:t>
      </w:r>
      <w:r>
        <w:br/>
      </w:r>
      <w:r>
        <w:br/>
      </w:r>
      <w:r>
        <w:t>(END) Dow Jones Newswires</w:t>
      </w:r>
      <w:r>
        <w:br/>
      </w:r>
      <w:r>
        <w:br/>
      </w:r>
      <w:r>
        <w:t>March 11, 2015 17:31 ET (21:31 GMT)</w:t>
      </w:r>
    </w:p>
    <w:p xmlns:wp14="http://schemas.microsoft.com/office/word/2010/wordml" w14:paraId="4E935DEA" wp14:textId="77777777">
      <w:pPr>
        <w:pStyle w:val="Heading1"/>
      </w:pPr>
      <w:r>
        <w:t>End of Article 13</w:t>
      </w:r>
    </w:p>
    <w:p xmlns:wp14="http://schemas.microsoft.com/office/word/2010/wordml" w14:paraId="4B94D5A5" wp14:textId="77777777">
      <w:r>
        <w:br w:type="page"/>
      </w:r>
    </w:p>
    <w:p xmlns:wp14="http://schemas.microsoft.com/office/word/2010/wordml" w14:paraId="6C9ACCC4" wp14:textId="77777777">
      <w:pPr>
        <w:pStyle w:val="Heading1"/>
      </w:pPr>
      <w:r>
        <w:t>Start of Article 14</w:t>
      </w:r>
    </w:p>
    <w:p xmlns:wp14="http://schemas.microsoft.com/office/word/2010/wordml" w14:paraId="5814001A" wp14:textId="77777777">
      <w:pPr>
        <w:pStyle w:val="Heading1"/>
      </w:pPr>
      <w:r>
        <w:t>Document ID PRESSA0020151008eba8003uy</w:t>
      </w:r>
    </w:p>
    <w:p xmlns:wp14="http://schemas.microsoft.com/office/word/2010/wordml" w14:paraId="15699540" wp14:textId="77777777">
      <w:r>
        <w:t>Brian brings more than 25 years of global commercial experience to Telesta Therapeutics, having held positions in both top-tier and start-up U.S. biopharmaceutical companies. Most recently Brian was the Vice President of Market Access at Horizon Pharma where he played a key leadership role in building Horizon's orphan commercial business capabilities after two major company acquisitions. Prior to Horizon Pharma, Brian helped build the commercial organization at Dendreon in preparation for the launch of Provenge™, successfully securing a positive national coverage decision for the first and only FDA approved immunotherapy for advanced prostate cancer. Brian is a seasoned biotechnology and pharmaceutical industry professional with broad experience in the commercial sector including multiple product launches at Novartis and Merck where he held positions in marketing, managed markets and sales leadership. Brian graduated with a B.S. in physiology and an M.S. in Business and Healthcare Administration from Central Michigan University.</w:t>
      </w:r>
      <w:r>
        <w:br/>
      </w:r>
      <w:r>
        <w:br/>
      </w:r>
      <w:r>
        <w:t>Commenting on this appointment, Dr. Michael Berendt, Chief Executive Officer and Chief Scientist declared "I am very pleased to announce this strategic appointment today.  Brian's engagement as Chief Commercial Officer and his addition to our senior management team is a significant advance in our preparation for the commercial launch of MCNA in the United States.  His unique experience in launch preparation, commercial operations and urology/uro-oncology will permit us to ensure a successful product launch for MCNA which could become the first new therapeutic for the treatment of high risk non-muscle invasive bladder cancer patients in decades."</w:t>
      </w:r>
      <w:r>
        <w:br/>
      </w:r>
      <w:r>
        <w:br/>
      </w:r>
      <w:r>
        <w:t xml:space="preserve">About MCNA </w:t>
      </w:r>
      <w:r>
        <w:br/>
      </w:r>
      <w:r>
        <w:br/>
      </w:r>
      <w:r>
        <w:t>MCNA is a biologic therapy developed to provide high risk non-muscle invasive bladder cancer patients who are refractory to or relapsing from first line therapy with bacillus Calmette-Guérin (BCG), with a therapeutic alternative to surgery. MCNA is derived from the cell wall fractionation of a non-pathogenic bacteria.  Its activity is believed to be through a dual mechanism of immune stimulation and direct anti-cancer effects. MCNA was developed to be delivered as a sterile suspension for intravesical administration by urologists and urology nurses, following the same dosing paradigm as first line BCG therapy, with the advantage that it can be prepared, handled and disposed of easily and safely. The efficacy, duration of response and safety data from MCNA's pivotal Phase 3 trial was recently published in The Journal of Urology.  The FDA has set February 27, 2016 as its review goal date for MCNA's potential approval.</w:t>
      </w:r>
      <w:r>
        <w:br/>
      </w:r>
      <w:r>
        <w:br/>
      </w:r>
      <w:r>
        <w:t>--------------------------------------------------</w:t>
      </w:r>
      <w:r>
        <w:br/>
      </w:r>
      <w:r>
        <w:br/>
      </w:r>
      <w:r>
        <w:t>1. Mycobacterium phlei cell wall-nucleic acid complex</w:t>
      </w:r>
      <w:r>
        <w:br/>
      </w:r>
      <w:r>
        <w:br/>
      </w:r>
      <w:r>
        <w:t>About Telesta Therapeutics Inc.</w:t>
      </w:r>
      <w:r>
        <w:br/>
      </w:r>
      <w:r>
        <w:br/>
      </w:r>
      <w:r>
        <w:t>Telesta Therapeutics Inc. is a late stage therapeutics company with near term commercial potential focused on the manufacturing, marketing and licensing/acquisition of proprietary and innovative therapies for the global health market. The Company's primary goal is to develop and commercialize products that advance human health and increase shareholder value. For more information, please visit http://www.telestatherapeutics.com.</w:t>
      </w:r>
      <w:r>
        <w:br/>
      </w:r>
      <w:r>
        <w:br/>
      </w:r>
      <w:r>
        <w:t xml:space="preserve">Except for historical information, this news release may contain "forward-looking statements" and "forward-looking information" within the meaning of applicable securities laws that reflect the Company's current expectation regarding future events. Forward-looking statements and information are necessarily based upon a number of estimates and assumptions that, while, considered reasonable by management, are inherently subject to significant business, economic and competitive uncertainties and contingencies. Readers are cautioned that any such forward-looking statements and information are not guarantees and there can be no assurance that such statements and information will prove to be accurate, and actual results and future events could differ materially from those anticipated in such statements and information. These forward-looking statements and information involve risk and uncertainties, which may cause, but are not limited to, changing market conditions, the successful and timely completion of clinical studies, the establishment of corporate alliances, the impact of competitive products and pricing, new product development, uncertainties related to the regulatory approval process, and other risks detailed from time to time in the Company's ongoing quarterly and annual reporting. The Company expressly disclaims any intention or obligation to update or revise any forward-looking statements and information whether as a result of new information, future events or otherwise. All written and oral forward-looking statements and information attributable to us or persons acting on our behalf are expressly qualified in their entirety by the foregoing cautionary statements.  </w:t>
      </w:r>
      <w:r>
        <w:br/>
      </w:r>
      <w:r>
        <w:br/>
      </w:r>
      <w:r>
        <w:t>For further information:</w:t>
      </w:r>
      <w:r>
        <w:br/>
      </w:r>
      <w:r>
        <w:br/>
      </w:r>
      <w:r>
        <w:t>Donald Olds, Chief Operating Officer</w:t>
      </w:r>
      <w:r>
        <w:br/>
      </w:r>
      <w:r>
        <w:br/>
      </w:r>
      <w:r>
        <w:t>Telesta Therapeutics Inc.</w:t>
      </w:r>
      <w:r>
        <w:br/>
      </w:r>
      <w:r>
        <w:br/>
      </w:r>
      <w:r>
        <w:t>Telephone: +1(514)394-7921</w:t>
      </w:r>
      <w:r>
        <w:br/>
      </w:r>
      <w:r>
        <w:br/>
      </w:r>
      <w:r>
        <w:t>Donald.Olds@telestatherapeutics.com</w:t>
      </w:r>
    </w:p>
    <w:p xmlns:wp14="http://schemas.microsoft.com/office/word/2010/wordml" w14:paraId="5C4278A7" wp14:textId="77777777">
      <w:pPr>
        <w:pStyle w:val="Heading1"/>
      </w:pPr>
      <w:r>
        <w:t>End of Article 14</w:t>
      </w:r>
    </w:p>
    <w:p xmlns:wp14="http://schemas.microsoft.com/office/word/2010/wordml" w14:paraId="3DEEC669" wp14:textId="77777777">
      <w:r>
        <w:br w:type="page"/>
      </w:r>
    </w:p>
    <w:p xmlns:wp14="http://schemas.microsoft.com/office/word/2010/wordml" w14:paraId="00BC91B3" wp14:textId="77777777">
      <w:pPr>
        <w:pStyle w:val="Heading1"/>
      </w:pPr>
      <w:r>
        <w:t>Start of Article 15</w:t>
      </w:r>
    </w:p>
    <w:p xmlns:wp14="http://schemas.microsoft.com/office/word/2010/wordml" w14:paraId="5EB05072" wp14:textId="77777777">
      <w:pPr>
        <w:pStyle w:val="Heading1"/>
      </w:pPr>
      <w:r>
        <w:t>Document ID LFSW000020151020ebak001dv</w:t>
      </w:r>
    </w:p>
    <w:p xmlns:wp14="http://schemas.microsoft.com/office/word/2010/wordml" w14:paraId="525D74DB" wp14:textId="77777777">
      <w:r>
        <w:t>The news reporters obtained a quote from the research from Genentech, Inc., "Previously, modification by oxidation and advanced glycation end products (AGEs) had been shown to give rise to colored and fluorescent species whose spectral properties are in agreement with the spectral properties of CHO-derived recombinant antibodies. To test whether these modifications give rise to the color exhibited in our CHO-derived antibodies, we searched for 8 different oxidation and 28 different glycation and AGE modifications by mass spectrometry in a variety of samples exhibiting varying color intensities. Oxidation and glycation modifications correlated weakly with color in a subset of samples, but several AGEs exhibited a strong correlation with product color in all samples tested. This strong correlation with sample color was verified for a specific AGE, carboxymethyllysine, by ELISA, thus validating the mass spectrometry data."</w:t>
      </w:r>
      <w:r>
        <w:br/>
      </w:r>
      <w:r>
        <w:br/>
      </w:r>
      <w:r>
        <w:t>According to the news reporters, the research concluded: "These data indicate that AGEs are at least partially responsible for the color seen in CHO-derived recombinant antibodies."</w:t>
      </w:r>
      <w:r>
        <w:br/>
      </w:r>
      <w:r>
        <w:br/>
      </w:r>
      <w:r>
        <w:t>For more information on this research see: Recombinant antibody color resulting from advanced glycation end product modifications. Analytical Chemistry, 2014;86(19):9816-23. (American Chemical Society - www.acs.org; Analytical Chemistry - www.pubs.acs.org/journal/ancham)</w:t>
      </w:r>
      <w:r>
        <w:br/>
      </w:r>
      <w:r>
        <w:br/>
      </w:r>
      <w:r>
        <w:t>Our news correspondents report that additional information may be obtained by contacting M. Butko, Protein Analytical Chemistry, Genentech , 1 DNA Way, South San Francisco, California 94080, United States. Additional authors for this research include H. Pallat, A. Cordoba and X.C Yu.</w:t>
      </w:r>
      <w:r>
        <w:br/>
      </w:r>
      <w:r>
        <w:br/>
      </w:r>
      <w:r>
        <w:t>Keywords for this news article include: Antibodies, California, Immunology, United States, Blood Proteins, Immunoglobulins, South San Francisco, North and Central America.</w:t>
      </w:r>
      <w:r>
        <w:br/>
      </w:r>
      <w:r>
        <w:br/>
      </w:r>
      <w:r>
        <w:t>Our reports deliver fact-based news of research and discoveries from around the world. Copyright 2015, NewsRx LLC</w:t>
      </w:r>
    </w:p>
    <w:p xmlns:wp14="http://schemas.microsoft.com/office/word/2010/wordml" w14:paraId="7D904EDB" wp14:textId="77777777">
      <w:pPr>
        <w:pStyle w:val="Heading1"/>
      </w:pPr>
      <w:r>
        <w:t>End of Article 15</w:t>
      </w:r>
    </w:p>
    <w:p xmlns:wp14="http://schemas.microsoft.com/office/word/2010/wordml" w14:paraId="3656B9AB" wp14:textId="77777777">
      <w:r>
        <w:br w:type="page"/>
      </w:r>
    </w:p>
    <w:p xmlns:wp14="http://schemas.microsoft.com/office/word/2010/wordml" w14:paraId="683C7493" wp14:textId="77777777">
      <w:pPr>
        <w:pStyle w:val="Heading1"/>
      </w:pPr>
      <w:r>
        <w:t>Start of Article 16</w:t>
      </w:r>
    </w:p>
    <w:p xmlns:wp14="http://schemas.microsoft.com/office/word/2010/wordml" w14:paraId="7E1E17D4" wp14:textId="77777777">
      <w:pPr>
        <w:pStyle w:val="Heading1"/>
      </w:pPr>
      <w:r>
        <w:t>Document ID HAMW000020150410eb4h0004r</w:t>
      </w:r>
    </w:p>
    <w:p xmlns:wp14="http://schemas.microsoft.com/office/word/2010/wordml" w14:paraId="64FD0FD6" wp14:textId="77777777">
      <w:r>
        <w:t>Our news journalists obtained a quote from the research from Merck &amp; Company, "This may be attributable, in part, to the variable and subjective disease assessment endpoints with large placebo effects typically used to classify patient response. Sixty-one patients with active RA despite methotrexate treatment, and with MRI-documented synovitis, were randomized to receive infliximab or placebo. Blood was collected at baseline and genome-wide transcription in whole blood was measured using microarrays. The primary endpoint in this study was determined by measuring the transfer rate constant (Ktrans) of a gadolinium-based contrast agent from plasma to synovium using MRI. Secondary endpoints included repeated clinical assessments with DAS28(CRP), and assessments of osteitis and synovitis by the RAMRIS method. Infliximab showed greater decrease from baseline in DCE-MRI Ktrans of wrist and MCP at all visits compared with placebo (p &lt;0.001). Statistical analysis was performed to identify genes associated with treatment-specific 14-week change in Ktrans. The 256 genes identified were used to derive a gene signature score by averaging their log expression within each patient. The resulting score correlated with improvement of Ktrans in infliximab-treated patients and with deterioration of Ktrans in placebo-treated subjects. Poor responders showed high expression of activated B-cell genes whereas good responders exhibited a gene expression pattern consistent with mobilization of neutrophils and monocytes and high levels of reticulated platelets. This gene signature was significantly associated with clinical response in two previously published whole blood gene expression studies using anti-TNF therapies. These data provide support for the hypothesis that anti-TNF inadequate responders comprise a distinct molecular subtype of RA characterized by differences in pre-treatment blood mRNA expression."</w:t>
      </w:r>
      <w:r>
        <w:br/>
      </w:r>
      <w:r>
        <w:br/>
      </w:r>
      <w:r>
        <w:t>According to the news editors, the research concluded: "They also highlight the importance of placebo controls and robust, objective endpoints in biomarker discovery."</w:t>
      </w:r>
      <w:r>
        <w:br/>
      </w:r>
      <w:r>
        <w:br/>
      </w:r>
      <w:r>
        <w:t>For more information on this research see: Pre-treatment whole blood gene expression is associated with 14-week response assessed by dynamic contrast enhanced magnetic resonance imaging in infliximab-treated rheumatoid arthritis patients. Plos One, 2014;9(12):e113937. (Public Library of Science - www.plos.org; Plos One - www.plosone.org)</w:t>
      </w:r>
      <w:r>
        <w:br/>
      </w:r>
      <w:r>
        <w:br/>
      </w:r>
      <w:r>
        <w:t>The news correspondents report that additional information may be obtained from K.D. MacIsaac, Merck &amp; Co Inc, Dept. of Genetics and Pharmacogenomics, Boston, Massachusetts, United States. Additional authors for this research include R. Baumgartner, J. Kang, A. Loboda, C. Peterfy, J. DiCarlo, J. Riek and C. Beals.</w:t>
      </w:r>
      <w:r>
        <w:br/>
      </w:r>
      <w:r>
        <w:br/>
      </w:r>
      <w:r>
        <w:t>Keywords for this news article include: Boston, Genetics, Massachusetts, United States, Joint Diseases, Rheumatoid Arthritis, Musculoskeletal Diseases, North and Central America, Autoimmune Diseases and Disorders.</w:t>
      </w:r>
      <w:r>
        <w:br/>
      </w:r>
      <w:r>
        <w:br/>
      </w:r>
      <w:r>
        <w:t>Our reports deliver fact-based news of research and discoveries from around the world. Copyright 2015, NewsRx LLC</w:t>
      </w:r>
    </w:p>
    <w:p xmlns:wp14="http://schemas.microsoft.com/office/word/2010/wordml" w14:paraId="1598B80D" wp14:textId="77777777">
      <w:pPr>
        <w:pStyle w:val="Heading1"/>
      </w:pPr>
      <w:r>
        <w:t>End of Article 16</w:t>
      </w:r>
    </w:p>
    <w:p xmlns:wp14="http://schemas.microsoft.com/office/word/2010/wordml" w14:paraId="45FB0818" wp14:textId="77777777">
      <w:r>
        <w:br w:type="page"/>
      </w:r>
    </w:p>
    <w:p xmlns:wp14="http://schemas.microsoft.com/office/word/2010/wordml" w14:paraId="080DA12C" wp14:textId="77777777">
      <w:pPr>
        <w:pStyle w:val="Heading1"/>
      </w:pPr>
      <w:r>
        <w:t>Start of Article 17</w:t>
      </w:r>
    </w:p>
    <w:p xmlns:wp14="http://schemas.microsoft.com/office/word/2010/wordml" w14:paraId="4C407F31" wp14:textId="77777777">
      <w:pPr>
        <w:pStyle w:val="Heading1"/>
      </w:pPr>
      <w:r>
        <w:t>Document ID DJDN000020150702eb72001pv</w:t>
      </w:r>
    </w:p>
    <w:p xmlns:wp14="http://schemas.microsoft.com/office/word/2010/wordml" w14:paraId="3D459367" wp14:textId="77777777">
      <w:r>
        <w:t>PR Newswire</w:t>
      </w:r>
      <w:r>
        <w:br/>
      </w:r>
      <w:r>
        <w:br/>
      </w:r>
      <w:r>
        <w:t>WASHINGTON, July 2, 2015</w:t>
      </w:r>
      <w:r>
        <w:br/>
      </w:r>
      <w:r>
        <w:br/>
      </w:r>
      <w:r>
        <w:t>WASHINGTON, July 2, 2015 /PRNewswire/ -- Vanda Pharmaceuticals Inc. (Vanda) (NASDAQ: VNDA) today announced that a HETLIOZ(R) patent, number 9,060,995 ('995 patent), is now listed in the U.S. Food and Drug Administration publication Approved Drug Products With Therapeutic Equivalence Evaluations, commonly known as the Orange Book. The '995 patent was issued by the United States Patent and Trademark Office on June 23rd, 2015 and expires in January 2033. Prior to this newly listed '995 patent, the HETLIOZ(R) Orange Book listed patents were the U.S. composition of matter '529 patent and the '492 patent, expected to expire in December 2022 (assuming receipt of the five year patent term extension under the Hatch-Waxman Act) and January 2033, respectively.</w:t>
      </w:r>
      <w:r>
        <w:br/>
      </w:r>
      <w:r>
        <w:br/>
      </w:r>
      <w:r>
        <w:t>About Vanda Pharmaceuticals Inc.</w:t>
      </w:r>
      <w:r>
        <w:br/>
      </w:r>
      <w:r>
        <w:br/>
      </w:r>
      <w:r>
        <w:t>Vanda Pharmaceuticals Inc. is a biopharmaceutical company focused on the development and commercialization of products for the treatment of central nervous system disorders. For more on Vanda, please visit www.vandapharma.com.</w:t>
      </w:r>
      <w:r>
        <w:br/>
      </w:r>
      <w:r>
        <w:br/>
      </w:r>
      <w:r>
        <w:t>CAUTIONARY NOTE REGARDING FORWARD LOOKING STATEMENTS</w:t>
      </w:r>
      <w:r>
        <w:br/>
      </w:r>
      <w:r>
        <w:br/>
      </w:r>
      <w:r>
        <w:t>Various statements in this release are "forward-looking statements" under the securities laws. Forward-looking statements are based upon current expectations that involve risks, changes in circumstances, assumptions and uncertainties. Important factors that could cause actual results to differ materially from those reflected in Vanda's forward-looking statements include, among others, Vanda's assumptions regarding the life of the HETLIOZ(R) patents and other factors that are described in the "Risk Factors" and "Management's Discussion and Analysis of Financial Condition and Results of Operations" sections of Vanda's annual report on Form 10-K for the fiscal year ended December 31, 2014 and quarterly report on Form 10-Q for the quarter ended March 31, 2015, which are on file with the SEC and available on the SEC's website at www.sec.gov. In addition to the risks described above and in Vanda's annual report on Form 10-K and quarterly reports on Form 10-Q, other unknown or unpredictable factors also could affect Vanda's results. There can be no assurance that the actual results or developments anticipated by Vanda will be realized or, even if substantially realized, that they will have the expected consequences to, or effects on, Vanda. Therefore, no assurance can be given that the outcomes stated in such forward-looking statements and estimates will be achieved.</w:t>
      </w:r>
      <w:r>
        <w:br/>
      </w:r>
      <w:r>
        <w:br/>
      </w:r>
      <w:r>
        <w:t>Corporate Contact:</w:t>
      </w:r>
      <w:r>
        <w:br/>
      </w:r>
      <w:r>
        <w:br/>
      </w:r>
      <w:r>
        <w:t>Jim Kelly</w:t>
      </w:r>
      <w:r>
        <w:br/>
      </w:r>
      <w:r>
        <w:br/>
      </w:r>
      <w:r>
        <w:t>Senior Vice President and Chief Financial Officer</w:t>
      </w:r>
      <w:r>
        <w:br/>
      </w:r>
      <w:r>
        <w:br/>
      </w:r>
      <w:r>
        <w:t>Vanda Pharmaceuticals Inc.</w:t>
      </w:r>
      <w:r>
        <w:br/>
      </w:r>
      <w:r>
        <w:br/>
      </w:r>
      <w:r>
        <w:t>(202) 734-3428</w:t>
      </w:r>
      <w:r>
        <w:br/>
      </w:r>
      <w:r>
        <w:br/>
      </w:r>
      <w:r>
        <w:t>jim.kelly@vandapharma.com</w:t>
      </w:r>
      <w:r>
        <w:br/>
      </w:r>
      <w:r>
        <w:br/>
      </w:r>
      <w:r>
        <w:t>Media Contact:</w:t>
      </w:r>
      <w:r>
        <w:br/>
      </w:r>
      <w:r>
        <w:br/>
      </w:r>
      <w:r>
        <w:t>Laney Landsman</w:t>
      </w:r>
      <w:r>
        <w:br/>
      </w:r>
      <w:r>
        <w:br/>
      </w:r>
      <w:r>
        <w:t>Vice President</w:t>
      </w:r>
      <w:r>
        <w:br/>
      </w:r>
      <w:r>
        <w:br/>
      </w:r>
      <w:r>
        <w:t>Makovsky</w:t>
      </w:r>
      <w:r>
        <w:br/>
      </w:r>
      <w:r>
        <w:br/>
      </w:r>
      <w:r>
        <w:t>(212) 508-9643</w:t>
      </w:r>
      <w:r>
        <w:br/>
      </w:r>
      <w:r>
        <w:br/>
      </w:r>
      <w:r>
        <w:t>llandsman@makovsky.com</w:t>
      </w:r>
      <w:r>
        <w:br/>
      </w:r>
      <w:r>
        <w:br/>
      </w:r>
      <w:r>
        <w:t>To view the original version on PR Newswire, visit:http://www.prnewswire.com/news-releases/vanda-announces-listing-of-a-new-hetlioz-patent-in-the-fda-orange-book-300108112.html</w:t>
      </w:r>
      <w:r>
        <w:br/>
      </w:r>
      <w:r>
        <w:br/>
      </w:r>
      <w:r>
        <w:t>SOURCE Vanda Pharmaceuticals Inc.</w:t>
      </w:r>
      <w:r>
        <w:br/>
      </w:r>
      <w:r>
        <w:br/>
      </w:r>
      <w:r>
        <w:t>/Web site: http://www.vandapharma.com</w:t>
      </w:r>
      <w:r>
        <w:br/>
      </w:r>
      <w:r>
        <w:br/>
      </w:r>
      <w:r>
        <w:t>(END) Dow Jones Newswires</w:t>
      </w:r>
      <w:r>
        <w:br/>
      </w:r>
      <w:r>
        <w:br/>
      </w:r>
      <w:r>
        <w:t>July 02, 2015 09:00 ET (13:00 GMT)</w:t>
      </w:r>
    </w:p>
    <w:p xmlns:wp14="http://schemas.microsoft.com/office/word/2010/wordml" w14:paraId="27A8C906" wp14:textId="77777777">
      <w:pPr>
        <w:pStyle w:val="Heading1"/>
      </w:pPr>
      <w:r>
        <w:t>End of Article 17</w:t>
      </w:r>
    </w:p>
    <w:p xmlns:wp14="http://schemas.microsoft.com/office/word/2010/wordml" w14:paraId="049F31CB" wp14:textId="77777777">
      <w:r>
        <w:br w:type="page"/>
      </w:r>
    </w:p>
    <w:p xmlns:wp14="http://schemas.microsoft.com/office/word/2010/wordml" w14:paraId="35676AA4" wp14:textId="77777777">
      <w:pPr>
        <w:pStyle w:val="Heading1"/>
      </w:pPr>
      <w:r>
        <w:t>Start of Article 18</w:t>
      </w:r>
    </w:p>
    <w:p xmlns:wp14="http://schemas.microsoft.com/office/word/2010/wordml" w14:paraId="262739AB" wp14:textId="77777777">
      <w:pPr>
        <w:pStyle w:val="Heading1"/>
      </w:pPr>
      <w:r>
        <w:t>Document ID DJDN000020151209ebc9002np</w:t>
      </w:r>
    </w:p>
    <w:p xmlns:wp14="http://schemas.microsoft.com/office/word/2010/wordml" w14:paraId="5FD84F50" wp14:textId="77777777">
      <w:r>
        <w:br/>
      </w:r>
      <w:r>
        <w:t xml:space="preserve">PARIS--(BUSINESS WIRE)--December 09, 2015-- </w:t>
      </w:r>
      <w:r>
        <w:br/>
      </w:r>
      <w:r>
        <w:br/>
      </w:r>
      <w:r>
        <w:t>Regulatory News:</w:t>
      </w:r>
      <w:r>
        <w:br/>
      </w:r>
      <w:r>
        <w:br/>
      </w:r>
      <w:r>
        <w:t>EOS imaging (Paris:EOSI) (Euronext, FR0011191766 -- EOSI), the pioneer in 2D/3D orthopedic medical imaging, announced today its commercial and organizational expansion to support the momentum of installations in adult and pediatric hospitals in the United States.</w:t>
      </w:r>
      <w:r>
        <w:br/>
      </w:r>
      <w:r>
        <w:br/>
      </w:r>
      <w:r>
        <w:t>EOS imaging's technical support team, reinforced and led by a newly appointed manager, will focus on supporting the existing 47 EOS(R) systems in the US market as well as the upcoming and 2016 new installations.</w:t>
      </w:r>
      <w:r>
        <w:br/>
      </w:r>
      <w:r>
        <w:br/>
      </w:r>
      <w:r>
        <w:t>The six last installations bring the US installed base to 47, with 7 additional platforms shipped and pending installation.</w:t>
      </w:r>
      <w:r>
        <w:br/>
      </w:r>
      <w:r>
        <w:br/>
      </w:r>
      <w:r>
        <w:t>Centers that focus exclusively on pediatrics make up 60% of the current installed base and include 9 of the top 10 pediatric hospitals. The remaining 40% are in hospitals focusing on the adult population including 4 of the top 10 hospitals for adult orthopedics. EOS(R) systems are installed in hospitals of all sizes including those with 300 beds or less which currently represent 35% of the EOS(R) installations. There is also momentum to acquire additional systems, as was the case at 6 US hospitals already, to broaden EOS(R) usage and turn it into internal orthopedic imaging standards across all departments and sites.</w:t>
      </w:r>
      <w:r>
        <w:br/>
      </w:r>
      <w:r>
        <w:br/>
      </w:r>
      <w:r>
        <w:t>Marie Meynadier, CEO of EOS imaging said, "The record number of installations was made possible thanks to the organizational investments we have made to support the strong momentum in the United States. The extreme reduction of irradiation with the EOS(R) Micro Dose option is a must have in pediatric orthopedic imaging. The dose reduction and the launch of EOSapps for examination and surgical planning also reinforce EOS(R) as a standard of care for adult orthopedic imaging. We look forward to rapidly growing our customer base and increasing the sites with multiple systems as the value of our solution is recognized."</w:t>
      </w:r>
      <w:r>
        <w:br/>
      </w:r>
      <w:r>
        <w:br/>
      </w:r>
      <w:r>
        <w:t>The EOS(R) platform provides 2D and 3D full-body, stereo-radiographic images of patients in functional positions. EOS exams require a radiation dose 50% to 85% less than Digital Radiology and 95% less than basic CT scans. The new EOS(R) Micro Dose system, recently cleared by the Food and Drug Administration, marks another important step towards the ALARA principle (As Low As Reasonably Available). This latest technology has made the dose for a pediatric spine follow-up exam equivalent to a week of natural background radiation on Earth.</w:t>
      </w:r>
      <w:r>
        <w:br/>
      </w:r>
      <w:r>
        <w:br/>
      </w:r>
      <w:r>
        <w:t>For more information, please visit www.eos-imaging.com.</w:t>
      </w:r>
      <w:r>
        <w:br/>
      </w:r>
      <w:r>
        <w:br/>
      </w:r>
      <w:r>
        <w:t>EOS imaging has been chosen to be included in the new EnterNext(c) PEA-PME 150 index, composed of 150 French companies and listed on Euronext and Alternext markets in Paris.</w:t>
      </w:r>
      <w:r>
        <w:br/>
      </w:r>
      <w:r>
        <w:br/>
      </w:r>
      <w:r>
        <w:t>EOS imaging is listed on Compartment C of Euronext Paris</w:t>
      </w:r>
      <w:r>
        <w:br/>
      </w:r>
      <w:r>
        <w:br/>
      </w:r>
      <w:r>
        <w:t>ISIN: FR0011191766 -- Ticker: EOSI</w:t>
      </w:r>
      <w:r>
        <w:br/>
      </w:r>
      <w:r>
        <w:br/>
      </w:r>
      <w:r>
        <w:t>About EOS imaging</w:t>
      </w:r>
      <w:r>
        <w:br/>
      </w:r>
      <w:r>
        <w:br/>
      </w:r>
      <w:r>
        <w:t>EOS imaging designs, develops, and markets EOS(R) , an innovative medical imaging system dedicated to osteoarticular pathologies and orthopaedics, as well as associated solutions. The Company is authorized to market in 48 countries, including the United States (FDA), Japan and the European Union (EC). The Group posted 2014 revenues of EUR20.1 million and employs 107 people including an R&amp;D team of 39 engineers. The Group is based in Paris and has five subsidiaries in Besançon (France), Cambridge (Massachusetts), Montreal (Canada), Frankfurt (Germany) and Singapore.</w:t>
      </w:r>
      <w:r>
        <w:br/>
      </w:r>
      <w:r>
        <w:br/>
      </w:r>
      <w:r>
        <w:t xml:space="preserve">View source version on businesswire.com: http://www.businesswire.com/news/home/20151209006194/en/ </w:t>
      </w:r>
      <w:r>
        <w:br/>
      </w:r>
      <w:r>
        <w:br/>
      </w:r>
      <w:r>
        <w:br/>
      </w:r>
      <w:r>
        <w:t xml:space="preserve"> </w:t>
      </w:r>
      <w:r>
        <w:br/>
      </w:r>
      <w:r>
        <w:t xml:space="preserve">    CONTACT:    EOS imaging </w:t>
      </w:r>
      <w:r>
        <w:br/>
      </w:r>
      <w:r>
        <w:br/>
      </w:r>
      <w:r>
        <w:t>Anne Renevot, +33 (0)1 55 25 61 24</w:t>
      </w:r>
      <w:r>
        <w:br/>
      </w:r>
      <w:r>
        <w:br/>
      </w:r>
      <w:r>
        <w:t>CFO</w:t>
      </w:r>
      <w:r>
        <w:br/>
      </w:r>
      <w:r>
        <w:br/>
      </w:r>
      <w:r>
        <w:t>investors@eos-imaging.com</w:t>
      </w:r>
      <w:r>
        <w:br/>
      </w:r>
      <w:r>
        <w:br/>
      </w:r>
      <w:r>
        <w:t>or</w:t>
      </w:r>
      <w:r>
        <w:br/>
      </w:r>
      <w:r>
        <w:br/>
      </w:r>
      <w:r>
        <w:t>NewCap</w:t>
      </w:r>
      <w:r>
        <w:br/>
      </w:r>
      <w:r>
        <w:br/>
      </w:r>
      <w:r>
        <w:t>Financial communication and investor relations</w:t>
      </w:r>
      <w:r>
        <w:br/>
      </w:r>
      <w:r>
        <w:br/>
      </w:r>
      <w:r>
        <w:t>Pierre Laurent, +33 (0)1 44 71 94 91</w:t>
      </w:r>
      <w:r>
        <w:br/>
      </w:r>
      <w:r>
        <w:br/>
      </w:r>
      <w:r>
        <w:t>eosimaging@newcap.fr</w:t>
      </w:r>
      <w:r>
        <w:br/>
      </w:r>
      <w:r>
        <w:br/>
      </w:r>
      <w:r>
        <w:t>or</w:t>
      </w:r>
      <w:r>
        <w:br/>
      </w:r>
      <w:r>
        <w:br/>
      </w:r>
      <w:r>
        <w:t>The Ruth Group (US)</w:t>
      </w:r>
      <w:r>
        <w:br/>
      </w:r>
      <w:r>
        <w:br/>
      </w:r>
      <w:r>
        <w:t>Press relations</w:t>
      </w:r>
      <w:r>
        <w:br/>
      </w:r>
      <w:r>
        <w:br/>
      </w:r>
      <w:r>
        <w:t>Joanna Zimmerman, 646-536-7006</w:t>
      </w:r>
      <w:r>
        <w:br/>
      </w:r>
      <w:r>
        <w:br/>
      </w:r>
      <w:r>
        <w:t>jzimmerman@theruthgroup.com</w:t>
      </w:r>
      <w:r>
        <w:br/>
      </w:r>
      <w:r>
        <w:br/>
      </w:r>
      <w:r>
        <w:t>(END) Dow Jones Newswires</w:t>
      </w:r>
      <w:r>
        <w:br/>
      </w:r>
      <w:r>
        <w:br/>
      </w:r>
      <w:r>
        <w:t>December 09, 2015 12:18 ET (17:18 GMT)</w:t>
      </w:r>
    </w:p>
    <w:p xmlns:wp14="http://schemas.microsoft.com/office/word/2010/wordml" w14:paraId="1CAA193A" wp14:textId="77777777">
      <w:pPr>
        <w:pStyle w:val="Heading1"/>
      </w:pPr>
      <w:r>
        <w:t>End of Article 18</w:t>
      </w:r>
    </w:p>
    <w:p xmlns:wp14="http://schemas.microsoft.com/office/word/2010/wordml" w14:paraId="53128261" wp14:textId="77777777">
      <w:r>
        <w:br w:type="page"/>
      </w:r>
    </w:p>
    <w:p xmlns:wp14="http://schemas.microsoft.com/office/word/2010/wordml" w14:paraId="07DDDC5C" wp14:textId="77777777">
      <w:pPr>
        <w:pStyle w:val="Heading1"/>
      </w:pPr>
      <w:r>
        <w:t>Start of Article 19</w:t>
      </w:r>
    </w:p>
    <w:p xmlns:wp14="http://schemas.microsoft.com/office/word/2010/wordml" w14:paraId="5683B9BF" wp14:textId="77777777">
      <w:pPr>
        <w:pStyle w:val="Heading1"/>
      </w:pPr>
      <w:r>
        <w:t>Document ID SAUDPA0020150604eb63000e1</w:t>
      </w:r>
    </w:p>
    <w:p xmlns:wp14="http://schemas.microsoft.com/office/word/2010/wordml" w14:paraId="2066E1AB" wp14:textId="77777777">
      <w:r>
        <w:t>- Abbott- Agilent Technologies- Beckman Coulter/Danaher- Becton Dickinson- Bio-Rad- Biocode- CellaVision- Diesse Ves Matic- Drew-Scientific- Horiba- Iris- Menarini- Nihon Kohden- Ortho-Clinical Diagnostics- Polymedco- Roche- Siemens- Sysmex For more information visit http://www.researchandmarkets.com/research/sq325j/2015_strategies</w:t>
      </w:r>
      <w:r>
        <w:br/>
      </w:r>
      <w:r>
        <w:br/>
      </w:r>
      <w:r>
        <w:t>CONTACT: Research and Markets</w:t>
      </w:r>
      <w:r>
        <w:br/>
      </w:r>
      <w:r>
        <w:br/>
      </w:r>
      <w:r>
        <w:t>Laura Wood, Senior Manager</w:t>
      </w:r>
      <w:r>
        <w:br/>
      </w:r>
      <w:r>
        <w:br/>
      </w:r>
      <w:r>
        <w:t>press@researchandmarkets.com</w:t>
      </w:r>
      <w:r>
        <w:br/>
      </w:r>
      <w:r>
        <w:br/>
      </w:r>
      <w:r>
        <w:t>For E.S.T Office Hours Call 1-917-300-0470</w:t>
      </w:r>
      <w:r>
        <w:br/>
      </w:r>
      <w:r>
        <w:br/>
      </w:r>
      <w:r>
        <w:t>For U.S./CAN Toll Free Call 1-800-526-8630</w:t>
      </w:r>
      <w:r>
        <w:br/>
      </w:r>
      <w:r>
        <w:br/>
      </w:r>
      <w:r>
        <w:t>For GMT Office Hours Call +353-1-416-8900</w:t>
      </w:r>
      <w:r>
        <w:br/>
      </w:r>
      <w:r>
        <w:br/>
      </w:r>
      <w:r>
        <w:t>U.S. Fax: 646-607-1907</w:t>
      </w:r>
      <w:r>
        <w:br/>
      </w:r>
      <w:r>
        <w:br/>
      </w:r>
      <w:r>
        <w:t>Fax (outside U.S.): +353-1-481-1716</w:t>
      </w:r>
      <w:r>
        <w:br/>
      </w:r>
      <w:r>
        <w:br/>
      </w:r>
      <w:r>
        <w:t>Sector: In Vitro Diagnostics</w:t>
      </w:r>
      <w:r>
        <w:br/>
      </w:r>
      <w:r>
        <w:br/>
      </w:r>
      <w:r>
        <w:t>For the original version on GlobeNewswire visit: http://globenewswire.com/news-release/2015/06/02/741451/0/en/United-States-Strategies-in-the-US-Point-of-Care-POC-Hematology-and-Flow-Cytometry-Markets-2015.htmlAll Rights Reversed for Saudi Press Agency Provided by SyndiGate Media Inc. (Syndigate.info</w:t>
      </w:r>
    </w:p>
    <w:p xmlns:wp14="http://schemas.microsoft.com/office/word/2010/wordml" w14:paraId="33BA6BBB" wp14:textId="77777777">
      <w:pPr>
        <w:pStyle w:val="Heading1"/>
      </w:pPr>
      <w:r>
        <w:t>End of Article 19</w:t>
      </w:r>
    </w:p>
    <w:p xmlns:wp14="http://schemas.microsoft.com/office/word/2010/wordml" w14:paraId="62486C05" wp14:textId="77777777">
      <w:r>
        <w:br w:type="page"/>
      </w:r>
    </w:p>
    <w:p xmlns:wp14="http://schemas.microsoft.com/office/word/2010/wordml" w14:paraId="5ABD0470" wp14:textId="77777777">
      <w:pPr>
        <w:pStyle w:val="Heading1"/>
      </w:pPr>
      <w:r>
        <w:t>Start of Article 20</w:t>
      </w:r>
    </w:p>
    <w:p xmlns:wp14="http://schemas.microsoft.com/office/word/2010/wordml" w14:paraId="0237BD70" wp14:textId="77777777">
      <w:pPr>
        <w:pStyle w:val="Heading1"/>
      </w:pPr>
      <w:r>
        <w:t>Document ID LBA0000020150720eb7k00jll</w:t>
      </w:r>
    </w:p>
    <w:p xmlns:wp14="http://schemas.microsoft.com/office/word/2010/wordml" w14:paraId="31C5E424" wp14:textId="77777777">
      <w:r>
        <w:t>** SUNEDISON INC, $32.79, +3.90 pct</w:t>
      </w:r>
      <w:r>
        <w:br/>
      </w:r>
      <w:r>
        <w:br/>
      </w:r>
      <w:r>
        <w:t>** SOLARCITY CORP, $55.4799, +6.39 pct</w:t>
      </w:r>
      <w:r>
        <w:br/>
      </w:r>
      <w:r>
        <w:br/>
      </w:r>
      <w:r>
        <w:t>The solar company said it would buy Vivint Solar Inc in a deal valued at about $2.2 billion, including debt, to expand in the residential and commercial solar power business.</w:t>
      </w:r>
      <w:r>
        <w:br/>
      </w:r>
      <w:r>
        <w:br/>
      </w:r>
      <w:r>
        <w:t>Raymond James analyst Pavel Molchanov said "the theoretical value of SCTY stock would be close to $100/share", extrapolating from this deal valuation.</w:t>
      </w:r>
      <w:r>
        <w:br/>
      </w:r>
      <w:r>
        <w:br/>
      </w:r>
      <w:r>
        <w:t>** EXELIXIS INC, $5.505, +40.79 pct</w:t>
      </w:r>
      <w:r>
        <w:br/>
      </w:r>
      <w:r>
        <w:br/>
      </w:r>
      <w:r>
        <w:t>The drugmaker says its cancer drug, cabozantinib, reduced risk of disease progression by 42 pct in a late-stage study in kidney cancer patients. The company said it would file for marketing approval to treat kidney cancer in early 2016.</w:t>
      </w:r>
      <w:r>
        <w:br/>
      </w:r>
      <w:r>
        <w:br/>
      </w:r>
      <w:r>
        <w:t>** LENNOX INTERNATIONAL INC, $116.99, +8.74 pct</w:t>
      </w:r>
      <w:r>
        <w:br/>
      </w:r>
      <w:r>
        <w:br/>
      </w:r>
      <w:r>
        <w:t>The climate control equipment reported better-than-expected revenue, including negative forex impact and margin expansion at its residential, commercial heating and cooling and refrigeration businesses.</w:t>
      </w:r>
      <w:r>
        <w:br/>
      </w:r>
      <w:r>
        <w:br/>
      </w:r>
      <w:r>
        <w:t>** SWIFT ENERGY CO, $0.7181, -6.14 pct</w:t>
      </w:r>
      <w:r>
        <w:br/>
      </w:r>
      <w:r>
        <w:br/>
      </w:r>
      <w:r>
        <w:t>** LINNCO LLC, $6.515, -10.75 pct</w:t>
      </w:r>
      <w:r>
        <w:br/>
      </w:r>
      <w:r>
        <w:br/>
      </w:r>
      <w:r>
        <w:t>** LINN ENERGY LLC, $6.3135, -9.29 pct</w:t>
      </w:r>
      <w:r>
        <w:br/>
      </w:r>
      <w:r>
        <w:br/>
      </w:r>
      <w:r>
        <w:t>** SEVENTY SEVEN ENERGY INC, $3, -5.96 pct</w:t>
      </w:r>
      <w:r>
        <w:br/>
      </w:r>
      <w:r>
        <w:br/>
      </w:r>
      <w:r>
        <w:t>** BREITBURN ENERGY PARTNERS LP, $3.12, -6.87 pct</w:t>
      </w:r>
      <w:r>
        <w:br/>
      </w:r>
      <w:r>
        <w:br/>
      </w:r>
      <w:r>
        <w:t>Oil and gas companies' shares were down after oil prices fell on Monday as signs of growing glut in refined products outweigh fall in Saudi crude exports and slower U.S. rig activity.</w:t>
      </w:r>
      <w:r>
        <w:br/>
      </w:r>
      <w:r>
        <w:br/>
      </w:r>
      <w:r>
        <w:t>** PAYPAL HOLDINGS INC, $40.5499, +5.63 pct</w:t>
      </w:r>
      <w:r>
        <w:br/>
      </w:r>
      <w:r>
        <w:br/>
      </w:r>
      <w:r>
        <w:t>** EBAY INC, $28.495, +2.13 pct</w:t>
      </w:r>
      <w:r>
        <w:br/>
      </w:r>
      <w:r>
        <w:br/>
      </w:r>
      <w:r>
        <w:t>PayPal shares jumped as much as 11 percent in their highly anticipated return to the Nasdaq on Monday, valuing the company at about $52 billion.</w:t>
      </w:r>
      <w:r>
        <w:br/>
      </w:r>
      <w:r>
        <w:br/>
      </w:r>
      <w:r>
        <w:t>JP Morgan, BMO Capital Markets, SunTrust Robinson and Baird started coverage of PayPal, spun off from eBay, with their top ratings.</w:t>
      </w:r>
      <w:r>
        <w:br/>
      </w:r>
      <w:r>
        <w:br/>
      </w:r>
      <w:r>
        <w:t>** NEWMONT MINING, $18.86, -8.84 pct</w:t>
      </w:r>
      <w:r>
        <w:br/>
      </w:r>
      <w:r>
        <w:br/>
      </w:r>
      <w:r>
        <w:t>** BARRICK GOLD, $52.5575, -7.55 pct</w:t>
      </w:r>
      <w:r>
        <w:br/>
      </w:r>
      <w:r>
        <w:br/>
      </w:r>
      <w:r>
        <w:t>Shares of gold miners fell sharply on Monday as the commodity hit its lowest level since March 2010 after as sellers in top consumer China offloaded the metal.</w:t>
      </w:r>
      <w:r>
        <w:br/>
      </w:r>
      <w:r>
        <w:br/>
      </w:r>
      <w:r>
        <w:t>** HASBRO INC, $83.22, +6.35 pct</w:t>
      </w:r>
      <w:r>
        <w:br/>
      </w:r>
      <w:r>
        <w:br/>
      </w:r>
      <w:r>
        <w:t>The U.S. toymaker reported a lower-than-expected decline in quarterly revenue, helped by strong demand for its "Jurassic World"- and "Star Wars"-themed toys.</w:t>
      </w:r>
      <w:r>
        <w:br/>
      </w:r>
      <w:r>
        <w:br/>
      </w:r>
      <w:r>
        <w:t>** CEMPRA INC, $44.39, +5.54 pct</w:t>
      </w:r>
      <w:r>
        <w:br/>
      </w:r>
      <w:r>
        <w:br/>
      </w:r>
      <w:r>
        <w:t>Roth capital analysts said the company's solithromycin is positioned to eclipse a widely-used class of antibiotics to treat COPD, a breathing disorder, though Cempra is not testing it for the condition.</w:t>
      </w:r>
      <w:r>
        <w:br/>
      </w:r>
      <w:r>
        <w:br/>
      </w:r>
      <w:r>
        <w:t>** HORIZON PHARMA PLC, $38.86, +4.80 pct</w:t>
      </w:r>
      <w:r>
        <w:br/>
      </w:r>
      <w:r>
        <w:br/>
      </w:r>
      <w:r>
        <w:t>The Irish drugmaker sees net sales of $170 million-$172 million for the second quarter and also raised full-year net sales forecast to $660 mln-$680 mln, compared with analysts' estimates of $611.60 million.</w:t>
      </w:r>
      <w:r>
        <w:br/>
      </w:r>
      <w:r>
        <w:br/>
      </w:r>
      <w:r>
        <w:t>** EPIZYME INC, $22.22, -9.05 pct</w:t>
      </w:r>
      <w:r>
        <w:br/>
      </w:r>
      <w:r>
        <w:br/>
      </w:r>
      <w:r>
        <w:t>Analysts at H.C. Wainwright &amp; Co downgrades drug developer's stock to "neutral" and slashes price target by more than half to $22 from $45. They expect Epizyme shares to "stay caught in choppy waters" possibly until availability of data from a mid-stage study of its treatment for lymphatic cancer next year.</w:t>
      </w:r>
      <w:r>
        <w:br/>
      </w:r>
      <w:r>
        <w:br/>
      </w:r>
      <w:r>
        <w:t>** CAL-MAINE FOODS INC, $49.435, -8.27 pct</w:t>
      </w:r>
      <w:r>
        <w:br/>
      </w:r>
      <w:r>
        <w:br/>
      </w:r>
      <w:r>
        <w:t>The egg producer's sales and profit for the fourth quarter missed estimates.</w:t>
      </w:r>
      <w:r>
        <w:br/>
      </w:r>
      <w:r>
        <w:br/>
      </w:r>
      <w:r>
        <w:t>** CONSOL ENERGY, $16.71, -2.91 pct</w:t>
      </w:r>
      <w:r>
        <w:br/>
      </w:r>
      <w:r>
        <w:br/>
      </w:r>
      <w:r>
        <w:t>The Coal and gas producer expects to report a loss for the second quarter compared with analyst' expectations for a profit, mainly due to lower commodity prices.</w:t>
      </w:r>
      <w:r>
        <w:br/>
      </w:r>
      <w:r>
        <w:br/>
      </w:r>
      <w:r>
        <w:t>** HALLIBURTON CO, $40.79, +2.00 pct</w:t>
      </w:r>
      <w:r>
        <w:br/>
      </w:r>
      <w:r>
        <w:br/>
      </w:r>
      <w:r>
        <w:t>The world's No.2 oilfield services provider, reported a better-than-expected quarterly profit as costs cuts helped offset the impact of a steep drop in drilling activity. The company also said it was "fully committed" to completing its takeover of smaller rival Baker Hughes Inc, after the U.S. Department of Justice extended its review of the deal. (Compiled by Rosmi Shaji in Bengaluru; Edited by Don Sebastian)</w:t>
      </w:r>
    </w:p>
    <w:p xmlns:wp14="http://schemas.microsoft.com/office/word/2010/wordml" w14:paraId="75DF0169" wp14:textId="77777777">
      <w:pPr>
        <w:pStyle w:val="Heading1"/>
      </w:pPr>
      <w:r>
        <w:t>End of Article 20</w:t>
      </w:r>
    </w:p>
    <w:p xmlns:wp14="http://schemas.microsoft.com/office/word/2010/wordml" w14:paraId="4101652C" wp14:textId="77777777">
      <w:r>
        <w:br w:type="page"/>
      </w:r>
    </w:p>
    <w:p xmlns:wp14="http://schemas.microsoft.com/office/word/2010/wordml" w14:paraId="6A7A9B8C" wp14:textId="77777777">
      <w:pPr>
        <w:pStyle w:val="Heading1"/>
      </w:pPr>
      <w:r>
        <w:t>Start of Article 21</w:t>
      </w:r>
    </w:p>
    <w:p xmlns:wp14="http://schemas.microsoft.com/office/word/2010/wordml" w14:paraId="72E5118B" wp14:textId="77777777">
      <w:pPr>
        <w:pStyle w:val="Heading1"/>
      </w:pPr>
      <w:r>
        <w:t>Document ID DJDN000020150305eb35002ui</w:t>
      </w:r>
    </w:p>
    <w:p xmlns:wp14="http://schemas.microsoft.com/office/word/2010/wordml" w14:paraId="75449D8A" wp14:textId="77777777">
      <w:r>
        <w:t>March 05, 2015 11:41 ET (16:41 GMT)</w:t>
      </w:r>
    </w:p>
    <w:p xmlns:wp14="http://schemas.microsoft.com/office/word/2010/wordml" w14:paraId="4DF1E517" wp14:textId="77777777">
      <w:pPr>
        <w:pStyle w:val="Heading1"/>
      </w:pPr>
      <w:r>
        <w:t>End of Article 21</w:t>
      </w:r>
    </w:p>
    <w:p xmlns:wp14="http://schemas.microsoft.com/office/word/2010/wordml" w14:paraId="4B99056E" wp14:textId="77777777">
      <w:r>
        <w:br w:type="page"/>
      </w:r>
    </w:p>
    <w:p xmlns:wp14="http://schemas.microsoft.com/office/word/2010/wordml" w14:paraId="7079CD0E" wp14:textId="77777777">
      <w:pPr>
        <w:pStyle w:val="Heading1"/>
      </w:pPr>
      <w:r>
        <w:t>Start of Article 22</w:t>
      </w:r>
    </w:p>
    <w:p xmlns:wp14="http://schemas.microsoft.com/office/word/2010/wordml" w14:paraId="76286C4F" wp14:textId="77777777">
      <w:pPr>
        <w:pStyle w:val="Heading1"/>
      </w:pPr>
      <w:r>
        <w:t>Document ID ATPHAM0020151120ebbj000ec</w:t>
      </w:r>
    </w:p>
    <w:p xmlns:wp14="http://schemas.microsoft.com/office/word/2010/wordml" w14:paraId="717B8C55" wp14:textId="77777777">
      <w:r>
        <w:t>Source: Revance Therapeutics</w:t>
      </w:r>
    </w:p>
    <w:p xmlns:wp14="http://schemas.microsoft.com/office/word/2010/wordml" w14:paraId="176727E4" wp14:textId="77777777">
      <w:pPr>
        <w:pStyle w:val="Heading1"/>
      </w:pPr>
      <w:r>
        <w:t>End of Article 22</w:t>
      </w:r>
    </w:p>
    <w:p xmlns:wp14="http://schemas.microsoft.com/office/word/2010/wordml" w14:paraId="1299C43A" wp14:textId="77777777">
      <w:r>
        <w:br w:type="page"/>
      </w:r>
    </w:p>
    <w:p xmlns:wp14="http://schemas.microsoft.com/office/word/2010/wordml" w14:paraId="38D0FAF8" wp14:textId="77777777">
      <w:pPr>
        <w:pStyle w:val="Heading1"/>
      </w:pPr>
      <w:r>
        <w:t>Start of Article 23</w:t>
      </w:r>
    </w:p>
    <w:p xmlns:wp14="http://schemas.microsoft.com/office/word/2010/wordml" w14:paraId="1CD486C0" wp14:textId="77777777">
      <w:pPr>
        <w:pStyle w:val="Heading1"/>
      </w:pPr>
      <w:r>
        <w:t>Document ID MTEU000020151001eb9u0002t</w:t>
      </w:r>
    </w:p>
    <w:p xmlns:wp14="http://schemas.microsoft.com/office/word/2010/wordml" w14:paraId="1FF2E21D" wp14:textId="77777777">
      <w:r>
        <w:t>William A. Gray, MD, director of endovascular services, at Columbia University Hospital, is providing study leadership as the national principal investigator.</w:t>
      </w:r>
      <w:r>
        <w:br/>
      </w:r>
      <w:r>
        <w:br/>
      </w:r>
      <w:r>
        <w:t>The TOBA II study is designed to enroll 210 subjects at 30-40 sites in the United States and Europe. All study subjects need to be suffering from advanced peripheral artery disease in one or both legs.</w:t>
      </w:r>
      <w:r>
        <w:br/>
      </w:r>
      <w:r>
        <w:br/>
      </w:r>
      <w:r>
        <w:t>They will be treated with the Tack Endovascular System following standard balloon angioplasty or drug-coated balloon angioplasty in the superficial femoral and proximal popliteal arteries when a dissection (a tear in the artery wall) occurs (seewwwBA-II.comfor details).</w:t>
      </w:r>
      <w:r>
        <w:br/>
      </w:r>
      <w:r>
        <w:br/>
      </w:r>
      <w:r>
        <w:t>The Tack Endovascular System is a new technology designed to repair dissections that frequently occur as a complication of balloon angioplasty. Published literature reports up to 88%1of angioplasty procedures have dissections.</w:t>
      </w:r>
      <w:r>
        <w:br/>
      </w:r>
      <w:r>
        <w:br/>
      </w:r>
      <w:r>
        <w:t>Earlier this year, promising 12-month results from the company’s European TOBA study were presented2at a major vascular conference in Germany and demonstrated the potential of the Tack implant for improving arterial healing following angioplasty.</w:t>
      </w:r>
      <w:r>
        <w:br/>
      </w:r>
      <w:r>
        <w:br/>
      </w:r>
      <w:r>
        <w:t>The system allows physicians to repair dissections while leaving a minimal amount of foreign material in the artery, reducing mechanical stress on the artery, and preserving future treatment options.</w:t>
      </w:r>
      <w:r>
        <w:br/>
      </w:r>
      <w:r>
        <w:br/>
      </w:r>
      <w:r>
        <w:t>Intact Vascular is a privately held medical device company that develops minimally invasive peripheral vascular products. The Tack Endovascular System is designed to optimize peripheral balloon angioplasty results in the treatment of peripheral arterial disease.</w:t>
      </w:r>
      <w:r>
        <w:br/>
      </w:r>
      <w:r>
        <w:br/>
      </w:r>
      <w:r>
        <w:t>The Tack Endovascular System is CE Mark Authorized under EC Directive 93/42/EEC.</w:t>
      </w:r>
      <w:r>
        <w:br/>
      </w:r>
      <w:r>
        <w:br/>
      </w:r>
      <w:r>
        <w:t>Not Available for Sale in the United States.</w:t>
      </w:r>
      <w:r>
        <w:br/>
      </w:r>
      <w:r>
        <w:br/>
      </w:r>
      <w:r>
        <w:t>((Comments on this story may be sent to info@m2.com))</w:t>
      </w:r>
    </w:p>
    <w:p xmlns:wp14="http://schemas.microsoft.com/office/word/2010/wordml" w14:paraId="6736FD64" wp14:textId="77777777">
      <w:pPr>
        <w:pStyle w:val="Heading1"/>
      </w:pPr>
      <w:r>
        <w:t>End of Article 23</w:t>
      </w:r>
    </w:p>
    <w:p xmlns:wp14="http://schemas.microsoft.com/office/word/2010/wordml" w14:paraId="4DDBEF00" wp14:textId="77777777">
      <w:r>
        <w:br w:type="page"/>
      </w:r>
    </w:p>
    <w:p xmlns:wp14="http://schemas.microsoft.com/office/word/2010/wordml" w14:paraId="4708C50D" wp14:textId="77777777">
      <w:pPr>
        <w:pStyle w:val="Heading1"/>
      </w:pPr>
      <w:r>
        <w:t>Start of Article 24</w:t>
      </w:r>
    </w:p>
    <w:p xmlns:wp14="http://schemas.microsoft.com/office/word/2010/wordml" w14:paraId="3E685242" wp14:textId="77777777">
      <w:pPr>
        <w:pStyle w:val="Heading1"/>
      </w:pPr>
      <w:r>
        <w:t>Document ID ATPHAM0020150602eb5t0008f</w:t>
      </w:r>
    </w:p>
    <w:p xmlns:wp14="http://schemas.microsoft.com/office/word/2010/wordml" w14:paraId="66B35C8C" wp14:textId="77777777">
      <w:r>
        <w:t>The gross proceeds to the Company were approximately $14.7 million, before deducting underwriting discounts and commissions and offering expenses payable, and before the repurchase of all of the outstanding shares of the Company's Series A-4 convertible preferred stock for approximately $3.2 million, which occurred simultaneously with the closing of this offering.</w:t>
      </w:r>
      <w:r>
        <w:br/>
      </w:r>
      <w:r>
        <w:br/>
      </w:r>
      <w:r>
        <w:t>The Company intends to use the net proceeds of this offering to fund the commercial launch of Quell in the United States and for general corporate purposes. Quell is an over-the-counter wearable pain relief device that utilizes proprietary non-invasive neurostimulation technology to provide pain relief. The device is designed for people with conditions such as diabetic nerve pain, low back and leg pain, fibromyalgia, and pain associated with osteoarthritis. The advanced wearable device is lightweight and can be worn during the day while active, and at night while sleeping. It has been cleared by the FDA for treatment of chronic pain without a prescription. Users of the device have the option of using their smart phone to track and personalize their pain therapy through the Quell Relief app which is available in the Apple app store.</w:t>
      </w:r>
      <w:r>
        <w:br/>
      </w:r>
      <w:r>
        <w:br/>
      </w:r>
      <w:r>
        <w:t>Source: NeuroMetrix</w:t>
      </w:r>
    </w:p>
    <w:p xmlns:wp14="http://schemas.microsoft.com/office/word/2010/wordml" w14:paraId="0093D89C" wp14:textId="77777777">
      <w:pPr>
        <w:pStyle w:val="Heading1"/>
      </w:pPr>
      <w:r>
        <w:t>End of Article 24</w:t>
      </w:r>
    </w:p>
    <w:p xmlns:wp14="http://schemas.microsoft.com/office/word/2010/wordml" w14:paraId="3461D779" wp14:textId="77777777">
      <w:r>
        <w:br w:type="page"/>
      </w:r>
    </w:p>
    <w:p xmlns:wp14="http://schemas.microsoft.com/office/word/2010/wordml" w14:paraId="63A52234" wp14:textId="77777777">
      <w:pPr>
        <w:pStyle w:val="Heading1"/>
      </w:pPr>
      <w:r>
        <w:t>Start of Article 25</w:t>
      </w:r>
    </w:p>
    <w:p xmlns:wp14="http://schemas.microsoft.com/office/word/2010/wordml" w14:paraId="72232E06" wp14:textId="77777777">
      <w:pPr>
        <w:pStyle w:val="Heading1"/>
      </w:pPr>
      <w:r>
        <w:t>Document ID INDFED0020150114eb1d002gf</w:t>
      </w:r>
    </w:p>
    <w:p xmlns:wp14="http://schemas.microsoft.com/office/word/2010/wordml" w14:paraId="08C23439" wp14:textId="77777777">
      <w:r>
        <w:t>Category of Funding Activity is Health.</w:t>
      </w:r>
      <w:r>
        <w:br/>
      </w:r>
      <w:r>
        <w:br/>
      </w:r>
      <w:r>
        <w:t>Expected Number of Awards: 2</w:t>
      </w:r>
      <w:r>
        <w:br/>
      </w:r>
      <w:r>
        <w:br/>
      </w:r>
      <w:r>
        <w:t>Eligible Applicants: Others (see text field entitled "Additional Information on Eligibility" for clarification)</w:t>
      </w:r>
      <w:r>
        <w:br/>
      </w:r>
      <w:r>
        <w:br/>
      </w:r>
      <w:r>
        <w:t>Additional Information on Eligibility: Eligible Applicants * Nonprofit with 501C3 IRS status (other than institution of higher education) * Nonprofit without 501C3 IRS status (other than institution of higher education) * For-profit organizations (other than small business) * Small, minority, and women-owned businesses * Universities * Colleges * Research institutions * Hospitals * Community-based organizations * Faith-based organizations * Federally recognized or state-recognized American Indian/Alaska Native tribal governments * American Indian/Alaska native tribally designated organizations * Alaska Native health corporations * Urban Indian health organizations * Tribal epidemiology centers * State and local governments or their Bona Fide Agents (this includes the District of Columbia, the Commonwealth of Puerto Rico, the Virgin Islands, the Commonwealth of the Northern Mariana Islands, American Samoa, Guam, the Federated States of Micronesia, the Republic of the Marshall Islands, and the Republic of Palau) * Political subdivisions of States (in consultation with States) * Public (including city, county, regional, and State government) organizations and private nonprofit entities.</w:t>
      </w:r>
      <w:r>
        <w:br/>
      </w:r>
      <w:r>
        <w:br/>
      </w:r>
      <w:r>
        <w:t>The description of the Grant Notice is "OASH/ National Vaccine Program Office (NVPO) provides strategic direction for the coordination of the vaccine and immunization enterprise through the National Vaccine Plan (NVP) implementation. NVPO specifically provides guidance and coordination for all vaccine safety systems, activities and research studies in the U.S. through the Immunization Safety Task Force (ISTF). While engaging vaccine safety stakeholders through the ISTF, NVPO is able to identify gaps in vaccine safety monitoring and research. NVPO has launched this pilot cooperative agreement program to partner with an organization to conduct research that will strengthen the current U.S. vaccine safety enterprise. The program's objective is to conduct research in vaccine safety related areas, specifically, but not limited to, determining the safety profile of new vaccines during the early development stage, developing or modifying existing vaccines to improve their safety, conducting applied research that will have a direct impact on the current vaccine safety monitoring system, conducting research that will achieve consensus definitions of vaccine safety outcomes that could be utilized to collect consensus data in clinical research conducted globally.NVPO is particularly interested in projects related to researching, establishing or testing the vaccine safety profile of vaccines that are currently recommended for or are expected to be routinely administered to pregnant women and/or newborns. Topics of research may cover establishing the safety of a vaccine in either the pregnant women, her newborn or both, at any stage of the vaccine development, testing and/or pre-clinical or clinical research and monitoring of vaccine safety. This pilot program encourages collaborative efforts with experts across fields to maximize the results and impact of the research project. NVPO scientific staff will have substantial programmatic involvement that is above and beyond the normal stewardship role in awards, as described below:* Provide guidance and support in the design and development of the research project * Serve as a resource to provide scientific/programmatic support during the accomplishment of the research by participating in the design of the activities, providing access to vaccine safety stakeholders and contributing with subject matter expertise * Oversee the adequacy of adverse event following immunization research, monitoring and result analysis and reporting, and have regular communications with the principal investigator (PI) and study team * Participate in the preparation of publications and public presentations of the data obtained under this Cooperative Agreement AUTHORITY: section 1702(a) of the Public Health Service Act, as amended [42 U.S.C. 300u-1(a)]."</w:t>
      </w:r>
      <w:r>
        <w:br/>
      </w:r>
      <w:r>
        <w:br/>
      </w:r>
      <w:r>
        <w:t>Full Announcement: http://www.grants.gov/web/grants/search-grants.html</w:t>
      </w:r>
    </w:p>
    <w:p xmlns:wp14="http://schemas.microsoft.com/office/word/2010/wordml" w14:paraId="72E99226" wp14:textId="77777777">
      <w:pPr>
        <w:pStyle w:val="Heading1"/>
      </w:pPr>
      <w:r>
        <w:t>End of Article 25</w:t>
      </w:r>
    </w:p>
    <w:p xmlns:wp14="http://schemas.microsoft.com/office/word/2010/wordml" w14:paraId="3CF2D8B6" wp14:textId="77777777">
      <w:r>
        <w:br w:type="page"/>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9eb08a-5c9e-4a37-bd75-2ebae5fd6f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C9B539E-C842-43BB-9D10-BBA205229AAA}"/>
</file>

<file path=customXml/itemProps3.xml><?xml version="1.0" encoding="utf-8"?>
<ds:datastoreItem xmlns:ds="http://schemas.openxmlformats.org/officeDocument/2006/customXml" ds:itemID="{51008550-C6DB-40BC-92CB-DE2B2394E380}"/>
</file>

<file path=customXml/itemProps4.xml><?xml version="1.0" encoding="utf-8"?>
<ds:datastoreItem xmlns:ds="http://schemas.openxmlformats.org/officeDocument/2006/customXml" ds:itemID="{E8B5B635-843D-4DFB-A2F6-D1CBE53735A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