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MHWK000020150612eb6f0001v</w:t>
      </w:r>
    </w:p>
    <w:p>
      <w:r>
        <w:t>"Guanfacine extended-release tablets join Teva's current generic line of seven ADHD products," commented Brendan O'Grady, President and CEO, North America Generic Medicines. "We recognize the need to make affordable generic treatment options available to patients with ADHD."</w:t>
        <w:br/>
        <w:br/>
        <w:t>INTUNIV(R) (guanfacine) 1 mg, 2 mg, 3 mg, and 4 mg, had total market sales of approximately $804 million in the United States, according to IMS data as of March 2015. About Guanfacine Extended-Release Tablets Guanfacine extended-release tablets are indicated for the treatment of attention deficit hyperactivity disorder (ADHD) as monotherapy and as adjunctive therapy to stimulant medications. Safety and efficacy of guanfacine extended-release tablets in pediatric patients less than 6 years of age have not been established. Important Safety Information Guanfacine extended-release tablets are contraindicated in patients with a history of a hypersensitivity reaction to guanfacine extended-release tablets or its inactive ingredients, or other products containing guanfacine. Rash and pruritus have been reported.</w:t>
        <w:br/>
        <w:br/>
        <w:t>Treatment with guanfacine extended-release tablets can cause dose-dependent decreases in blood pressure and heart rate. Orthostatic hypotension and syncope have been reported. Somnolence and sedation were commonly reported adverse reactions in clinical studies. The sympatholytic action of guanfacine extended-release tablets may worsen sinus node dysfunction and atrioventricular (AV) block, especially in patients taking other sympatholytic drugs.</w:t>
        <w:br/>
        <w:br/>
        <w:t>Most common adverse reactions (= 5% and at least twice placebo rate) in clinical trials: somnolence, fatigue, hypotension, nausea, lethargy, abdominal pain, insomnia, dizziness, dry mouth, irritability, vomiting, and bradycardia.</w:t>
        <w:br/>
        <w:br/>
        <w:t>Keywords for this news article include: Teva Pharmaceutical Industries Ltd, Guanfacine, Guanidines, Pediatrics, Phenylacetates.</w:t>
        <w:br/>
        <w:br/>
        <w:t>Our reports deliver fact-based news of research and discoveries from around the world. Copyright 2015, NewsRx LLC</w:t>
      </w:r>
    </w:p>
    <w:p>
      <w:pPr>
        <w:pStyle w:val="Heading1"/>
      </w:pPr>
      <w:r>
        <w:t>End of Article 1</w:t>
      </w:r>
    </w:p>
    <w:p>
      <w:r>
        <w:br w:type="page"/>
      </w:r>
    </w:p>
    <w:p>
      <w:pPr>
        <w:pStyle w:val="Heading1"/>
      </w:pPr>
      <w:r>
        <w:t>Start of Article 2</w:t>
      </w:r>
    </w:p>
    <w:p>
      <w:pPr>
        <w:pStyle w:val="Heading1"/>
      </w:pPr>
      <w:r>
        <w:t>Document ID PZON000020150128eb1s0002p</w:t>
      </w:r>
    </w:p>
    <w:p>
      <w:r>
        <w:t>As previously announced, Adamis acquired worldwide rights to the Taper DPI technology in all medical indications from 3M. The Taper DPI technology was designed to efficiently deliver dry powder by utilizing a carrier tape. Adamis intends to use the Taper DPI initially to develop a combination drug product, referred to as APC-5000 DPI, intended for the treatment of asthma and COPD by delivering the same active ingredients as GlaxoSmithKline's ("GSK") Advair Diskus(R). The Advair Diskus(R), which, according to GSK's public filings, had revenues of over $8 billion worldwide in 2013, is a dry powder inhaler product that combines fluticasone and salmeterol. Fluticasone belongs to the family of medicines known as corticosteroids or steroids which produce anti-inflammatory effects. Salmeterol is a long-acting beta-agonist drug that causes bronchodilation by relaxing the smooth muscle in the airway.</w:t>
        <w:br/>
        <w:br/>
        <w:t>In its current stage of development, Adamis' Taper DPI combines patient-friendly design and active aerosolization to provide effective delivery of drug in a multi-dose DPI. Additional advantages of the current technology seem to include: greater efficiency, ability to supply a single or combination of drugs, eliminates the need for excipients in most formulations, less dependence on the individual's inspiratory flow rate, and ease of use.</w:t>
        <w:br/>
        <w:br/>
        <w:t>Upon completion of clinical trials and if required regulatory approvals are obtained, Adamis intends to commercially market the APC-5000 product to compete for a share of the Advair Diskus(R) market with a branded generic version. Assuming clinical trials are successfully completed, Adamis expects to pursue an NDA under Section 505(b)(2) to seek approval for sale in the U.S. market. Outside of the U.S., the Company plans to identify potential opportunities to market APC-5000 DPI based products. The Company also believes that the device can be used to deliver a variety of different drug compounds, potentially creating multiple follow-on products for Adamis using this platform DPI technology.</w:t>
        <w:br/>
        <w:br/>
        <w:t>About Adamis Pharmaceuticals Corporation</w:t>
        <w:br/>
        <w:br/>
        <w:t>Adamis Pharmaceuticals Corporation is a biopharmaceutical company engaged in the development and commercialization of specialty pharmaceutical and biotechnology products in the therapeutic areas of respiratory disease, allergy, oncology and immunology. Adamis' current specialty pharmaceutical product candidates include the Epinephrine Injection PFS syringe product for use in the emergency treatment of anaphylaxis, APC-1000 and APC-5000 for the treatment of asthma and chronic obstructive pulmonary disease, and APC-3000, an HFA inhaled nasal steroid product for the treatment of allergic rhinitis. The company's vaccine product candidates and cancer drug product candidates under research and development include TeloB-VAX, a cell-based therapeutic cancer vaccine and three drugs, APC-100, APC-200, and APC-300, for the treatment of prostate cancer.</w:t>
        <w:br/>
        <w:br/>
        <w:t>Forward Looking Statements</w:t>
        <w:br/>
        <w:br/>
        <w:t>This press release contains forward-looking statements within the meaning of the Private Securities Litigation Reform Act of 1995. These statements relate to future events or our future results of operations or future financial performance, including, but not limited to the following statements: the company's beliefs concerning the ability of its product candidates to compete successfully in the market; the company's beliefs concerning the safety and effectiveness of its product candidates; the results of any future clinical trials that the company may conduct relating to its product candidates; the ability to fund future product development; future revenues expected from any of its product candidates, assuming that they are developed and approved for marketing by the FDA and other regulatory authorities; and the intellectual property protection that may be afforded by any patents or patent applications relating to its products and product candidates. Statements in this press release concerning future events depend on several factors beyond the company's control, including receipt of adequate funding to support these activities, the absence of unexpected developments or delays, market conditions, and the regulatory approval process. These statements are only predictions and involve known and unknown risks, uncertainties and other factors, which may cause Adamis' actual results to be materially different from these forward-looking statements. Certain of these risks, uncertainties, and other factors are described in greater detail in Adamis' filings from time to time with the SEC, which Adamis strongly urges you to read and consider, all of which are available free of charge on the SEC's web site at http://www.sec.gov. Except to the extent required by law, Adamis expressly disclaims any obligation to update any forward-looking statements. The company does not undertake to update any of these forward-looking statements to reflect a change in its views or events or circumstances that occur after the date of this press release.</w:t>
        <w:br/>
        <w:br/>
        <w:br/>
        <w:t xml:space="preserve">CONTACT: Mark Flather </w:t>
        <w:br/>
        <w:t xml:space="preserve">         Director, Investor Relations </w:t>
        <w:br/>
        <w:t xml:space="preserve">         &amp; Corporate Communications </w:t>
        <w:br/>
        <w:t xml:space="preserve">         (858) 412-7951 </w:t>
        <w:br/>
        <w:t xml:space="preserve">         mflather@adamispharma.com </w:t>
        <w:br/>
        <w:t xml:space="preserve"> </w:t>
        <w:br/>
        <w:t xml:space="preserve">         Mark Gundy </w:t>
        <w:br/>
        <w:t xml:space="preserve">         External Investor Relations </w:t>
        <w:br/>
        <w:t xml:space="preserve">         972-240-1873 </w:t>
        <w:br/>
        <w:t xml:space="preserve">         markgundy@gmail.com </w:t>
      </w:r>
    </w:p>
    <w:p>
      <w:pPr>
        <w:pStyle w:val="Heading1"/>
      </w:pPr>
      <w:r>
        <w:t>End of Article 2</w:t>
      </w:r>
    </w:p>
    <w:p>
      <w:r>
        <w:br w:type="page"/>
      </w:r>
    </w:p>
    <w:p>
      <w:pPr>
        <w:pStyle w:val="Heading1"/>
      </w:pPr>
      <w:r>
        <w:t>Start of Article 3</w:t>
      </w:r>
    </w:p>
    <w:p>
      <w:pPr>
        <w:pStyle w:val="Heading1"/>
      </w:pPr>
      <w:r>
        <w:t>Document ID DJDN000020150108eb18001mg</w:t>
      </w:r>
    </w:p>
    <w:p>
      <w:r>
        <w:t>Results of an investigator-initiated evaluation of the company's Pred-Moxi and Tri-Moxi topical eye drops for patients following LASIK surgery expected to be announced by end of January 2015</w:t>
        <w:br/>
        <w:br/>
        <w:t>PR Newswire</w:t>
        <w:br/>
        <w:br/>
        <w:t>SAN DIEGO, Jan. 8, 2015</w:t>
        <w:br/>
        <w:br/>
        <w:t>SAN DIEGO, Jan. 8, 2015 /PRNewswire/ -- Imprimis Pharmaceuticals, Inc. (NASDAQ: IMMY), a pharmaceutical company focused on the development and commercialization of proprietary compounded drug therapies, today announced its plans to introduce proprietary triamcinolone acetonide and moxifloxacin hydrochloride (Tri-Moxi) and prednisolone acetate and moxifloxacin hydrochloride (Pred-Moxi) combination eye drop formulations for patients following laser refractive surgery, including LASIK and photorefractive keratectomy (PRK) surgery, cataract and other ocular surgeries.</w:t>
        <w:br/>
        <w:br/>
        <w:t>The current treatment regimens following LASIK, cataract and other ocular surgeries include two or more daily self-administered topical eye drops for up to 4 weeks. It is well documented that current eye drop regimens can be confusing to patients, creating non-compliance issues and incorrect dosing.(1) For some high volume ocular surgeries, like PRK and LASIK, the company estimates that its combination Tri-Moxi and Pred-Moxi topical eye drop formulations can require up to 50% fewer drops to be administered by patients and may cost up to 75% less than current post-surgery drops regimens. Importantly, Imprimis' topical compounded drops may be eligible for reimbursement to patients covered by both public and private insurance plans. A prospective evaluation of de-identified quality assurance data of the Tri-Moxi and Pred-Moxi topical formulations for patients following LASIK surgery enrolled in the fall of 2014 at the Cleveland Eye Clinic. Imprimis expects the results of this research to be announced by the end of January 2015.</w:t>
        <w:br/>
        <w:br/>
        <w:t>Imprimis' ophthalmic compound formulations have been optimized for the isotonicity and pH most compatible with the eye. Imprimis' patent-pending drug formulations allow for increased solubility of active pharmaceutical ingredients, creating small, uniform particle sizes which enable functionality such as an injectable or use as a topical eye drop.</w:t>
        <w:br/>
        <w:br/>
        <w:t>"We are pleased to make our Tri-Moxi and Pred-Moxi formulations available soon -- as an eye drop. This is a new application of our proprietary compound drug formulations, which allows for the combination of active pharmaceutical ingredients that do not normally combine well for administration. To date, we have made this technology available in single-use injectable ophthalmic formulations, which numerous ophthalmologists have reported on at major clinical meetings. While 95% of leading ophthalmologists surveyed would prefer Dropless Therapy(2) , many in the U.S. and abroad continue to prescribe eye drops for their patients following cataract surgery and other ocular procedures. The current single-API steroid and antibiotic eye drop choices for physicians and patients create compliance and cost issues for each of the parties involved. As a result, and in an effort to build a bridge to a 'Dropless' future for procedures like cataract surgery and to address the need for LessDrops(TM) in procedures like LASIK, we are seizing upon the opportunity to dramatically reduce the number of eye drop applications and lower costs by using our compounded formulations," stated Imprimis CEO Mark L. Baum.</w:t>
        <w:br/>
        <w:br/>
        <w:t>Baum concluded, "Imprimis believes in and is committed to quality, accessible innovation and solving unmet needs in the markets it serves. In 2015 and beyond, we look forward to continuing to introduce new applications of our proprietary formulations and technologies, particularly in ophthalmology, for injectable and topical applications."</w:t>
        <w:br/>
        <w:br/>
        <w:t>All Imprimis formulations may be prescribed pursuant to a physician prescription for an individually identified patient consistent with federal and state laws governing compounded drug formulations.</w:t>
        <w:br/>
        <w:br/>
        <w:t>ABOUT LASIK</w:t>
        <w:br/>
        <w:br/>
        <w:t>Over half of Americans require some form of vision correction and it is estimated that 43 million of these are candidates for refractive surgery. Nearly 96% of refractive procedures performed today are LASIK (laser in situ keratomileusis), an outpatient surgical procedure used to treat nearsightedness, farsightedness, and astigmatism. According to the American Academy of Ophthalmology LASIK was first approved for use by the FDA in 1999 and it has quickly become one of today's most popular elective procedures with an estimated 700,000 procedures being performed annually in the U.S.</w:t>
        <w:br/>
        <w:br/>
        <w:t>ABOUT IMPRIMIS PHARMACEUTICALS</w:t>
        <w:br/>
        <w:br/>
        <w:t>San Diego-based Imprimis Pharmaceuticals, Inc. (NASDAQ: IMMY) is a pharmaceutical company dedicated to delivering high quality and innovative medicines to physicians and patients at accessible prices. Imprimis' business is focused on its proprietary ophthalmology and urology drug formulations. The company's pioneering ophthalmology formulation portfolio is disrupting the multi-billion dollar eye drop market, addressing patient compliance issues and providing other medical and economic benefits to patients. Imprimis expects to launch its urology business in 2015, which includes a patented formulation to address patients suffering from interstitial cystitis. For more information about Imprimis, please visit the company's corporate website at www.ImprimisPharma.com; ophthalmology business website at www.GoDropless.com; and urology business website at www.DefeatIC.com.</w:t>
        <w:br/>
        <w:br/>
        <w:t>SAFE HARBOR</w:t>
        <w:br/>
        <w:br/>
        <w:t>This press release contains forward-looking statements within the meaning of the U.S. Private Securities Litigation Reform Act of 1995. Any statements in this release that are not historical facts may be considered such "forward looking statements." Forward looking statements are based on management's current expectations and are subject to risks and uncertainties which may cause results to differ materially and adversely from the statements contained herein. Some of the potential risks and uncertainties that could cause actual results to differ from those predicted include risks and uncertainties related to Imprimis' ability to make commercially available its compounded formulations and technologies in a timely manner or at all; physician interest in prescribing its formulations; risks related to its compounding pharmacy operations; its ability to enter into other strategic alliances, including arrangements with pharmacies, physicians and healthcare organizations for the development and distribution of its formulations; its ability to obtain intellectual property protection for its assets; its ability to accurately estimate its expenses and cash burn, and raise additional funds when necessary; risks related to research and development activities; the projected size of the potential market for its technologies and formulations; unexpected new data, safety and technical issues; regulatory and market developments impacting compounding pharmacies, outsourcing facilities and the pharmaceutical industry; competition; and market conditions. These and additional risks and uncertainties are more fully described in Imprimis' filings with the Securities and Exchange Commission, including its Annual Report on Form 10-K and its Quarterly Reports on Form 10-Q. Such documents may be read free of charge on the SEC's web site at www.sec.gov. Undue reliance should not be placed on forward-looking statements, which speak only as of the date they are made. Except as required by law, Imprimis undertakes no obligation to update any forward looking statements to reflect new information, events or circumstances after the date they are made, or to reflect the occurrence of unanticipated events.</w:t>
        <w:br/>
        <w:br/>
        <w:t>(1) Hennessy AL, Ophthalmology, 2010</w:t>
        <w:br/>
        <w:br/>
        <w:t>(2) Video interview survey of 21 leading ophthalmologists conducted at a leading industry meeting in June 2014 in Boston</w:t>
        <w:br/>
        <w:br/>
        <w:t>Investor Contact</w:t>
        <w:br/>
        <w:br/>
        <w:t>Bonnie Ortega</w:t>
        <w:br/>
        <w:br/>
        <w:t>bortega@imprimispharma.com</w:t>
        <w:br/>
        <w:br/>
        <w:t>858.704.4587</w:t>
        <w:br/>
        <w:br/>
        <w:t>Media Contact</w:t>
        <w:br/>
        <w:br/>
        <w:t>Deb Holliday</w:t>
        <w:br/>
        <w:br/>
        <w:t>deb@pascalecommunications.com</w:t>
        <w:br/>
        <w:br/>
        <w:t>412.877.4519</w:t>
        <w:br/>
        <w:br/>
        <w:t>Photo - http://photos.prnewswire.com/prnh/20150108/167712LOGO</w:t>
        <w:br/>
        <w:br/>
        <w:t>To view the original version on PR Newswire, visit:http://www.prnewswire.com/news-releases/imprimis-pharmaceuticals-looks-to-expand-its-ophthalmology-portfolio-with-lessdrops-300017677.html</w:t>
        <w:br/>
        <w:br/>
        <w:t>SOURCE Imprimis Pharmaceuticals</w:t>
        <w:br/>
        <w:br/>
        <w:t>/Web site: http://www.imprimispharma.com</w:t>
        <w:br/>
        <w:br/>
        <w:t>8 Jan 2015 08:03 ET *Imprimis Pharmaceuticals Looks To Expand Its Ophthalmology Portfolio With LessDrops(TM)</w:t>
        <w:br/>
        <w:br/>
        <w:t>(MORE TO FOLLOW) Dow Jones Newswires (212-416-2800)</w:t>
        <w:br/>
        <w:br/>
        <w:t>January 08, 2015 08:03 ET (13:03 GMT)</w:t>
      </w:r>
    </w:p>
    <w:p>
      <w:pPr>
        <w:pStyle w:val="Heading1"/>
      </w:pPr>
      <w:r>
        <w:t>End of Article 3</w:t>
      </w:r>
    </w:p>
    <w:p>
      <w:r>
        <w:br w:type="page"/>
      </w:r>
    </w:p>
    <w:p>
      <w:pPr>
        <w:pStyle w:val="Heading1"/>
      </w:pPr>
      <w:r>
        <w:t>Start of Article 4</w:t>
      </w:r>
    </w:p>
    <w:p>
      <w:pPr>
        <w:pStyle w:val="Heading1"/>
      </w:pPr>
      <w:r>
        <w:t>Document ID HAMW000020150306eb3d0029j</w:t>
      </w:r>
    </w:p>
    <w:p>
      <w:r>
        <w:t>"This agreement with the MPP has been established to provide access to raltegravir to HIV-infected children in developing countries where the burden of HIV infection is highest, including sub-Saharan Africa," said Jackie Neilson, general manager and global commercial leader for the HIV Franchise, Merck. "This builds upon Merck's three-decade long commitment to both innovation and access to address the global HIV epidemic."</w:t>
        <w:br/>
        <w:br/>
        <w:t>Raltegravir is the only integrase inhibitor approved for use in infants and children as young as four weeks in the United States and European Union. Pediatric formulations of raltegravir are available as chewable tablets (25 mg and 100 mg) and granules for oral suspension (single-use 100 mg packets).</w:t>
        <w:br/>
        <w:br/>
        <w:t>Merck is providing the MPP a royalty-free license for the development of pediatric formulations of raltegravir-chewable tablets and granules for oral suspension-for infants and children from four weeks to under 12 years of age. The agreement is designed to improve access to raltegravir for pediatric populations in low- and middle-income countries with significantly high rates of pediatric HIV, totaling 92 countries. In addition to providing expanded access, the agreement allows for development of new pediatric formulations of raltegravir, in support of the "Global Pediatric Antiretroviral Commitment-to-Action" announced by the United States President's Emergency Plan for AIDS Relief (PEPFAR), the Pediatric HIV Treatment Initiative (PHTI), and the Global Fund to Fight AIDS, Tuberculosis and Malaria, to accelerate the development of new, high-priority pediatric antiretroviral co-formulations.</w:t>
        <w:br/>
        <w:br/>
        <w:t>"MPP is pleased to have Merck on board as a new private sector partner working with us on pediatric programs," said Greg Perry, executive director, MPP. "Raltegravir adds to our arsenal of pediatric licenses in supporting better options for children in low- and middle-income countries and can benefit the most neglected sub-segment: infants and toddlers less than three years of age."</w:t>
        <w:br/>
        <w:br/>
        <w:t>Despite efforts to eliminate pediatric HIV, it is estimated that there are 3.2 million children infected with HIV worldwide and almost 800 die every day because of lack of access to treatment and care. In fact, it is estimated that less than a quarter of all children infected with HIV worldwide are receiving antiretrovirals. Therefore, it is critical to develop innovative formulations to meet this unmet medical need while ensuring access to these therapies. As such, the World Health Organization (WHO) guidelines have listed raltegravir as an important product needed for certain pediatric populations.</w:t>
        <w:br/>
        <w:br/>
        <w:t>For 30 years, Merck has demonstrated its commitment to improved access to HIV medicines through longstanding efforts including differential pricing, voluntary licensing, public-private partnerships, philanthropic programs, and continued research and development efforts in HIV. For more information about Merck's corporate responsibility in HIV, visit www.merckresponsibility.com/access-to-health/infectious-diseases/hiv-aids/. Selected Safety Information Severe, potentially life-threatening and fatal skin reactions have been reported. This includes cases of Stevens-Johnson syndrome, hypersensitivity reaction and toxic epidermal necrolysis. Immediately discontinue treatment with ISENTRESS (raltegravir) and other suspect agents if severe hypersensitivity, severe rash, or rash with systemic symptoms or liver aminotransferase elevations develops and monitor clinical status, including liver aminotransferases closely.</w:t>
        <w:br/>
        <w:br/>
        <w:t>Immune reconstitution syndrome can occur, including the occurrence of autoimmune disorders with variable time to onset, which may necessitate further evaluation and treatment.</w:t>
        <w:br/>
        <w:br/>
        <w:t>ISENTRESS (raltegravir) chewable tablets contain phenylalanine, a component of aspartame, which may be harmful to patients with phenylketonuria.</w:t>
        <w:br/>
        <w:br/>
        <w:t>Coadministration of ISENTRESS with drugs that are strong inducers of uridine diphosphate glucuronosyltransferase (UGT) 1A1 may result in reduced plasma concentrations of raltegravir. Coadministration of ISENTRESS with drugs that inhibit UGT1A1 may increase plasma levels of raltegravir.</w:t>
        <w:br/>
        <w:br/>
        <w:t>Coadministration of ISENTRESS and other drugs may alter the plasma concentration of raltegravir. The potential for drug-drug interactions must be considered prior to and during therapy. Coadministration or staggered administration of aluminum and/or magnesium hydroxide-containing antacids and ISENTRESS is not recommended.</w:t>
        <w:br/>
        <w:br/>
        <w:t>Rifampin, a strong inducer of UGT1A1, reduces plasma concentrations of ISENTRESS. Therefore, the dose of ISENTRESS for adults should be increased to 800 mg twice daily during coadministration with rifampin. There are no data to guide coadministration of ISENTRESS with rifampin in patients below 18 years of age.</w:t>
        <w:br/>
        <w:br/>
        <w:t>The most commonly reported (=2%) drug-related clinical adverse reactions of moderate to severe intensity in treatment-naive adult patients receiving ISENTRESS compared with efavirenz were insomnia (4% vs 4%), headache (4% vs 5%), nausea (3% vs 4%), fatigue (2% vs 3%), and dizziness (2% vs 6%) respectively. In treatment-experienced adult patients receiving ISENTRESS, the most commonly reported (=2%) drug-related clinical adverse reactions of moderate to severe intensity and at a higher incidence compared with placebo was headache (2% vs &lt;1%). In both studies, intensities were defined as: Moderate (discomfort enough to cause interference with usual activity); or Severe (incapacitating with inability to work or do usual activity). In treatment-experienced pediatric patients 4 weeks through 18 years of age receiving ISENTRESS, the frequency, type and severity of drug-related adverse reactions were comparable to those observed in adults.</w:t>
        <w:br/>
        <w:br/>
        <w:t>Grade 2-4 creatine kinase laboratory abnormalities were observed in subjects treated with ISENTRESS. Myopathy and rhabdomyolysis have been reported. Use with caution in patients at increased risk of myopathy or rhabdomyolysis, such as patients receiving concomitant medications known to cause these conditions and patients with a history of rhabdomyolysis, myopathy or increased serum creatine kinase.</w:t>
        <w:br/>
        <w:br/>
        <w:t>Rash occurred more commonly in treatment-experienced subjects receiving regimens containing ISENTRESS + darunavir/ritonavir compared to subjects receiving ISENTRESS without darunavir/ritonavir or darunavir/ritonavir without ISENTRESS. However, rash that was considered drug related occurred at similar rates for all 3 groups. These rashes were mild to moderate in severity and did not limit therapy; there were no discontinuations due to rash.</w:t>
        <w:br/>
        <w:br/>
        <w:t>ISENTRESS (raltegravir) should be used during pregnancy only if the potential benefit justifies the potential risk to the fetus. There are no adequate and well-controlled studies in pregnant women. In addition, there have been no pharmacokinetic studies conducted in pregnant patients.</w:t>
        <w:br/>
        <w:br/>
        <w:t>Keywords for this news article include: Merck, Kinase, Therapy, HIV/AIDS, Myopathy, Nephrology, Pediatrics, RNA Viruses, Retroviridae, Tuberculosis, HIV Infections, Rhabdomyolysis, Vertebrate Viruses, Primate Lentiviruses, Enzymes and Coenzymes, Opportunistic Infections, Clinical Trials and Studies, Viral Sexually Transmitted Diseases.</w:t>
        <w:br/>
        <w:br/>
        <w:t>Our reports deliver fact-based news of research and discoveries from around the world. Copyright 2015, NewsRx LLC</w:t>
      </w:r>
    </w:p>
    <w:p>
      <w:pPr>
        <w:pStyle w:val="Heading1"/>
      </w:pPr>
      <w:r>
        <w:t>End of Article 4</w:t>
      </w:r>
    </w:p>
    <w:p>
      <w:r>
        <w:br w:type="page"/>
      </w:r>
    </w:p>
    <w:p>
      <w:pPr>
        <w:pStyle w:val="Heading1"/>
      </w:pPr>
      <w:r>
        <w:t>Start of Article 5</w:t>
      </w:r>
    </w:p>
    <w:p>
      <w:pPr>
        <w:pStyle w:val="Heading1"/>
      </w:pPr>
      <w:r>
        <w:t>Document ID DRGW000020150925eb9p0004p</w:t>
      </w:r>
    </w:p>
    <w:p>
      <w:r>
        <w:t>Our news journalists obtained a quote from the research from Rush University, "Retrospective review was conducted of 105 adult CRS patients undergoing evaluation in the ambulatory clinic of tertiary care academic medical center. The most common microbes were Staphylococcus aureus (29.5%), Pseudomonas aeruginosa (23.8%) and methicillin-resistant S. aureus (11.4%). Normal respiratory flora or no growth was found in 19% of patients. Culture results changed antibiotic choices in 77% of patients. Statistically significant change in total SNOT-20 scores and all 4 subdomains was noted, with improvement being clinically meaningful in the rhinologic subdomain (-1.10, p&lt; 0.0001). Repeat purulence was only noted in 5 cases (4.8%). Multivariate regression analysis demonstrated that concurrent use of oral steroids was independently associated with improvement in the rhinologic subdomain (p = 0.0041). The mean length of follow-up was 37 days. Length of follow-up (14-30, 31-60, 61-90 days) did not statistically impact SNOT-20 scores. Endoscopic-derived sinus cultures are associated with clinically meaningful change in the rhinologic subdomain of SNOT-20 scores, and repeat purulence was infrequently noted at follow-up."</w:t>
        <w:br/>
        <w:br/>
        <w:t>According to the news editors, the research concluded: "Further prospective studies are needed to better delineate the role of cultures in CRS management."</w:t>
        <w:br/>
        <w:br/>
        <w:t>For more information on this research see: Endoscopic culture-directed antibiotic therapy: Impact on patient symptoms in chronic rhinosinusitis. American Journal of Otolaryngology, 2015;36(5):642-646. American Journal of Otolaryngology can be contacted at: W B Saunders Co-Elsevier Inc, 1600 John F Kennedy Boulevard, Ste 1800, Philadelphia, PA 19103-2899, USA. (Elsevier - www.elsevier.com; American Journal of Otolaryngology - www.journals.elsevier.com/american-journal-of-otolaryngology/)</w:t>
        <w:br/>
        <w:br/>
        <w:t>The news correspondents report that additional information may be obtained from Z.Y. Jiang, Rush University, Medical Center, Dept. of Otorhinolaryngol Head &amp; Neck Surg, Chicago, IL 60612, United States. Additional authors for this research include Y.F. Kou and P.S. Batra.</w:t>
        <w:br/>
        <w:br/>
        <w:t>Keywords for this news article include: Antibacterial, Antibiotics, Antimicrobials, Chicago, Illinois, United States, Drugs and Therapies, North and Central America, Clinical Trials and Studies</w:t>
        <w:br/>
        <w:br/>
        <w:t>Our reports deliver fact-based news of research and discoveries from around the world. Copyright 2015, NewsRx LLC</w:t>
      </w:r>
    </w:p>
    <w:p>
      <w:pPr>
        <w:pStyle w:val="Heading1"/>
      </w:pPr>
      <w:r>
        <w:t>End of Article 5</w:t>
      </w:r>
    </w:p>
    <w:p>
      <w:r>
        <w:br w:type="page"/>
      </w:r>
    </w:p>
    <w:p>
      <w:pPr>
        <w:pStyle w:val="Heading1"/>
      </w:pPr>
      <w:r>
        <w:t>Start of Article 6</w:t>
      </w:r>
    </w:p>
    <w:p>
      <w:pPr>
        <w:pStyle w:val="Heading1"/>
      </w:pPr>
      <w:r>
        <w:t>Document ID RTWK000020150403eb4600007</w:t>
      </w:r>
    </w:p>
    <w:p>
      <w:r>
        <w:t>Our news journalists obtained a quote from the research from Thomas Jefferson University, "Our goal was to assess if an intensive care unit (ICU)-run ECMO model without continuous bedside perfusionists would decrease costs while maintaining patient safety and outcomes. A new ECMO program was implemented in 2010, consisting of dedicated ICU multidisciplinary providers (ICU-registered nurses, mid-level providers and intensivists). In year one, we introduced an education platform, new technology and dedicated space. In year two, continuous bedside monitoring by perfusionists was removed and new management algorithms designating multidisciplinary providers as first responders were established. The patient safety and cost benefit from the removal of the continuous bedside monitoring of the perfusionists of this new ECMO program was retrospectively reviewed and compared. During the study period, 74 patients (28 patients in year 1 and 46 patients in year 2) were placed on ECMO (mean days: 8 5.7). The total annual hospital expenditure for the ECMO program was significantly reduced in the new model ($234,000 in year 2 vs. $600,264 in year 1), showing a 61% decrease in cost. This cost decrease was attributed to a decreased utilization of perfusion services and the introduction of longer lasting and more efficient ECMO technology. We did not find any significant changes in registered nurse ratios or any differences in outcomes related to ICU safety events."</w:t>
        <w:br/>
        <w:br/>
        <w:t>According to the news editors, the research concluded: "We demonstrated that the ICU-run ECMO model managed to lower hospital cost by reducing the cost of continuous bedside perfusion support without a change in outcomes."</w:t>
        <w:br/>
        <w:br/>
        <w:t>For more information on this research see: A cost-reducing extracorporeal membrane oxygenation (ECMO) program model: a single institution experience. Perfusion-Uk, 2015;30(2):148-153. Perfusion-Uk can be contacted at: Sage Publications Ltd, 1 Olivers Yard, 55 City Road, London EC1Y 1SP, England.</w:t>
        <w:br/>
        <w:br/>
        <w:t>The news correspondents report that additional information may be obtained from N.C. Cavarocchi, Thomas Jefferson University, Dept. of Surg, Philadelphia, PA 19107, United States. Additional authors for this research include S. Wallace, E.Y. Hong, A. Tropea, J. Byrne, H.T. Pitcher and H. Hirose.</w:t>
        <w:br/>
        <w:br/>
        <w:t>Keywords for this news article include: Hospital, Technology, Philadelphia, Pennsylvania, United States, Respiratory Therapy, North and Central America, Extracorporeal Membrane Oxygenation</w:t>
        <w:br/>
        <w:br/>
        <w:t>Our reports deliver fact-based news of research and discoveries from around the world. Copyright 2015, NewsRx LLC</w:t>
      </w:r>
    </w:p>
    <w:p>
      <w:pPr>
        <w:pStyle w:val="Heading1"/>
      </w:pPr>
      <w:r>
        <w:t>End of Article 6</w:t>
      </w:r>
    </w:p>
    <w:p>
      <w:r>
        <w:br w:type="page"/>
      </w:r>
    </w:p>
    <w:p>
      <w:pPr>
        <w:pStyle w:val="Heading1"/>
      </w:pPr>
      <w:r>
        <w:t>Start of Article 7</w:t>
      </w:r>
    </w:p>
    <w:p>
      <w:pPr>
        <w:pStyle w:val="Heading1"/>
      </w:pPr>
      <w:r>
        <w:t>Document ID ATPHAM0020150806eb8500065</w:t>
      </w:r>
    </w:p>
    <w:p>
      <w:r>
        <w:t>For the second quarter of 2015, the company reported a net loss of $9.4 million, or $0.06 per share, compared to $8.7 million, or $0.06 per share, for the comparable 2014 period. Revenues for the second quarter of 2015 were $251,000 compared to $341,000 for the comparable 2014 period. Interest and other income for the second quarter of 2015 amounted to $145,000 compared to $99,000 for the comparable 2014 period. The company ended the second quarter of 2015 with $157.0 million in cash and investments.</w:t>
        <w:br/>
        <w:br/>
        <w:t>Total operating expenses for the second quarter of 2015 were $9.7 million compared to $9.0 million for the comparable 2014 period. Research and development expenses for the second quarter of 2015 were $4.8 million compared to $5.2 million for the comparable 2014 period. General and administrative expenses for the second quarter of 2015 were $4.0 million compared to $3.9 million for the comparable 2014 period. Operating expenses for the 2015 second quarter also included restructuring charges of $941,000 in connection with the company's organizational resizing announced in March 2015.</w:t>
        <w:br/>
        <w:br/>
        <w:t>The decrease in research and development expenses for the 2015 second quarter, compared to the same period in 2014, was primarily the net result of reduced personnel-related and other research costs resulting from the organizational resizing, partially offset by increased costs for the development of imetelstat for hematologic myeloid malignancies in collaboration with Janssen Biotech, Inc. (Janssen). The company expects research and development expenses to increase during the remainder of the year as the development of imetelstat continues in collaboration with Janssen. The increase in general and administrative expenses for the 2015 second quarter, compared to the same period in 2014, was primarily the result of higher non-cash stock-based compensation expense and higher consulting costs in connection with business development activities to identify potential new product candidates.</w:t>
        <w:br/>
        <w:br/>
        <w:t>Six Months Ended 2015 Results</w:t>
        <w:br/>
        <w:br/>
        <w:t>Net loss for the first six months of 2015 was $18.7 million, or $0.12 per share, compared to $17.2 million, or $0.11 per share, for the comparable 2014 period. Revenues for the first six months of 2015 were $788,000 compared to $815,000 for the comparable 2014 period. Interest and other income for the first six months of 2015 was $294,000 compared to $182,000 for the comparable 2014 period. The company has not incurred any impairment charges on its investment portfolio.</w:t>
        <w:br/>
        <w:br/>
        <w:t>Total operating expenses for the first six months of 2015 were $19.7 million compared to $18.2 million for the comparable 2014 period. Research and development expenses for the first six months of 2015 were $9.8 million compared to $10.4 million for the comparable 2014 period. General and administrative expenses for the first six months of 2015 were $8.6 million compared to $7.8 million for the comparable 2014 period. Year-to-date operating expenses for 2015 also included restructuring charges of $1.3 million.</w:t>
        <w:br/>
        <w:br/>
        <w:t>The decrease in research and development expenses for the first six months of 2015, compared to the same period in 2014, was primarily the net result of reduced personnel-related and other research costs resulting from the organizational resizing, partially offset by increased costs for the development of imetelstat in collaboration with Janssen. The increase in general and administrative expenses for the first six months of 2015, compared to the same period in 2014, was primarily the result of higher non-cash stock-based compensation expense and higher consulting costs in connection with business development activities to identify potential new product candidates.</w:t>
        <w:br/>
        <w:br/>
        <w:t>Recent Company Events</w:t>
        <w:br/>
        <w:br/>
        <w:t>Status of Imetelstat Collaboration with Janssen</w:t>
        <w:br/>
        <w:br/>
        <w:t>* In June 2015, the United States Food and Drug Administration (FDA) granted orphan-drug status to imetelstat for the treatment of myelofibrosis.</w:t>
        <w:br/>
        <w:br/>
        <w:t>* In July 2015, the IMbark study, a Phase 2 clinical trial to evaluate the activity of two dose levels of imetelstat in patients with DIPSS intermediate-2 or high-risk myelofibrosis who have relapsed after or are refractory to a JAK inhibitor, opened to patient enrollment at the first study site. Multiple medical centers across North America, Europe and Asia are planned to participate in this clinical trial. For more information about the IMbark study being conducted by Janssen, please visit http://clinicaltrials.gov/ct2/show/NCT02426086.</w:t>
        <w:br/>
        <w:br/>
        <w:t>"We expect our transition activities for the imetelstat program to Janssen to be completed in the third quarter and have been pleased with the progress Janssen has made with imetelstat," said John A. Scarlett, M.D., Geron's President and Chief Executive Officer. "Our business development efforts continue, as we seek to identify and acquire and/or in-license other oncology products, programs or companies."</w:t>
        <w:br/>
        <w:br/>
        <w:t>Source: Geron</w:t>
      </w:r>
    </w:p>
    <w:p>
      <w:pPr>
        <w:pStyle w:val="Heading1"/>
      </w:pPr>
      <w:r>
        <w:t>End of Article 7</w:t>
      </w:r>
    </w:p>
    <w:p>
      <w:r>
        <w:br w:type="page"/>
      </w:r>
    </w:p>
    <w:p>
      <w:pPr>
        <w:pStyle w:val="Heading1"/>
      </w:pPr>
      <w:r>
        <w:t>Start of Article 8</w:t>
      </w:r>
    </w:p>
    <w:p>
      <w:pPr>
        <w:pStyle w:val="Heading1"/>
      </w:pPr>
      <w:r>
        <w:t>Document ID GRAY000020150901eb910002v</w:t>
      </w:r>
    </w:p>
    <w:p>
      <w:r>
        <w:t>The combination product is the first new protein therapeutic-based system that FDA has PMA-approved for the U.S. orthopedics market in more than a decade, since recombinant human bone morphogenetic protein was approved with Medtronic's Infuse device in the early 2000s. But the milestone did not come easy.</w:t>
        <w:br/>
        <w:br/>
        <w:t>Wright acquired the platform in its 2012 acquisition of BioMimetic Therapeutics Inc. after the smaller company had been handed a "not approvable" letter for its originally submitted PMA. (See "Wright Medical emAugmentems Ortho Extremities Biz With BioMimetic Purchase" "The Gray Sheet" Nov. 26, 2012.) Since then, Wright ran into delays getting final signoff on its application due to FDA inspection observations at a component supplier for the Augment system. Since FDA granted an "approvable" letter last fall, the agency performed two pre-approval inspections of the supplier, both resulting in Form-483 observations.</w:t>
        <w:br/>
        <w:br/>
        <w:t>As of late July, Wright still was not sure whether a third inspection would be necessary, potentially pushing approval to 2016.</w:t>
        <w:br/>
        <w:br/>
        <w:t>"This approval also underscores the significant effort and perseverance from our clinical trial investigators and Wright’s clinical, regulatory and legal teams to bring the product to market," CEO Robert Palmisano said.</w:t>
        <w:br/>
        <w:br/>
        <w:t>The company says it plans to begin selling the product within the next several weeks and expects to generate $10 million to $12 million in U.S. revenue during the first seven to eight months on the market.</w:t>
        <w:br/>
        <w:br/>
        <w:t>Augment will be significant competitor in the $300 million ankle/hindfoot bone fusion space, but that is only a first step, Wright says. Ultimately, the company is developing the rhPDGF platform for use in soft-tissue procedures such as rotator cuff or tennis elbow repair, which represent a $1 billion-plus opportunity, Wright says.</w:t>
        <w:br/>
        <w:br/>
        <w:t>By David Filmore</w:t>
      </w:r>
    </w:p>
    <w:p>
      <w:pPr>
        <w:pStyle w:val="Heading1"/>
      </w:pPr>
      <w:r>
        <w:t>End of Article 8</w:t>
      </w:r>
    </w:p>
    <w:p>
      <w:r>
        <w:br w:type="page"/>
      </w:r>
    </w:p>
    <w:p>
      <w:pPr>
        <w:pStyle w:val="Heading1"/>
      </w:pPr>
      <w:r>
        <w:t>Start of Article 9</w:t>
      </w:r>
    </w:p>
    <w:p>
      <w:pPr>
        <w:pStyle w:val="Heading1"/>
      </w:pPr>
      <w:r>
        <w:t>Document ID DJDN000020150807eb87002hd</w:t>
      </w:r>
    </w:p>
    <w:p>
      <w:r>
        <w:t>The ruling means Amarin can give doctors and others truthful accounts of medical studies of the drug for reducing moderately high blood fats even when the FDA hasn't approved it for such use. The FDA has contended that such off-label marketing isn't lawful, but recent court decisions have held that the First Amendment restricts the FDA's power to limit truthful speech.</w:t>
        <w:br/>
        <w:br/>
        <w:t>U.S. District Judge Paul A. Engelmayer ruled that Amarin "may engage in truthful and non-misleading speech promoting the off-label use of Vascepa." More specifically, he ruled, disseminating such information cannot serve as the basis for the FDA or the government to charge the company and its sales personnel. He said the First Amendment allows the company to make such statements, if they are truthful and not misleading.</w:t>
        <w:br/>
        <w:br/>
        <w:t>The FDA has long insisted that companies break the law if they attempt to market a drug for a purpose not approved by the agency.</w:t>
        <w:br/>
        <w:br/>
        <w:t>Vascepa was approved in July 2012 for people with "severe" high levels of triglycerides in their blood. The company has sought FDA approval of the drug to treat somewhat lower, but still elevated, levels of the fats. That use is at issue in the New York case.</w:t>
        <w:br/>
        <w:br/>
        <w:t>The Justice Department has successfully extracted billions of dollars in settlements from companies that were found to promote their drugs beyond their approved use. The Vascepa ruling, while only by one district court, could change the future of such cases.</w:t>
        <w:br/>
        <w:br/>
        <w:t>Alan Bennett, an attorney with the firm Ropes &amp; Gray in Washington, D.C., said the decision "underscores the need for the FDA to rethink and make changes in how it regulates medical information. This is just the latest court decision that challenges the underlying policies of the regulatory oversight system."</w:t>
        <w:br/>
        <w:br/>
        <w:t>Mr. Bennett, who represents a wide range of pharmaceutical companies, said he expects the decision to "expedite review" by the FDA of its policy.</w:t>
        <w:br/>
        <w:br/>
        <w:t>Amarin was represented by Floyd Abrams, the renowned First Amendment lawyer with the firm Cahill Gordon &amp; Reindel.</w:t>
        <w:br/>
        <w:br/>
        <w:t>"The FDA and the Department of Justice are certainly on notice now as to what the law is in this area," Mr. Abrams said.</w:t>
        <w:br/>
        <w:br/>
        <w:t>The FDA and Justice Department both declined to comment.</w:t>
        <w:br/>
        <w:br/>
        <w:t>The FDA had said in a letter to the pharmaceutical industry in June 2014 that it would be issuing a guidance about what its new standards are for promoting medical products. But it hasn't issued such a guidance since then.</w:t>
        <w:br/>
        <w:br/>
        <w:t>The Amarin case follows a similar one decided in January 2013, in which the government had sought to prosecute a drug-company salesman, Alfred Caronia. Mr. Caronia had been convicted of marketing a narcolepsy drug for drowsiness and chronic fatigue—purposes not approved by the FDA.</w:t>
        <w:br/>
        <w:br/>
        <w:t>The federal appellate court in Brooklyn, N.Y., said the FDA's regulation of such marketing was a violation of Mr. Caronia's free-speech rights. The FDA didn't appeal that decision.</w:t>
        <w:br/>
        <w:br/>
        <w:t>Write to Thomas M. Burton at tom.burton@wsj.com</w:t>
        <w:br/>
        <w:br/>
        <w:t>(END) Dow Jones Newswires</w:t>
        <w:br/>
        <w:br/>
        <w:t>August 07, 2015 11:55 ET (15:55 GMT)</w:t>
      </w:r>
    </w:p>
    <w:p>
      <w:pPr>
        <w:pStyle w:val="Heading1"/>
      </w:pPr>
      <w:r>
        <w:t>End of Article 9</w:t>
      </w:r>
    </w:p>
    <w:p>
      <w:r>
        <w:br w:type="page"/>
      </w:r>
    </w:p>
    <w:p>
      <w:pPr>
        <w:pStyle w:val="Heading1"/>
      </w:pPr>
      <w:r>
        <w:t>Start of Article 10</w:t>
      </w:r>
    </w:p>
    <w:p>
      <w:pPr>
        <w:pStyle w:val="Heading1"/>
      </w:pPr>
      <w:r>
        <w:t>Document ID DJDN000020150604eb64003sw</w:t>
      </w:r>
    </w:p>
    <w:p>
      <w:r>
        <w:t>Thursday's 18-to-6 vote came with a big caveat—a program is needed to highlight worrisome side effects and interactions with other medicines. But the panel's vote marks a turning point in women's health.</w:t>
        <w:br/>
        <w:br/>
        <w:t>The drug has been the focus of a long-running debate over the extent to which female sexual dysfunction is a genuine medical problem, whether medicines should be used for treatment and the extent to which the FDA would approve new drugs amid accusations of gender bias. "This condition has been mired in a lot of folklore and misconceptions," said Cindy Whitehead, Sprout's chief executive.</w:t>
        <w:br/>
        <w:br/>
        <w:t>The drug itself has been controversial. Flibanserin has twice been rejected by the FDA. The first time occurred in 2010, when Boehringer Ingelheim owned the medication, and the agency decided the drug wasn't sufficiently effective. The next rejection came two years ago after the FDA determined flibanserin showed only "modest" benefits in increasing sexual satisfaction.</w:t>
        <w:br/>
        <w:br/>
        <w:t>Sprout responded by joining an online campaign called "Even the Score" that was formed with other drug makers and a coalition of consumer advocacy groups, which tried to pressure the FDA to approve more drugs to treat female sexual dysfunction. The initiative garnered some support in Congress, prompting a few lawmakers to meet with the FDA.</w:t>
        <w:br/>
        <w:br/>
        <w:t>The campaign pushed the notion that the agency had approved more than two dozen medicines to treat erectile dysfunction but none to treat female sexual dysfunction, although the FDA has noted that there are 21 medicines already approved that contain estrogen to treat pain during sexual intercourse and vaginal dryness associated with menopause. These problems, however, are not the same as desire.</w:t>
        <w:br/>
        <w:br/>
        <w:t>In documents filed prior to the meeting, Hylton Joffe, director of the FDA's Division of Bone, Reproductive and Urologic Products, wrote that the "FDA rejects claims of gender bias and that such claims "are misleading and inaccurate." The FDA did, however, provide a path toward approval by allowing Sprout to run short-term studies to test flibanserin for signs of driving impairment after taking the pill as well as its effects when interacting with other medicines.</w:t>
        <w:br/>
        <w:br/>
        <w:t>The FDA advisory panel was underwhelmed, though, with the overall safety and effectiveness data demonstrated in the various studies that Sprout submitted. For instance, dizziness occurred nearly five times among women on the drug compared with a placebo. And sleepiness occurred more than three times as often, while fainting occurred twice as often on the drug.</w:t>
        <w:br/>
        <w:br/>
        <w:t>The panel also expressed concerns over interactions with drinking alcohol. And while the drug showed a statistically significant improvement in the number of satisfying sexual events, the increase in desire was measured on a monthly, not a daily basis. Moreover, panel members noted the improvements were modest.</w:t>
        <w:br/>
        <w:br/>
        <w:t>"It's exciting we'll have this in our armorarium… but we all wish it was a better drug," said panel member Amy Whitaker, an assistant professor in the Department of Obstetrics and Gynecology at the University of Chicago.</w:t>
        <w:br/>
        <w:br/>
        <w:t>"As a feminist, I'm delighted people are taking women's sexual issues seriously, but recommending approval for this drug isn't the correct response," said Cindy Pearson, executive director of the National Women's Health Network. "This sets a low bar."</w:t>
        <w:br/>
        <w:br/>
        <w:t>Write to Ed Silverman at Ed.Silverman@wsj.com</w:t>
        <w:br/>
        <w:br/>
        <w:t>(END) Dow Jones Newswires</w:t>
        <w:br/>
        <w:br/>
        <w:t>June 04, 2015 17:45 ET (21:45 GMT)</w:t>
      </w:r>
    </w:p>
    <w:p>
      <w:pPr>
        <w:pStyle w:val="Heading1"/>
      </w:pPr>
      <w:r>
        <w:t>End of Article 10</w:t>
      </w:r>
    </w:p>
    <w:p>
      <w:r>
        <w:br w:type="page"/>
      </w:r>
    </w:p>
    <w:p>
      <w:pPr>
        <w:pStyle w:val="Heading1"/>
      </w:pPr>
      <w:r>
        <w:t>Start of Article 11</w:t>
      </w:r>
    </w:p>
    <w:p>
      <w:pPr>
        <w:pStyle w:val="Heading1"/>
      </w:pPr>
      <w:r>
        <w:t>Document ID RTTNEW0020151130ebbu00461</w:t>
      </w:r>
    </w:p>
    <w:p>
      <w:r>
        <w:t>St. Jude Medical said it has further enhanced ease-of-use and familiarity for patients by leveraging Bluetooth wireless technology and Apple mobile digital devices for the Proclaim Elite SCS system's patient controller and clinician programmer. This will help to improve interaction with the device and allow for effective management of their chronic pain treatment.</w:t>
        <w:br/>
        <w:br/>
        <w:t>In addition, by providing access to both traditional SCS and burst stimulation from St. Jude Medical in one SCS system, the device can improve patient outcomes and provide options for patients who either did not initially respond to traditional SCS therapy or those who might lose pain relief over time.</w:t>
        <w:br/>
        <w:br/>
        <w:t>The Proclaim Elite SCS system is upgradeable, allowing easier access to future therapy and software advances as they are approved in the future.</w:t>
        <w:br/>
        <w:br/>
        <w:t>For comments and feedback: contact editorial@rttnews.com</w:t>
        <w:br/>
        <w:br/>
        <w:t>Copyright(c) 2015 RTTNews.com. All Rights Reserved</w:t>
      </w:r>
    </w:p>
    <w:p>
      <w:pPr>
        <w:pStyle w:val="Heading1"/>
      </w:pPr>
      <w:r>
        <w:t>End of Article 11</w:t>
      </w:r>
    </w:p>
    <w:p>
      <w:r>
        <w:br w:type="page"/>
      </w:r>
    </w:p>
    <w:p>
      <w:pPr>
        <w:pStyle w:val="Heading1"/>
      </w:pPr>
      <w:r>
        <w:t>Start of Article 12</w:t>
      </w:r>
    </w:p>
    <w:p>
      <w:pPr>
        <w:pStyle w:val="Heading1"/>
      </w:pPr>
      <w:r>
        <w:t>Document ID DRIDY00020150520eb5k00006</w:t>
      </w:r>
    </w:p>
    <w:p>
      <w:r>
        <w:t>Some 2,300 individual complaints were consolidated in the Philadelphia case, which claims manufacturers failed to warn of risks of tardive dyskinesia on the label of generic Reglan (metoclopramide).</w:t>
        <w:br/>
        <w:br/>
        <w:t>Previously, the court denied requests to review the Pennsylvania court's rulings in Teva Pharmaceuticals v. Dorothy Bennett, on April 27, and in Morton Grove Pharmaceuticals v. Adams, Sparkell, et al on March 23 (DID, April 16).</w:t>
        <w:br/>
        <w:br/>
        <w:t>This was Teva's fourth stab at getting the nation's highest court to consider failure-to-warn arguments. At the end of March, the Supreme Court rejected generics subsidiary Pliva's request to hear similar arguments in an Iowa Supreme Court decision, leaving the drugmaker vulnerable to lawsuits under state law.</w:t>
        <w:br/>
        <w:br/>
        <w:t>And in January, the Supreme Court turned down Teva's request to review a California appeals court ruling that would also make generics makers liable for failing to update labels to reflect new risks.</w:t>
        <w:br/>
        <w:br/>
        <w:t>Teva declined to comment on the decision. -- Jonathon Shacat</w:t>
        <w:br/>
        <w:br/>
        <w:t>Release date: 20150520</w:t>
      </w:r>
    </w:p>
    <w:p>
      <w:pPr>
        <w:pStyle w:val="Heading1"/>
      </w:pPr>
      <w:r>
        <w:t>End of Article 12</w:t>
      </w:r>
    </w:p>
    <w:p>
      <w:r>
        <w:br w:type="page"/>
      </w:r>
    </w:p>
    <w:p>
      <w:pPr>
        <w:pStyle w:val="Heading1"/>
      </w:pPr>
      <w:r>
        <w:t>Start of Article 13</w:t>
      </w:r>
    </w:p>
    <w:p>
      <w:pPr>
        <w:pStyle w:val="Heading1"/>
      </w:pPr>
      <w:r>
        <w:t>Document ID LFSW000020151020ebak001dv</w:t>
      </w:r>
    </w:p>
    <w:p>
      <w:r>
        <w:t>The news reporters obtained a quote from the research from Genentech, Inc., "Previously, modification by oxidation and advanced glycation end products (AGEs) had been shown to give rise to colored and fluorescent species whose spectral properties are in agreement with the spectral properties of CHO-derived recombinant antibodies. To test whether these modifications give rise to the color exhibited in our CHO-derived antibodies, we searched for 8 different oxidation and 28 different glycation and AGE modifications by mass spectrometry in a variety of samples exhibiting varying color intensities. Oxidation and glycation modifications correlated weakly with color in a subset of samples, but several AGEs exhibited a strong correlation with product color in all samples tested. This strong correlation with sample color was verified for a specific AGE, carboxymethyllysine, by ELISA, thus validating the mass spectrometry data."</w:t>
        <w:br/>
        <w:br/>
        <w:t>According to the news reporters, the research concluded: "These data indicate that AGEs are at least partially responsible for the color seen in CHO-derived recombinant antibodies."</w:t>
        <w:br/>
        <w:br/>
        <w:t>For more information on this research see: Recombinant antibody color resulting from advanced glycation end product modifications. Analytical Chemistry, 2014;86(19):9816-23. (American Chemical Society - www.acs.org; Analytical Chemistry - www.pubs.acs.org/journal/ancham)</w:t>
        <w:br/>
        <w:br/>
        <w:t>Our news correspondents report that additional information may be obtained by contacting M. Butko, Protein Analytical Chemistry, Genentech , 1 DNA Way, South San Francisco, California 94080, United States. Additional authors for this research include H. Pallat, A. Cordoba and X.C Yu.</w:t>
        <w:br/>
        <w:br/>
        <w:t>Keywords for this news article include: Antibodies, California, Immunology, United States, Blood Proteins, Immunoglobulins, South San Francisco, North and Central America.</w:t>
        <w:br/>
        <w:br/>
        <w:t>Our reports deliver fact-based news of research and discoveries from around the world. Copyright 2015, NewsRx LLC</w:t>
      </w:r>
    </w:p>
    <w:p>
      <w:pPr>
        <w:pStyle w:val="Heading1"/>
      </w:pPr>
      <w:r>
        <w:t>End of Article 13</w:t>
      </w:r>
    </w:p>
    <w:p>
      <w:r>
        <w:br w:type="page"/>
      </w:r>
    </w:p>
    <w:p>
      <w:pPr>
        <w:pStyle w:val="Heading1"/>
      </w:pPr>
      <w:r>
        <w:t>Start of Article 14</w:t>
      </w:r>
    </w:p>
    <w:p>
      <w:pPr>
        <w:pStyle w:val="Heading1"/>
      </w:pPr>
      <w:r>
        <w:t>Document ID DJDN000020151209ebc9002ac</w:t>
      </w:r>
    </w:p>
    <w:p>
      <w:r>
        <w:t>10:56 ET - The auto-financing market looks stable but there is long-term risk due to rising average-transaction prices and extended term loans, according to a panel hosted by Wells Fargo. S&amp;P's Amy Martin said subprime loans represent a lower percentage of originations compared to last cycle, and independent finance companies that have come lately to the auto-loan market may find themselves struggling as interest rates go up. But the number of off-lease vehicles is expected to rise in the coming years, which should help moderate valuations. Dealers also appear to be in much better shape than during 2007/08, though participants disagreed on whether there is more pent-up demand in the consumer market. The National Automobile Dealers Association also says CFPB is creating unnecessary uncertainty with focus on dealer-financing regulations. (gautham.nagesh@wsj.com; @gnagesh)</w:t>
        <w:br/>
        <w:br/>
        <w:t>10:54 ET - At Costco's (COST) top-of-the-hour F1Q conference call, Baird "will be listening for color on new-member signups and renewal rates" as memberships--COST's primary source of profit--appears to be slowing. Cowen adds to what extent currency shifts ate into profits, as well as inventory levels outpacing sales, are other points of concern. Still, the investment bank sees "COST's structurally healthier traffic, strong value and treasure-hunt store experience, and global growth as competitive advantages versus traditional retailers and Amazon." COST is down 4.2% at $161.77 amid its EPS miss. (sarah.nassauer@wsj.com)</w:t>
        <w:br/>
        <w:br/>
        <w:t>10:50 ET - Why not make it bigger? Investors are wildly cheering news of a megamerger between DOW and DuPont (DD) with historic stock gains. DOW jumps 11%, or some $5.50/share. According to FactSet, the stock has never added more than $3.42 in a single session (data are adjusted for stock splits) since at least 1972 and hasn't had a double-digit percentage gain since 2009. Meanwhile, DD's best gain in FactSet's records is $5.17; the stock is up $8.24, or 12%. The percentage jump would also be the biggest since at least 1972, and the stock has only logged 3 double-digit gains the past 43 years, led by an 11.5% jump in 2008. (david.benoit@wsj.com; @DaveCBenoit)</w:t>
        <w:br/>
        <w:br/>
        <w:t>10:48 ET - Textron (TXT) remains bullish on prospects for its homegrown Scorpion combat jet, even though the Pentagon has so far declined to bite on the low-cost plane. TXT says the addressable market could exceed 1,000 planes, split between 10-15 potential buyers. Crucially, it's reached a deal with the Pentagon to certify the plane even if the US military isn't buying, a stamp of approval that would help export sales. The first-production aircraft is due to fly next summer. TXT recently up 2.2% at $42.10, ahead of the broader aerospace market. (doug.cameron@wsj.com; @dougcameron)</w:t>
        <w:br/>
        <w:br/>
        <w:t>10:39 ET - John Arnold made billions in the energy market with bets on natural gas prices, first at Enron and then at his hedge fund Centaurus Energy. He retired in 2012 while still in his 30s and now channels his work through a foundation focused on crime reduction, education improvement and pharmaceutical-pricing reform. But he is still closely followed by people in the energy industry, and a tweet from his account Tuesday got some attention. He said: "With few hedges for '16, half of US energy industry will be bankrupt in 6 months with prices at these levels. OPEC definitely smells blood." (christian.berthelsen@wsj.com)</w:t>
        <w:br/>
        <w:br/>
        <w:t>10:29 ET - Fitch sees stability in the US auto sector for 2016 on "modest global" sales growth. This as the ratings agency likes the steps most companies have taken to improve their balance sheets while injecting more flexibility into operations. It thinks US light-vehicle sales should come in around 17.5M in 2016, versus Fitch's 2015 view of 17.2M. But it could be on the wrong side of the guessing game at least for this year as many in the auto industry are now calling for 17.4M if December stays hot. (jeff.bennett@wsj.com)</w:t>
        <w:br/>
        <w:br/>
        <w:t>10:24 ET - Stocks have entered a "mature phase," which means the days of double-digit returns are likely a thing of the past, according to Deutsche Bank's wealth-management business. "2016 and beyond should only yield mid-single-digit total returns," writes Henning Gebhardt, global head of equities, in the annual outlook. "At the same time, we have to acknowledge a higher risk that annual returns could easily turn negative." The group sees little room for valuations to move higher and future returns to be built on "moderate earnings growth and dividends." (dan.strumpf@wsj.com)</w:t>
        <w:br/>
        <w:br/>
        <w:t>10:24 ET - Employee error is the most common reason for a data breach at companies, according to a cybersecurity report by the Association of Corporate Counsel. The report, which contained survey responses from more than 1,000 in-house lawyers in 30 countries, found that 30% of breaches this year occurred as a result of employee error, such as accidentally sending an email with sensitive information to someone outside the company. Other common reasons for a breach included unauthorized access by insiders intending to steal company data and phishing attacks, when third parties send emails designed to trick employees into giving up their personal information. (Nicole.hong@wsj.com)</w:t>
        <w:br/>
        <w:br/>
        <w:t>10:23 ET - Now that Kinder Morgan (KMI) has cut its dividend, MLP investors may be wondering who's next. Though KMI is no longer set up as a partnership, it pioneered a structure now common for pipeline companies and known for paying out large amounts of cash to investors. CEO Steven Kean tells WSJ the model is still a good one--even though it's not working at the moment. "I think generally the idea of distributing to shareholders the cash that you generate for your business and raising the capital to expand the business is a pretty good model. However it doesn't work in the capital market where the cost of capital escalates the way it has in today's equity markets." (alison.sider@wsj.com; @alyrose)</w:t>
        <w:br/>
        <w:br/>
        <w:t>10:21 ET - Most, but not all, analysts expect the Bank of Mexico to follow any Fed interest-rate increase next week by raising its own 3% overnight rate. "Although it will be a close call, we are sticking with our nonconsensus view that the Mexican central bank will leave rates unchanged this month even if the Fed raises rates," says Capital Economics. Barclays has a similar view, sticking to its call that the central bank will stay on hold, and that only "a very-violent market reaction might force the Bank of Mexico to react." Annual CPI slowed to 2.21% in November, the lowest on records since 1970. (anthony.harrup@wsj.com)</w:t>
        <w:br/>
        <w:br/>
        <w:t>10:19 ET - How much might DOW pay to combine with chemical rival DuPont (DD)? Jefferies thinks DOW could offer as much as $78/share and still argue the deal is a good one. That price would be 17% above yesterday's close. But don't expect this to be the last word on chemical-industry dealmaking. WSJ's report of the talks could spur seed-and-pesticide maker Syngenta (SYNN.VX) to step up quickly with a competing offer for DD or prompt renewed talks with Monsanto (MON), the investment bank muses. And if DOW and DD do go forward, the reshuffling isn't like to end soon as plans to integrate and then split up the combined company could be a lengthy process--taking up to 5 years in Jefferies' estimation. Both stocks are up 11%, with DOW hitting a fresh record high. (alison.sider@wsj.com; @alyrose)</w:t>
        <w:br/>
        <w:br/>
        <w:t>(END) Dow Jones Newswires</w:t>
        <w:br/>
        <w:br/>
        <w:t>December 09, 2015 11:09 ET (16:09 GMT)</w:t>
      </w:r>
    </w:p>
    <w:p>
      <w:pPr>
        <w:pStyle w:val="Heading1"/>
      </w:pPr>
      <w:r>
        <w:t>End of Article 14</w:t>
      </w:r>
    </w:p>
    <w:p>
      <w:r>
        <w:br w:type="page"/>
      </w:r>
    </w:p>
    <w:p>
      <w:pPr>
        <w:pStyle w:val="Heading1"/>
      </w:pPr>
      <w:r>
        <w:t>Start of Article 15</w:t>
      </w:r>
    </w:p>
    <w:p>
      <w:pPr>
        <w:pStyle w:val="Heading1"/>
      </w:pPr>
      <w:r>
        <w:t>Document ID PHBW000020150612eb6f00037</w:t>
      </w:r>
    </w:p>
    <w:p>
      <w:r>
        <w:t>"Guanfacine extended-release tablets join Teva's current generic line of seven ADHD products," commented Brendan O'Grady, President and CEO, North America Generic Medicines. "We recognize the need to make affordable generic treatment options available to patients with ADHD."</w:t>
        <w:br/>
        <w:br/>
        <w:t>INTUNIV(R) (guanfacine) 1 mg, 2 mg, 3 mg, and 4 mg, had total market sales of approximately $804 million in the United States, according to IMS data as of March 2015. About Guanfacine Extended-Release Tablets Guanfacine extended-release tablets are indicated for the treatment of attention deficit hyperactivity disorder (ADHD) as monotherapy and as adjunctive therapy to stimulant medications. Safety and efficacy of guanfacine extended-release tablets in pediatric patients less than 6 years of age have not been established. Important Safety Information Guanfacine extended-release tablets are contraindicated in patients with a history of a hypersensitivity reaction to guanfacine extended-release tablets or its inactive ingredients, or other products containing guanfacine. Rash and pruritus have been reported.</w:t>
        <w:br/>
        <w:br/>
        <w:t>Treatment with guanfacine extended-release tablets can cause dose-dependent decreases in blood pressure and heart rate. Orthostatic hypotension and syncope have been reported. Somnolence and sedation were commonly reported adverse reactions in clinical studies. The sympatholytic action of guanfacine extended-release tablets may worsen sinus node dysfunction and atrioventricular (AV) block, especially in patients taking other sympatholytic drugs.</w:t>
        <w:br/>
        <w:br/>
        <w:t>Most common adverse reactions (= 5% and at least twice placebo rate) in clinical trials: somnolence, fatigue, hypotension, nausea, lethargy, abdominal pain, insomnia, dizziness, dry mouth, irritability, vomiting, and bradycardia.</w:t>
        <w:br/>
        <w:br/>
        <w:t>Keywords for this news article include: Teva Pharmaceutical Industries Ltd, Guanfacine, Guanidines, Pediatrics, Phenylacetates.</w:t>
        <w:br/>
        <w:br/>
        <w:t>Our reports deliver fact-based news of research and discoveries from around the world. Copyright 2015, NewsRx LLC</w:t>
      </w:r>
    </w:p>
    <w:p>
      <w:pPr>
        <w:pStyle w:val="Heading1"/>
      </w:pPr>
      <w:r>
        <w:t>End of Article 15</w:t>
      </w:r>
    </w:p>
    <w:p>
      <w:r>
        <w:br w:type="page"/>
      </w:r>
    </w:p>
    <w:p>
      <w:pPr>
        <w:pStyle w:val="Heading1"/>
      </w:pPr>
      <w:r>
        <w:t>Start of Article 16</w:t>
      </w:r>
    </w:p>
    <w:p>
      <w:pPr>
        <w:pStyle w:val="Heading1"/>
      </w:pPr>
      <w:r>
        <w:t>Document ID ATPHAM0020150115eb1e000eq</w:t>
      </w:r>
    </w:p>
    <w:p>
      <w:r>
        <w:t>EnteroMedics Inc. (NASDAQ: ETRM) today announced that the U.S. Food and Drug Administration (FDA) has approved VBLOC vagal blocking therapy, delivered via the Maestro System, for the treatment of adult patients with obesity who have a Body Mass Index (BMI) of at least 40 to 45 kg/m2, or a BMI of at least 35 to 39.9 kg/m2 with a related health condition such as high blood pressure or high cholesterol levels, and who have tried to lose weight in a supervised weight management program within the past five years. The Maestro System is the first new medical device to be approved by the FDA for obesity in over ten years. EnteroMedics anticipates that the device will be available, on a limited basis, at select Bariatric Centers of Excellence in the U.S. this year. The Maestro System has received CE Mark and is listed on the Australian Register of Therapeutic Goods.</w:t>
        <w:br/>
        <w:br/>
        <w:t>"VBLOC Therapy offers an entirely new approach to the treatment of obesity," said Scott Shikora, MD, FACS, EnteroMedics' Chief Consulting Medical Officer. "By blocking signals along the nerves that connect the brain and stomach, VBLOC to reduces feelings of hunger and promotes earlier feelings of fullness, which can help people with obesity reduce the number of calories consumed and promote safe, healthy and durable weight loss."</w:t>
        <w:br/>
        <w:br/>
        <w:t>The Maestro System is a pacemaker-like device that is implanted, usually in an outpatient procedure, to control both hunger and fullness by intermittently blocking the primary nerve which regulates the digestive system, the vagus nerve. VBLOC Therapy does not surgically alter or restrict the digestive system, does not create barriers to prevent absorption of nutrients and is completely reversible, allowing patients to lose weight without lifestyle compromises.</w:t>
        <w:br/>
        <w:br/>
        <w:t>"Obesity is a global epidemic with far-reaching cost and consequences to both public and personal health," said Caroline M. Apovian, MD, FACP, FACN, Professor of Medicine at Boston University School of Medicine, and Director, Nutrition and Weight Management at Boston Medical Center. "From diet and exercise to bypass surgery, existing treatment options have failed to stop the advance of this disease. The Maestro System adds a safe and effective new weapon to our armamentarium, offering the patient a treatment option that does not physically restrict or alter the anatomy, and is reversible."</w:t>
        <w:br/>
        <w:br/>
        <w:t>"The Obesity Action Coalition applauds the FDA and EnteroMedics for making available the first device for the treatment of obesity in more than a decade. There is no 'one-size-fits-all' approach to treating the disease of obesity. We believe strongly that expanded treatment options are essential to individuals affected by obesity, so that along with their healthcare provider, they can make an informed decision on which option, or options, may work best to improve their health," said Joe Nadglowski, Obesity Action Coalition President and CEO.</w:t>
        <w:br/>
        <w:br/>
        <w:t>"FDA approval of VBLOC Therapy is a transformational event for not only EnteroMedics and the many supporters who have helped us achieve this milestone but, more importantly, for the people with the diseases of obesity that have been waiting for a new option," said Mark B. Knudson, Ph.D., EnteroMedics' President and Chief Executive Officer. "The Maestro System fills a significant gap in the currently available treatment options, offering clinically meaningful weight loss without the fear or many of the side effects associated with existing bariatric options. We thank the many patients, and their families, who have participated in the clinical trials of VBLOC Therapy. We are also grateful to the physicians and healthcare providers who have worked with us on these clinical trials, our dedicated employees, as well as to the FDA for their efforts in making this technology available."</w:t>
        <w:br/>
        <w:br/>
        <w:t>Information about the Maestro System and VBLOC Therapy</w:t>
        <w:br/>
        <w:br/>
        <w:t>Approval of the Maestro Rechargeable System was based on the ReCharge Study, a randomized, double-blind, sham-controlled trial to evaluate the safety and effectiveness of the Maestro Rechargeable System in treating obesity. In an intention to treat (ITT) analysis of the study results, VBLOC-treated patients achieved 24.4% excess weight loss (EWL) at 12 months. At 18 months, VBLOC-treated patients maintained a 23.5% EWL. In a responder analysis of the ITT population at 12 months, over 50% of VBLOC-treated patients achieved 20% or greater EWL.</w:t>
        <w:br/>
        <w:br/>
        <w:t>The SAE (severe adverse event) rate, defined as the proportion of subjects in the VBLOC treated group who experienced an implant/revision procedure, device or therapy-related SAE through 12 months post-implant, was 3.7% (n=6; 95% CI: 1.4% to 7.9%) in the ITT population. The most common (&gt;10%) non-serious adverse events related to device, implant/revision procedure or therapy were pain at the neuroregulator site, and transient sensations of therapy such as heartburn/dyspepsia.</w:t>
        <w:br/>
        <w:br/>
        <w:t>VBLOC Therapy is contraindicated for use in patients with cirrhosis of the liver, portal hypertension, esophageal varices or an uncorrectable, clinically significant hiatal hernia; patients for whom magnetic resonance imaging (MRI) or diathermy use is planned; patients at high risk for surgical complications; and patients who have a permanently implanted, electrical-powered medical device or gastrointestinal device or prosthesis (e.g. pacemakers, implanted defibrillators, neurostimulators).</w:t>
        <w:br/>
        <w:br/>
        <w:t>If you are interested in learning more about VBLOC Therapy, please visit (www.enteromedics.com/vbloc or call 1-800-MY-VBLOC).</w:t>
        <w:br/>
        <w:br/>
        <w:t>For additional prescribing information, please visit (www.enteromedics.com)</w:t>
        <w:br/>
        <w:br/>
        <w:t>Obesity Facts and Figures</w:t>
        <w:br/>
        <w:br/>
        <w:t>According to the CDC, more than one-third of U.S. adults live with obesity1. The estimated annual cost of obesity in the U.S. was $147 billion in 2008, accounting for more than twice previous estimates, approximately 21 percent, of U.S. healthcare costs.,2,3. Higher BMI is a major risk factor for over 70 comorbidities associated with obesity, such as cardiovascular disease which was the leading cause of death in 2012, diabetes, hypertension, musculoskeletal disorders and some cancers4.</w:t>
        <w:br/>
        <w:br/>
        <w:t>Conference Call for Investors</w:t>
        <w:br/>
        <w:br/>
        <w:t>EnteroMedics will host a webcast and conference call for investors Apto discuss the recent FDA action today at 12:00 PM Eastern Time (9:00 AM Pacific Time). To participate, please dial (877) 280-7473 (US) or (707) 287-9370 (International). Use conference ID 67146231. To access a live audio webcast of the conference call, please visit "Events" under "Investors" section on the company's website at: (www.enteromedics.com).</w:t>
        <w:br/>
        <w:br/>
        <w:t>A replay of the call will be made available from 3:00 PM ET on January 15, 2015 until April 14, 2015 at 11:59 PM ET.To hear a replay of the call, dial (855) 859-2056 (US) or (404) 537-3406 (International). A replay of the call will also be available under "Events" in the "Investors" section on the company's website at: (www.enteromedics.com).</w:t>
        <w:br/>
        <w:br/>
        <w:t>Source: EnteroMedics Inc.</w:t>
      </w:r>
    </w:p>
    <w:p>
      <w:pPr>
        <w:pStyle w:val="Heading1"/>
      </w:pPr>
      <w:r>
        <w:t>End of Article 16</w:t>
      </w:r>
    </w:p>
    <w:p>
      <w:r>
        <w:br w:type="page"/>
      </w:r>
    </w:p>
    <w:p>
      <w:pPr>
        <w:pStyle w:val="Heading1"/>
      </w:pPr>
      <w:r>
        <w:t>Start of Article 17</w:t>
      </w:r>
    </w:p>
    <w:p>
      <w:pPr>
        <w:pStyle w:val="Heading1"/>
      </w:pPr>
      <w:r>
        <w:t>Document ID NBPPBS0020150502eb53000p7</w:t>
      </w:r>
    </w:p>
    <w:p>
      <w:r>
        <w:t>Michael Babich has served as our President since November 2010 and was appointed as our Chief Executive Officer in March 2011. Mr. Babich has also served on our Board since 2008. From March 2007 until November 2010, Mr. Babich served as the Chief Operating Officer and a director of Insys Pharma, our wholly-owned subsidiary, which was responsible for the initial development of Dronabinol SG Capsule and many of our product candidates, including Subsys and our other dronabinol product candidates. Prior to that, from 2001 to 2007, Mr. Babich worked at EJ Financial Enterprises, a venture capital firm specializing in early stage and startup investments primarily in the healthcare sector. During his time at EJ Financial Enterprises, Mr. Babich held various roles and worked on various projects, including private equity transactions, asset management and strategic consulting for both public and private companies. Prior to his work at EJ Financial Enterprises, Mr. Babich worked at the Northern Trust Corporation managing mid- to large-cap portfolios for high net worth individuals. Mr. Babich also has served as a director and in management roles at Alliant Pharmaceuticals. Mr. Babich received an MBA from the Kellogg School of Management at Northwestern University and a B.A. from the University of Illinois at Urbana-Champaign. We believe that Mr. Babich's business expertise, including his experience working with the investment community, provides him the operational expertise, breadth of knowledge and valuable understanding of our industry to qualify him to serve on our board of directors and as our President and Chief Executive Officer.</w:t>
        <w:br/>
        <w:br/>
        <w:t>MANAGEMENT SCORECARD FOR INSYS THERAPEUTICS, INC.:</w:t>
        <w:br/>
        <w:br/>
        <w:t>Michael L. Babich's performance for Insys Therapeutics is placed 449/2,380 in BSS News Bites's ranking of NASDAQ performers in the past year, a percentile ranking of 79%.</w:t>
        <w:br/>
        <w:br/>
        <w:t>Key Financials:</w:t>
        <w:br/>
        <w:br/>
        <w:t>(all figures in pct)</w:t>
        <w:br/>
        <w:br/>
        <w:t xml:space="preserve"> Revenue Growth  EPS Growth  Operating Margin ROE</w:t>
        <w:br/>
        <w:t>2014            123.7       -26.1             -     22.9</w:t>
        <w:br/>
        <w:t>2013            541.6       -                 32.8  50.8</w:t>
        <w:br/>
        <w:br/>
        <w:br/>
        <w:t xml:space="preserve"> Share Price (USD)  Market Capitalisation ($)</w:t>
        <w:br/>
        <w:t>Last Traded May 01 53.4 1.9 billion</w:t>
        <w:br/>
        <w:t>1 Year ago         41.1 1.4 billion</w:t>
        <w:br/>
        <w:br/>
        <w:br/>
        <w:t>Remuneration</w:t>
        <w:br/>
        <w:br/>
        <w:t>Year: 2014</w:t>
        <w:br/>
        <w:br/>
        <w:t>Salary ($): 389,229</w:t>
        <w:br/>
        <w:br/>
        <w:t>Bonus ($): 500,000</w:t>
        <w:br/>
        <w:br/>
        <w:t>Option Awards ($): 1,649,370</w:t>
        <w:br/>
        <w:br/>
        <w:t>All Other Compensation ($): 1,307</w:t>
        <w:br/>
        <w:br/>
        <w:t>Total ($):2,539,906</w:t>
        <w:br/>
        <w:br/>
        <w:t>Source: BuySellSignals.com</w:t>
      </w:r>
    </w:p>
    <w:p>
      <w:pPr>
        <w:pStyle w:val="Heading1"/>
      </w:pPr>
      <w:r>
        <w:t>End of Article 17</w:t>
      </w:r>
    </w:p>
    <w:p>
      <w:r>
        <w:br w:type="page"/>
      </w:r>
    </w:p>
    <w:p>
      <w:pPr>
        <w:pStyle w:val="Heading1"/>
      </w:pPr>
      <w:r>
        <w:t>Start of Article 18</w:t>
      </w:r>
    </w:p>
    <w:p>
      <w:pPr>
        <w:pStyle w:val="Heading1"/>
      </w:pPr>
      <w:r>
        <w:t>Document ID DJDN000020150506eb56001xv</w:t>
      </w:r>
    </w:p>
    <w:p>
      <w:r>
        <w:t>SAN FRANCISCO, May 6, 2015</w:t>
        <w:br/>
        <w:br/>
        <w:t>SAN FRANCISCO, May 6, 2015 /PRNewswire/ -- Medizone International, Inc. (The Company) (MZEI:OB, MZEI:QB), manufacturers of the AsepticSure(R) Hospital Disinfection System, have recently announced that the same biological indicators used to confirm medical instrument sterilization in autoclaves, may also be used to confirm absolute bactericidal kill for hospital room disinfection.</w:t>
        <w:br/>
        <w:br/>
        <w:t>Biological indicators are considered the only process indicators that can directly monitor the lethality of a given cleaning process and are recommended by the FDA for all autoclave usage. Spore test strips have now become the reference standard for routine quality assurance of hospital instrument sterilization and, according to the FDA, they should be utilized with each autoclave load.</w:t>
        <w:br/>
        <w:br/>
        <w:t>In laboratory testing Medizone has discovered that the same spore test strips are completely inactivated (killed) when placed in a room during an AsepticSure run. Over twenty-five runs have now been completed using two different commonly used types of spore test strips and in each case the results have been the same. During testing, spore test strips that were placed under beds, on the floor, on walls and behind objects are completely deactivated 100% of the time. The implications of this finding are profound in that our AsepticSure Hospital Disinfection System can now demonstrate via independent, internationally recognized testing processes, a level of decontamination previously not considered achievable outside of an autoclave.</w:t>
        <w:br/>
        <w:br/>
        <w:t>Hospital testing is confirming that once an isolation room has been disinfected with the AsepticSure process, the "sick room cycle" is broken, and no new infections will be generated from that room for significant periods of time. This has proven true for MRSA (staph infections), C.difficile and Pseudomonas aeruginosa. The AsepticSure process is demonstrating a previously unobtainable level of hospital room disinfection within normal workflows while obtaining real reductions in new hospital associated infection rates. AsepticSure is the only hospital disinfection system that can guarantee a greater than 6-log (&gt;99.9999%) kill of infective pathogens throughout the entire room, and now independently verify it with the same testing products used to confirm instrument sterilization in autoclaves.</w:t>
        <w:br/>
        <w:br/>
        <w:t>This Press Release may contain certain forward looking statements that could involve substantial risks and uncertainties, including, but not limited to, the results of ongoing clinical studies, economic conditions, product and technology development, production efficiencies, product demand, competitive products, competitive environment, successful testing and government regulatory issues. Additional risks are identified in the company's filings made with the Securities and Exchange Commission.</w:t>
        <w:br/>
        <w:br/>
        <w:t>For press information on Medizone International, please contact:</w:t>
        <w:br/>
        <w:br/>
        <w:t>John Pentony, Investor Relations, Medizone International, Inc.</w:t>
        <w:br/>
        <w:br/>
        <w:t>T: (415) 331-0202</w:t>
        <w:br/>
        <w:br/>
        <w:t>E: j.pentony@medizoneint.com</w:t>
        <w:br/>
        <w:br/>
        <w:t>Gary Hanauer, Media Contact Medizone International, Inc.</w:t>
        <w:br/>
        <w:br/>
        <w:t>T: (510) 686-1238</w:t>
        <w:br/>
        <w:br/>
        <w:t>E: GarHan@aol.com</w:t>
        <w:br/>
        <w:br/>
        <w:t>For more information, visit:</w:t>
        <w:br/>
        <w:br/>
        <w:t>http://www.medizoneint.com</w:t>
        <w:br/>
        <w:br/>
        <w:t>Email: operations@medizoneint.com</w:t>
        <w:br/>
        <w:br/>
        <w:t>To view the original version on PR Newswire, visit:http://www.prnewswire.com/news-releases/hospital-rooms-cleaned-to-autoclave-standards-300078137.html</w:t>
        <w:br/>
        <w:br/>
        <w:t>SOURCE Medizone International, Inc.</w:t>
        <w:br/>
        <w:br/>
        <w:t>/Web site: http://www.medizoneint.com</w:t>
        <w:br/>
        <w:br/>
        <w:t>(END) Dow Jones Newswires</w:t>
        <w:br/>
        <w:br/>
        <w:t>May 06, 2015 08:35 ET (12:35 GMT)</w:t>
      </w:r>
    </w:p>
    <w:p>
      <w:pPr>
        <w:pStyle w:val="Heading1"/>
      </w:pPr>
      <w:r>
        <w:t>End of Article 18</w:t>
      </w:r>
    </w:p>
    <w:p>
      <w:r>
        <w:br w:type="page"/>
      </w:r>
    </w:p>
    <w:p>
      <w:pPr>
        <w:pStyle w:val="Heading1"/>
      </w:pPr>
      <w:r>
        <w:t>Start of Article 19</w:t>
      </w:r>
    </w:p>
    <w:p>
      <w:pPr>
        <w:pStyle w:val="Heading1"/>
      </w:pPr>
      <w:r>
        <w:t>Document ID BIOELSE020150818eb8a00007</w:t>
      </w:r>
    </w:p>
    <w:p>
      <w:r>
        <w:t>Website: http://www.biospace.com</w:t>
      </w:r>
    </w:p>
    <w:p>
      <w:pPr>
        <w:pStyle w:val="Heading1"/>
      </w:pPr>
      <w:r>
        <w:t>End of Article 19</w:t>
      </w:r>
    </w:p>
    <w:p>
      <w:r>
        <w:br w:type="page"/>
      </w:r>
    </w:p>
    <w:p>
      <w:pPr>
        <w:pStyle w:val="Heading1"/>
      </w:pPr>
      <w:r>
        <w:t>Start of Article 20</w:t>
      </w:r>
    </w:p>
    <w:p>
      <w:pPr>
        <w:pStyle w:val="Heading1"/>
      </w:pPr>
      <w:r>
        <w:t>Document ID HAMW000020150828eb8s0005o</w:t>
      </w:r>
    </w:p>
    <w:p>
      <w:r>
        <w:t>Our news editors obtained a quote from the research from Duke University, "Images were reconstructed with filtered back projection (FBP) and with advanced modeled iterative reconstruction (ADMIRE) with iterative strengths of 3, 4, and 5. Image quality was assessed in terms of the noise power spectrum (NPS), task transfer function (TTF), and detectability index for a range of detection tasks (contrasts of approximately 45, 90, 300, -900, and 1000 HU, and 2-20 mm diameter) based on a non-prewhitening matched filter model observer with eye filter. Image noise magnitude decreased with decreasing phantom size, increasing dose, and increasing ADMIRE strength, offering up to 64% noise reduction relative to FBP. Noise texture in terms of the NPS was similar between FBP and ADMIRE (&lt;5% shift in peak frequency). The resolution, based on the TTF, improved with increased ADMIRE strength by an average of 15% in the TTF 50% frequency for ADMIRE-5. The detectability index increased with increasing dose and ADMIRE strength by an average of 55%, 90%, and 163% for ADMIRE 3, 4, and 5, respectively. Assessing the impact of mA modulation for a fixed average dose over the length of the phantom, detectability was up to 49% lower in smaller phantom sections and up to 26% higher in larger phantom sections for the modulated scan compared to a fixed tube current scan. Overall, the detectability exhibited less variability with phantom size for modulated scans compared to fixed tube current scans. Image quality increased with increasing dose and decreasing phantom size. The CT system exhibited nonlinear noise and resolution properties, especially at very low-doses, large phantom sizes, and for low-contrast objects. Objective image quality metrics generally increased with increasing dose and ADMIRE strength, and with decreasing phantom size. The ADMIRE algorithm could offer comparable image quality at reduced doses or improved image quality at the same dose."</w:t>
        <w:br/>
        <w:br/>
        <w:t>According to the news editors, the research concluded: "The use of tube current modulation resulted in more consistent image quality with changing phantom size."</w:t>
        <w:br/>
        <w:br/>
        <w:t>For more information on this research see: Characteristic image quality of a third generation dual-source MDCT scanner: Noise, resolution, and detectability. Medical Physics, 2015;42(8):4941-4953. Medical Physics can be contacted at: Amer Assoc Physicists Medicine Amer Inst Physics, Ste 1 No 1, 2 Huntington Quadrangle, Melville, NY 11747-4502, USA. (American Association of Physicists in Medicine - www.aapm.org; Medical Physics - online.medphys.org/)</w:t>
        <w:br/>
        <w:br/>
        <w:t>The news editors report that additional information may be obtained by contacting J. Solomon, Duke University, Pratt Sch Engn, Dept. of Elect &amp; Comp Engn, Durham, NC 27705, United States. Additional authors for this research include J. Wilson and E. Samei.</w:t>
        <w:br/>
        <w:br/>
        <w:t>Keywords for this news article include: Durham, United States, North Carolina, Health and Medicine, North and Central America</w:t>
        <w:br/>
        <w:br/>
        <w:t>Our reports deliver fact-based news of research and discoveries from around the world. Copyright 2015, NewsRx LLC</w:t>
      </w:r>
    </w:p>
    <w:p>
      <w:pPr>
        <w:pStyle w:val="Heading1"/>
      </w:pPr>
      <w:r>
        <w:t>End of Article 20</w:t>
      </w:r>
    </w:p>
    <w:p>
      <w:r>
        <w:br w:type="page"/>
      </w:r>
    </w:p>
    <w:p>
      <w:pPr>
        <w:pStyle w:val="Heading1"/>
      </w:pPr>
      <w:r>
        <w:t>Start of Article 21</w:t>
      </w:r>
    </w:p>
    <w:p>
      <w:pPr>
        <w:pStyle w:val="Heading1"/>
      </w:pPr>
      <w:r>
        <w:t>Document ID FREG000020151222ebcm00023</w:t>
      </w:r>
    </w:p>
    <w:p>
      <w:r>
        <w:t>ADDRESSES: Requests for copies of the patent application, inquiries, comments, and other materials relating to the contemplated exclusive license should be directed to Martha Lubet, Ph.D., Technology Transfer Specialist, NCI TTC, 9609 Medical Center Drive, Room IE350, and Rockville, MD 20850. Telephone: (240) 276-5508. Facsimile: (240) 276-5505. Email: lubetm@mail.nih.gov.</w:t>
        <w:br/>
        <w:br/>
        <w:t>SUPPLEMENTARY INFORMATION: This invention concerns analogues of modafinil and methods of using the analogues for the treatment of substance use disorders and sleep disorders.</w:t>
        <w:br/>
        <w:br/>
        <w:t>The prospective exclusive start-up option license will be royalty bearing and will comply with the terms and conditions of 35 U.S.C. 209 and 37 CFR part 404. The prospective exclusive start-up option may be granted unless within fifteen (15) days from the date of this published notice, the NCI receives written evidence and argument that establishes that the grant of the license would not be consistent with the requirements of 35 U.S.C. 209 and 37 CFR part 404.</w:t>
        <w:br/>
        <w:br/>
        <w:t>Complete applications for a license in the field of use filed in response to this notice will be treated as objections to the grant of the contemplated exclusive start-up option license. Comments and objections submitted to this notice will not be made available for public inspection and, to the extent permitted by law, will not be released under the Freedom of Information Act, 5 U.S.C. 552.</w:t>
        <w:br/>
        <w:br/>
        <w:t>Intellectual Property:</w:t>
        <w:br/>
        <w:br/>
        <w:t>U.S. provisional application 61/774,878, filed March 8, 2013 entitled "Potent and Selective Inhibitors of Monamine Transporters; Methods of Making; and Uses Thereof" [HHS Ref. No. E-073-2013/0-US-01];</w:t>
        <w:br/>
        <w:br/>
        <w:t>PCT application PCT/US2014/021514, filed March 7, 2014 entitled "Potent and Selective Analogues of: Monamine Transporters; Methods of Making; and Uses Thereof" [HHS Ref. No. E-073-2013/0-PCT-02];</w:t>
        <w:br/>
        <w:br/>
        <w:t>U.S. application 14/772,486, filed September 3, 2015 entitled "Potent and Selective Analogues of Monamine Transporters; Methods of Making; and Uses Thereof" [HHS Ref. No. E-073-2013/0-US-06];</w:t>
        <w:br/>
        <w:br/>
        <w:t>EPO application 14714043.8, filed September 1, 2015 entitled "Potent and Selective Analogues of Monamine Transporters; Methods of Making; and Uses Thereof" [HHS Ref. No. E-073-2013/0-EP-05];</w:t>
        <w:br/>
        <w:br/>
        <w:t>Australian application 2014225550, filed September 8, 2015 entitled "Potent and Selective Analogues of Monamine Transporters; Methods of Making; and Uses Thereof" [HHS Ref. No. E-073-2013/0-AU-03];</w:t>
        <w:br/>
        <w:br/>
        <w:t>Canadian application 2903746, filed September 2, 2015 entitled "Potent and Selective Analogues of Monamine Transporters; Methods of Making; and Uses Thereof" [HHS Ref. No. E-073-2013/0-CA-04];</w:t>
        <w:br/>
        <w:br/>
        <w:t>The patent rights to these inventions have been assigned to and/or exclusively licensed to the Government of the United States of America.</w:t>
        <w:br/>
        <w:br/>
        <w:t>The prospective exclusive start-up option licensed territory may be worldwide and the field of use may be limited to: (a) Treatment of substance use disorders and/or (b) treatment of sleep disorders.</w:t>
        <w:br/>
        <w:br/>
        <w:t>Upon the expiration or termination of the exclusive start-up option license, EncepHeal Therapeutics, Inc. will have the exclusive right to execute a start-up exclusive commercialization license which will supersede and replace the exclusive start-up option license with no greater field of use and territory than granted in the exclusive start-up option license.</w:t>
        <w:br/>
        <w:br/>
        <w:t>Dated: December 17, 2015.</w:t>
        <w:br/>
        <w:br/>
        <w:t>Richard U. Rodriguez,</w:t>
        <w:br/>
        <w:br/>
        <w:t>Associate Director, Technology Transfer Center, National Cancer Institute.</w:t>
        <w:br/>
        <w:br/>
        <w:t>[FR Doc. 2015-32141 Filed 12-21-15; 8:45 am]</w:t>
        <w:br/>
        <w:br/>
        <w:t>BILLING CODE 4140-01-P</w:t>
      </w:r>
    </w:p>
    <w:p>
      <w:pPr>
        <w:pStyle w:val="Heading1"/>
      </w:pPr>
      <w:r>
        <w:t>End of Article 21</w:t>
      </w:r>
    </w:p>
    <w:p>
      <w:r>
        <w:br w:type="page"/>
      </w:r>
    </w:p>
    <w:p>
      <w:pPr>
        <w:pStyle w:val="Heading1"/>
      </w:pPr>
      <w:r>
        <w:t>Start of Article 22</w:t>
      </w:r>
    </w:p>
    <w:p>
      <w:pPr>
        <w:pStyle w:val="Heading1"/>
      </w:pPr>
      <w:r>
        <w:t>Document ID CTRW000020150529eb6100017</w:t>
      </w:r>
    </w:p>
    <w:p>
      <w:r>
        <w:t>Our news journalists obtained a quote from the research from the University of Southampton, "To gain more detailed insights into this hypothesis, we performed a systematic literature review. Literature about occurrence of TCR was systematically identified through searching in Cochrane Central Register of Controlled Trials (CENTRAL), PubMed (MEDLINE), EMBASE (Ovid SP), and the Institute for Scientific Information (ISI Web of Sciences) databases until June 2013, as well as reference lists of articles for risk calculation. In this study, TCR was defined as drop in mean arterial blood pressure and heart rate, both &gt;20% to baseline. We calculated intraoperative cerebral state index (CSI) of each TCR-case using a newly developed method. These data were further divided into 3 subgroups: CSI &lt;40 (deep anesthesia), CSI 40-60 (regular anesthesia), and CSI &gt;60 (slight anesthesia). Including 45 studies with 910 patients, 140 (15%) presented with TCR, and 770 (85%) without TCR during operation. TCR occurrence showed a 1.2-fold higher pooled risk slighter anesthesia (CSI &lt;40: 13%, at CSI 40-60: 21%, and at CSI &gt;60: 27%) compared with deeper anesthesia. In addition, we could discover a 1.3-fold higher pooled risk of higher MABP drop with a strong negative correlation (r = -0.935; r(2) = 0.89) and a 4.5-fold higher pooled risk of asystole during TCR under slight anesthesia compared with deeper anesthesia. Our work is the first systematic review about TCR and demonstrates clear evidence for TCR occurrence and a more severe course of the TCR in slight anesthesia underlying the importance of skills in anesthesia management during skull base surgery."</w:t>
        <w:br/>
        <w:br/>
        <w:t>According to the news editors, the research concluded: "Furthermore, we have introduced a new standard method to calculate the depth of anesthesia."</w:t>
        <w:br/>
        <w:br/>
        <w:t>For more information on this research see: Anesthetic Influence on Occurrence and Treatment of the Trigemino-Cardiac Reflex A Systematic Literature Review. Medicine, 2015;94(18):46-53. Medicine can be contacted at: Lippincott Williams &amp; Wilkins, Two Commerce Sq, 2001 Market St, Philadelphia, PA 19103, USA. (Elsevier - www.elsevier.com; Medicine - www.elsevier.com/wps/product/cws_home/709606)</w:t>
        <w:br/>
        <w:br/>
        <w:t>Our news journalists report that additional information may be obtained by contacting C. Meuwly, University of Southampton, Dept. of Res, Southampton, Hants, United Kingdom. Additional authors for this research include T. Chowdhury, N. Sandu, M. Reck, P. Erne and B. Schaller.</w:t>
        <w:br/>
        <w:br/>
        <w:t>Keywords for this news article include: Europe, Anesthesia, Cardiology, Southampton, Pain Medicine, United Kingdom</w:t>
        <w:br/>
        <w:br/>
        <w:t>Our reports deliver fact-based news of research and discoveries from around the world. Copyright 2015, NewsRx LLC</w:t>
      </w:r>
    </w:p>
    <w:p>
      <w:pPr>
        <w:pStyle w:val="Heading1"/>
      </w:pPr>
      <w:r>
        <w:t>End of Article 22</w:t>
      </w:r>
    </w:p>
    <w:p>
      <w:r>
        <w:br w:type="page"/>
      </w:r>
    </w:p>
    <w:p>
      <w:pPr>
        <w:pStyle w:val="Heading1"/>
      </w:pPr>
      <w:r>
        <w:t>Start of Article 23</w:t>
      </w:r>
    </w:p>
    <w:p>
      <w:pPr>
        <w:pStyle w:val="Heading1"/>
      </w:pPr>
      <w:r>
        <w:t>Document ID BWR0000020150825eb8p0001a</w:t>
      </w:r>
    </w:p>
    <w:p>
      <w:r>
        <w:t>"NYC Surgical Associates is proud to be at the forefront of innovation and provide our patients with the most advanced technology to effectively treat various vascular diseases and disorders, " said David Greuner, MD, co-founder and the managing director of NYC Surgical Associates and a cardiovascular and thoracic surgeon. "The EOS(TM) device meets the clinical needs of our patients with efficiency and assurance. As an embolization device to cut off extra, problem-causing blood flow, the EOS(TM) can be used in treating everything from uterine fibroids, to removing the blood flow to shrink benign and malignant tumors, to resolving issues such as varicocele and pelvic congestion syndrome, which are situations in which there is too much blood pooling from malfunctioning veins in the pelvis."</w:t>
        <w:br/>
        <w:br/>
        <w:t>Dr. Greuner considers a 100% blood flow reduction in the target vessel as it acts as an expandable plug a huge advantage of the EOS(TM), whereas all of the other devices on the market require packing, often of multiple devices, to create a seal. "This means that with the EOS(TM) device, only one step leads to a very precise seal, minimizing operative time, effort and hardware used," said Dr. Greuner. "Because a complete seal is achieved immediately, when correctly deployed it also results in a reduction of dye used to check and recheck each step of the procedure, which is overall much more healthy for the patient."</w:t>
        <w:br/>
        <w:br/>
        <w:t>A leading multi-specialty surgical practice in the NYC metro area, NYC Surgical Associates' (NYSCA) offices include fully equipped and accredited operating facilities, as well as privileges at top-rated ambulatory centers in both Manhattan and New Jersey. Clinical service areas include diagnostics, internal medicine, anesthesia, general surgery, vascular, weight loss surgery, orthopedics, neuromuscular and pain, neurosurgery/spine, and plastic surgery.</w:t>
        <w:br/>
        <w:br/>
        <w:t>The practice was established by Dr. David Greuner, a leading cardiovascular surgeon, and Dr. Adam Tonis in November 2010. Today, NYCSA has locations in Manhattan; Pearl River, NY; Roslyn NY; Hampton Bays, NY: and West Caldwell, NJ.</w:t>
        <w:br/>
        <w:br/>
        <w:t>Experience, talent and impeccable training are the hallmarks of the surgical experts, with education and training from some of the world's most renowned institutions, including Mount Sinai School of Medicine affiliates, Rush University, Harvard University, and The Cleveland Clinic. NYCSA surgeons are represented on some of the nation's most coveted "best of" lists, including "America's Top Surgeons" and Marquis "Who's Who," and are routinely voted as leaders in their field by peers.</w:t>
        <w:br/>
        <w:br/>
        <w:t>For more information, visit www.nycsurgical.net.</w:t>
        <w:br/>
        <w:br/>
        <w:t>View source version on businesswire.com: http://www.businesswire.com/news/home/20150825005537/en/</w:t>
      </w:r>
    </w:p>
    <w:p>
      <w:pPr>
        <w:pStyle w:val="Heading1"/>
      </w:pPr>
      <w:r>
        <w:t>End of Article 23</w:t>
      </w:r>
    </w:p>
    <w:p>
      <w:r>
        <w:br w:type="page"/>
      </w:r>
    </w:p>
    <w:p>
      <w:pPr>
        <w:pStyle w:val="Heading1"/>
      </w:pPr>
      <w:r>
        <w:t>Start of Article 24</w:t>
      </w:r>
    </w:p>
    <w:p>
      <w:pPr>
        <w:pStyle w:val="Heading1"/>
      </w:pPr>
      <w:r>
        <w:t>Document ID PHBW000020150723eb7n000c2</w:t>
      </w:r>
    </w:p>
    <w:p>
      <w:r>
        <w:t>The international trademark goods and services class code for this trademark application is 005.</w:t>
        <w:br/>
        <w:br/>
        <w:t>As submitted by the applicant, this trademark application relates to the following goods and services: Nutritionally fortified beverages.</w:t>
        <w:br/>
        <w:br/>
        <w:t>The owner/registrar information for this application is: Kalina Pagano, Vital Pharmaceuticals, 1600 North Park Drive, Weston FL 3332</w:t>
        <w:br/>
        <w:br/>
        <w:t>Keywords for this news article include: Vital Pharmaceuticals, Trademarks.</w:t>
        <w:br/>
        <w:br/>
        <w:t>Our reports deliver fact-based news of research and discoveries from around the world. Copyright 2015, NewsRx LLC</w:t>
      </w:r>
    </w:p>
    <w:p>
      <w:pPr>
        <w:pStyle w:val="Heading1"/>
      </w:pPr>
      <w:r>
        <w:t>End of Article 24</w:t>
      </w:r>
    </w:p>
    <w:p>
      <w:r>
        <w:br w:type="page"/>
      </w:r>
    </w:p>
    <w:p>
      <w:pPr>
        <w:pStyle w:val="Heading1"/>
      </w:pPr>
      <w:r>
        <w:t>Start of Article 25</w:t>
      </w:r>
    </w:p>
    <w:p>
      <w:pPr>
        <w:pStyle w:val="Heading1"/>
      </w:pPr>
      <w:r>
        <w:t>Document ID LFSW000020150612eb6g00216</w:t>
      </w:r>
    </w:p>
    <w:p>
      <w:r>
        <w:t>Our news editors obtained a quote from the research from the University of Minnesota, "Current pneumococcal conjugate vaccines are modestly protective against otitis media; however, limited serotype coverage and serotype replacement have led to the investigation of pneumococcal proteins as potential vaccine candidates. Two proteins, pneumococcal surface proteins A (PspA) and C (PspC) are important virulence factors, expressed by virtually all strains. Although a number of pneumococcal proteins have been investigated in other infection sites, these proteins can have diverse organ-specific effects. In this study, we investigated the viability and virulence of single (PspA(-) and PspC(-)) and double (PspA(-)/PspC(-)) mutants of pneumococcal PspA and PspC proteins in the chinchilla middle ear. Bullae of 24 chinchillas were inoculated with 0.5 ml of 106 colony forming units (CFUs)/ml bacteria: 6 with wild-type D39 strain; 6 with PspA(-); 6 with PspC(-); and 6 with PspA(-)/PspC(-) isogenic mutant strains. Bacterial CFU levels in middle ear effusions and light microscopic analysis of the number of inflammatory cells in the round window membrane (RWM) were compared 48 h after inoculation. At 48 h, CFUs in middle ears were increased for wild-type and PspC(-) strains compared to inoculum levels; however, they were significantly less for the group inoculated with the PspC(-) strain compared to wild-type strain. No bacteria were detected in the PspA(-) and PspA(-)/PspC(-) groups. The number of inflammatory cells in the RWM was significantly higher in wild-type compared to the PspA(-), PspC(-), and PspA(-)/PspC(-) groups. No significant difference in number of inflammatory cells was observed between any pairs of groups inoculated with mutant strains. Viability and virulence of the PspC(-) strain were similar to the wild-type strain. The single PspA(-) and double PspA(-)/PspC(-) mutants were highly attenuated in the ear. Bacterial clearance of the PspA(-)/PspC(-) double mutant was indistinguishable from that of the PspA mutant."</w:t>
        <w:br/>
        <w:br/>
        <w:t>According to the news editors, the research concluded: "These studies provide no reason to exclude PspC from a multi-component protein vaccine containing PspA."</w:t>
        <w:br/>
        <w:br/>
        <w:t>For more information on this research see: Pneumococcal PspA and PspC proteins: potential vaccine candidates for experimental otitis media. International Journal of Pediatric Otorhinolaryngology, 2014;78(9):1517-21. (Elsevier - www.elsevier.com; International Journal of Pediatric Otorhinolaryngology - www.elsevier.com/wps/product/cws_home/506038)</w:t>
        <w:br/>
        <w:br/>
        <w:t>The news editors report that additional information may be obtained by contacting P.A. Schachern, Departments of Otolaryngology, University of Minnesota, Minneapolis, MN, United States. Additional authors for this research include V. Tsuprun, P. Ferrieri, D.E. Briles, S. Goetz, S. Cureoglu, M.M. Paparella and S. Juhn.</w:t>
        <w:br/>
        <w:br/>
        <w:t>Keywords for this news article include: Peptides, Proteins, Minnesota, Minneapolis, Amino Acids, United States, Bacterial Vaccines, Biological Products, North and Central America, Experimental Otitis Media, Ear Diseases and Conditions, Bacterial Infections and Mycoses.</w:t>
        <w:br/>
        <w:br/>
        <w:t>Our reports deliver fact-based news of research and discoveries from around the world. Copyright 2015, NewsRx LLC</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C2ACA9F-B5D3-40BD-AF03-6BE8645CBAAB}"/>
</file>

<file path=customXml/itemProps3.xml><?xml version="1.0" encoding="utf-8"?>
<ds:datastoreItem xmlns:ds="http://schemas.openxmlformats.org/officeDocument/2006/customXml" ds:itemID="{D0A15209-BFE4-402B-858D-F0273A9E5A1F}"/>
</file>

<file path=customXml/itemProps4.xml><?xml version="1.0" encoding="utf-8"?>
<ds:datastoreItem xmlns:ds="http://schemas.openxmlformats.org/officeDocument/2006/customXml" ds:itemID="{89785D33-A1F6-4B3F-BD7C-9F7CF659218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