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xmlns:wp14="http://schemas.microsoft.com/office/word/2010/wordml" w:rsidP="0C23A411" w14:paraId="654946DC" wp14:textId="16B84928">
      <w:pPr>
        <w:pStyle w:val="Heading1"/>
        <w:rPr>
          <w:highlight w:val="yellow"/>
        </w:rPr>
      </w:pPr>
      <w:r w:rsidRPr="0C23A411" w:rsidR="0C23A411">
        <w:rPr>
          <w:highlight w:val="yellow"/>
        </w:rPr>
        <w:t>Start of Article 1</w:t>
      </w:r>
      <w:r w:rsidRPr="0C23A411" w:rsidR="0C23A411">
        <w:rPr>
          <w:highlight w:val="yellow"/>
        </w:rPr>
        <w:t xml:space="preserve"> - DONE</w:t>
      </w:r>
    </w:p>
    <w:p xmlns:wp14="http://schemas.microsoft.com/office/word/2010/wordml" w14:paraId="0B0C8B42" wp14:textId="77777777">
      <w:pPr>
        <w:pStyle w:val="Heading1"/>
      </w:pPr>
      <w:r>
        <w:t>Document ID ATPATN0020150601eb610000g</w:t>
      </w:r>
    </w:p>
    <w:p xmlns:wp14="http://schemas.microsoft.com/office/word/2010/wordml" w14:paraId="49FF73C8" wp14:textId="77777777">
      <w:r>
        <w:t>The abstract of the patent published by the Controller General of Patents, Designs &amp; Trade Marks states: "This invention provides novel pharmaceutical compositions of the compound of formula (I): or a pharmaceutically acceptable salt thereof, that are suitable for the bulk production of an oral pharmaceutical dosage form; processes for the production of said oral pharmaceutical dosage form; and the use of the pharmaceutical composition for the treatment of patients suffering from or subject to diseases, disorders, or conditions involving cell survival, proliferation and migration, including chronic inflammatory proliferative disorders, proliferative ocular disorders, benign proliferative disorders, and cancer."</w:t>
      </w:r>
      <w:r>
        <w:br/>
      </w:r>
      <w:r>
        <w:br/>
      </w:r>
      <w:r>
        <w:t>The Patent was published in the Issue No. 20/2015 of the Patent Office Journal on May 15, 2015.</w:t>
      </w:r>
    </w:p>
    <w:p xmlns:wp14="http://schemas.microsoft.com/office/word/2010/wordml" w14:paraId="1C71B958" wp14:textId="77777777">
      <w:pPr>
        <w:pStyle w:val="Heading1"/>
      </w:pPr>
      <w:r>
        <w:t>End of Article 1</w:t>
      </w:r>
    </w:p>
    <w:p xmlns:wp14="http://schemas.microsoft.com/office/word/2010/wordml" w14:paraId="672A6659" wp14:textId="77777777">
      <w:r>
        <w:br w:type="page"/>
      </w:r>
    </w:p>
    <w:p xmlns:wp14="http://schemas.microsoft.com/office/word/2010/wordml" w:rsidP="0C23A411" w14:paraId="1A1BB6B8" wp14:textId="3A2932F6">
      <w:pPr>
        <w:pStyle w:val="Heading1"/>
        <w:rPr>
          <w:highlight w:val="yellow"/>
        </w:rPr>
      </w:pPr>
      <w:r w:rsidRPr="0C23A411" w:rsidR="0C23A411">
        <w:rPr>
          <w:highlight w:val="yellow"/>
        </w:rPr>
        <w:t>Start of Article 2</w:t>
      </w:r>
      <w:r w:rsidRPr="0C23A411" w:rsidR="0C23A411">
        <w:rPr>
          <w:highlight w:val="yellow"/>
        </w:rPr>
        <w:t xml:space="preserve"> - DONE</w:t>
      </w:r>
    </w:p>
    <w:p xmlns:wp14="http://schemas.microsoft.com/office/word/2010/wordml" w14:paraId="79EAEE43" wp14:textId="77777777">
      <w:pPr>
        <w:pStyle w:val="Heading1"/>
      </w:pPr>
      <w:r>
        <w:t>Document ID ATPHAM0020151112ebbb0000b</w:t>
      </w:r>
    </w:p>
    <w:p xmlns:wp14="http://schemas.microsoft.com/office/word/2010/wordml" w14:paraId="34BB83B2" wp14:textId="77777777">
      <w:r>
        <w:t>A pilot of the program has been introduced at Geisinger Medical Center, the health system's main campus in Danville, Pa. A key component of the program is a patient app developed by Geisinger that allows certain surgery patients enrolled in the pilot to determine the amount of the refund they want based on their co-pay.</w:t>
      </w:r>
      <w:r>
        <w:br/>
      </w:r>
      <w:r>
        <w:br/>
      </w:r>
      <w:r>
        <w:t>For example, if a spine surgery patient paid a $1,000 co-pay and they weren't pleased with how office staff treated them, they can log into the app and select from a sliding scale how much of their co-pay they want refunded. They can choose from $1 to $1,000 and the refund request is processed within 3 to 5 business days.</w:t>
      </w:r>
      <w:r>
        <w:br/>
      </w:r>
      <w:r>
        <w:br/>
      </w:r>
      <w:r>
        <w:t>Feinberg doesn't anticipate the system will be abused and instead foresees patients sticking to the honor system.</w:t>
      </w:r>
      <w:r>
        <w:br/>
      </w:r>
      <w:r>
        <w:br/>
      </w:r>
      <w:r>
        <w:t>"Ultimately, they just want to be acknowledged and to spare other families any pain they might have experienced," he said.</w:t>
      </w:r>
      <w:r>
        <w:br/>
      </w:r>
      <w:r>
        <w:br/>
      </w:r>
      <w:r>
        <w:t>ProvenExperience is an evolution of Geisinger's renowned ProvenCare portfolio, which transformed the health care industry beginning in 2006 by proving that applying evidence-based protocols could reduce mortality rates, improve outcomes and reduce costly readmissions. It was deemed "surgery with a warranty" by The New York Times because if certain surgery patients are readmitted within 90 days with a preventable complication, they are taken care of at no extra charge.</w:t>
      </w:r>
      <w:r>
        <w:br/>
      </w:r>
      <w:r>
        <w:br/>
      </w:r>
      <w:r>
        <w:t>"Historically, Geisinger's reputation has been based on transforming the way health care is delivered," Feinberg said. "We've been held up as a national model for providing both high-quality and cost-effective medical care and our ProvenCare program has garnered national - and international - praise for eliminating unwarranted variation and applying scientific best practices. Now is the time to focus on compassion."</w:t>
      </w:r>
      <w:r>
        <w:br/>
      </w:r>
      <w:r>
        <w:br/>
      </w:r>
      <w:r>
        <w:t>ProvenExperience, he predicts, will transform the health care industry once again.</w:t>
      </w:r>
      <w:r>
        <w:br/>
      </w:r>
      <w:r>
        <w:br/>
      </w:r>
      <w:r>
        <w:t>"In the beginning, I talked to other health system CEOs and industry leaders about ProvenExperience and they all said, 'Don't do it.' I really felt dejected," Feinberg explained. "Then I thought about Kodak executives discussing digital photography. And Blockbuster talking about online video options. Were they also told 'Don't do it?' That's when I said to myself, 'We're doing it.'"</w:t>
      </w:r>
      <w:r>
        <w:br/>
      </w:r>
      <w:r>
        <w:br/>
      </w:r>
      <w:r>
        <w:t>Feinberg acknowledges that while some may see the money-back concept extreme, his focus is on "returning to the core of what we're supposed to do when given the privilege to take care of others."</w:t>
      </w:r>
      <w:r>
        <w:br/>
      </w:r>
      <w:r>
        <w:br/>
      </w:r>
      <w:r>
        <w:t>"Really, what people want is care that's accessible, understandable, dignified and culturally sensitive," he said. "To me, patient experience is about providing the same quality of care I want for my family. And from a leadership standpoint, I consider every patient to be a member of my family and so we've got to provide every one of them the same high-quality, compassionate care."</w:t>
      </w:r>
      <w:r>
        <w:br/>
      </w:r>
      <w:r>
        <w:br/>
      </w:r>
      <w:r>
        <w:t>Source: Geisinger Health System</w:t>
      </w:r>
    </w:p>
    <w:p xmlns:wp14="http://schemas.microsoft.com/office/word/2010/wordml" w14:paraId="0FDED580" wp14:textId="77777777">
      <w:pPr>
        <w:pStyle w:val="Heading1"/>
      </w:pPr>
      <w:r>
        <w:t>End of Article 2</w:t>
      </w:r>
    </w:p>
    <w:p xmlns:wp14="http://schemas.microsoft.com/office/word/2010/wordml" w14:paraId="0A37501D" wp14:textId="77777777">
      <w:r>
        <w:br w:type="page"/>
      </w:r>
    </w:p>
    <w:p xmlns:wp14="http://schemas.microsoft.com/office/word/2010/wordml" w:rsidP="0C23A411" w14:paraId="6E8EB604" wp14:textId="3DDF7EFD">
      <w:pPr>
        <w:pStyle w:val="Heading1"/>
        <w:rPr>
          <w:highlight w:val="yellow"/>
        </w:rPr>
      </w:pPr>
      <w:r w:rsidRPr="0C23A411" w:rsidR="0C23A411">
        <w:rPr>
          <w:highlight w:val="yellow"/>
        </w:rPr>
        <w:t>Start of Article 3</w:t>
      </w:r>
      <w:r w:rsidRPr="0C23A411" w:rsidR="0C23A411">
        <w:rPr>
          <w:highlight w:val="yellow"/>
        </w:rPr>
        <w:t xml:space="preserve"> - DONE</w:t>
      </w:r>
    </w:p>
    <w:p xmlns:wp14="http://schemas.microsoft.com/office/word/2010/wordml" w14:paraId="7A3A7A61" wp14:textId="77777777">
      <w:pPr>
        <w:pStyle w:val="Heading1"/>
      </w:pPr>
      <w:r>
        <w:t>Document ID BIWK000020150417eb4m000ps</w:t>
      </w:r>
    </w:p>
    <w:p xmlns:wp14="http://schemas.microsoft.com/office/word/2010/wordml" w14:paraId="796455CA" wp14:textId="77777777">
      <w:r>
        <w:t>Our news journalists obtained a quote from the research from the State University of New York, "Medications being used concomitantly should be reviewed closely when the etiology of hypoglycemia is unclear. A fifty-six-year-old woman with a history of diabetes mellitus (on metformin monotherapy) was found unresponsive at home. Her fingerstick glucose was 15 mg/dL for which she received 50% dextrose intravenously. The patient never had any previous documented hypoglycemic episodes. She had recently been diagnosed with pneumonia and was prescribed oral levofloxacin therapy. The patient had taken 4 doses of levofloxacin before the onset of hypoglycemia. These episodes recurred over the next 2 days needing close intensive care unit monitoring, dextrose infusion, and glucagon administration. Basic blood/urine investigations, cortisol and thyroid profile were normal except for low blood glucose and renal insufficiency (serum creatinine 1.4 mg/dL and creatinine clearance 42 mL/min). HbA1c was 6.8% (4.4%-6.4%), insulin 51.3 U/mL (2.6-24.9 U/mL), IGF-1 301 ng/mL(27-223 ng/mL), and C peptide 9.3 ng/mL (0.8-3.5 ng/mL). These levels were elevated but were deemed nondiagnostic because of fluctuating glucose values after glucagon administration. A blood screen for sulfonylureas and metaglinides was negative. A seventy-two-hour fast was performed to rule out hyperinsulinemic hypoglycemic syndromes; however, blood glucose values remained consistently above 120 mg/dL during this period."</w:t>
      </w:r>
      <w:r>
        <w:br/>
      </w:r>
      <w:r>
        <w:br/>
      </w:r>
      <w:r>
        <w:t>According to the news editors, the research concluded: "Thus, after exclusion of other causes, we utilized the adverse drug reaction probability scale and concluded that hypoglycemia was probably related to recent use of levofloxacin."</w:t>
      </w:r>
      <w:r>
        <w:br/>
      </w:r>
      <w:r>
        <w:br/>
      </w:r>
      <w:r>
        <w:t>For more information on this research see: Life-Threatening Metabolic Coma Caused by Levofloxacin. American Journal of Therapeutics, 2015;22(2):E48-E51. American Journal of Therapeutics can be contacted at: Lippincott Williams &amp; Wilkins, Two Commerce Sq, 2001 Market St, Philadelphia, PA 19103, USA. (Lippincott Williams and Wilkins - www.lww.com; American Journal of Therapeutics - journals.lww.com/americantherapeutics/pages/default.aspx)</w:t>
      </w:r>
      <w:r>
        <w:br/>
      </w:r>
      <w:r>
        <w:br/>
      </w:r>
      <w:r>
        <w:t>The news correspondents report that additional information may be obtained from N. Bansal, State University of New York, Dept. of Gastroenterol, Syracuse, NY 13210, United States. Additional authors for this research include D. Manocha and B. Madhira.</w:t>
      </w:r>
      <w:r>
        <w:br/>
      </w:r>
      <w:r>
        <w:br/>
      </w:r>
      <w:r>
        <w:t>Keywords for this news article include: Drugs, Therapy, Syracuse, New York, Proglucagon, United States, Peptide Hormones, Peptide Proteins, North and Central America</w:t>
      </w:r>
      <w:r>
        <w:br/>
      </w:r>
      <w:r>
        <w:br/>
      </w:r>
      <w:r>
        <w:t>Our reports deliver fact-based news of research and discoveries from around the world. Copyright 2015, NewsRx LLC</w:t>
      </w:r>
    </w:p>
    <w:p xmlns:wp14="http://schemas.microsoft.com/office/word/2010/wordml" w14:paraId="23301A02" wp14:textId="77777777">
      <w:pPr>
        <w:pStyle w:val="Heading1"/>
      </w:pPr>
      <w:r>
        <w:t>End of Article 3</w:t>
      </w:r>
    </w:p>
    <w:p xmlns:wp14="http://schemas.microsoft.com/office/word/2010/wordml" w14:paraId="5DAB6C7B" wp14:textId="77777777">
      <w:r>
        <w:br w:type="page"/>
      </w:r>
    </w:p>
    <w:p xmlns:wp14="http://schemas.microsoft.com/office/word/2010/wordml" w:rsidP="0C23A411" w14:paraId="35371ADB" wp14:textId="416CE5E9">
      <w:pPr>
        <w:pStyle w:val="Heading1"/>
        <w:rPr>
          <w:highlight w:val="yellow"/>
        </w:rPr>
      </w:pPr>
      <w:r w:rsidRPr="0C23A411" w:rsidR="0C23A411">
        <w:rPr>
          <w:highlight w:val="yellow"/>
        </w:rPr>
        <w:t>Start of Article 4</w:t>
      </w:r>
      <w:r w:rsidRPr="0C23A411" w:rsidR="0C23A411">
        <w:rPr>
          <w:highlight w:val="yellow"/>
        </w:rPr>
        <w:t xml:space="preserve"> - DONE</w:t>
      </w:r>
    </w:p>
    <w:p xmlns:wp14="http://schemas.microsoft.com/office/word/2010/wordml" w14:paraId="3C9284EB" wp14:textId="77777777">
      <w:pPr>
        <w:pStyle w:val="Heading1"/>
      </w:pPr>
      <w:r>
        <w:t>Document ID PBRELS0020150811eb8400007</w:t>
      </w:r>
    </w:p>
    <w:p xmlns:wp14="http://schemas.microsoft.com/office/word/2010/wordml" w14:paraId="2C44A2A1" wp14:textId="77777777">
      <w:r>
        <w:t>Website: http://www.pharmaceutical-business-review.com/</w:t>
      </w:r>
    </w:p>
    <w:p xmlns:wp14="http://schemas.microsoft.com/office/word/2010/wordml" w14:paraId="06BBFE80" wp14:textId="77777777">
      <w:pPr>
        <w:pStyle w:val="Heading1"/>
      </w:pPr>
      <w:r>
        <w:t>End of Article 4</w:t>
      </w:r>
    </w:p>
    <w:p xmlns:wp14="http://schemas.microsoft.com/office/word/2010/wordml" w14:paraId="02EB378F" wp14:textId="77777777">
      <w:r>
        <w:br w:type="page"/>
      </w:r>
    </w:p>
    <w:p xmlns:wp14="http://schemas.microsoft.com/office/word/2010/wordml" w:rsidP="0C23A411" w14:paraId="317907DB" wp14:textId="60544718">
      <w:pPr>
        <w:pStyle w:val="Heading1"/>
        <w:rPr>
          <w:highlight w:val="yellow"/>
        </w:rPr>
      </w:pPr>
      <w:r w:rsidRPr="0C23A411" w:rsidR="0C23A411">
        <w:rPr>
          <w:highlight w:val="yellow"/>
        </w:rPr>
        <w:t>Start of Article 5</w:t>
      </w:r>
      <w:r w:rsidRPr="0C23A411" w:rsidR="0C23A411">
        <w:rPr>
          <w:highlight w:val="yellow"/>
        </w:rPr>
        <w:t xml:space="preserve"> - DONE</w:t>
      </w:r>
    </w:p>
    <w:p xmlns:wp14="http://schemas.microsoft.com/office/word/2010/wordml" w14:paraId="1484A9A6" wp14:textId="77777777">
      <w:pPr>
        <w:pStyle w:val="Heading1"/>
      </w:pPr>
      <w:r>
        <w:t>Document ID HAMW000020151106ebb6000jz</w:t>
      </w:r>
    </w:p>
    <w:p xmlns:wp14="http://schemas.microsoft.com/office/word/2010/wordml" w14:paraId="591767A8" wp14:textId="77777777">
      <w:r>
        <w:t>Payne will dialyze live inside the RV at the National Kidney Foundation's Pittsburgh Kidney Walk on November 1(st) while Wells will act as his care partner. Payne, who traveled from his hometown of St. Louis to take part in the tour, will also dialyze in-center at the NxStage Kidney Care Pittsburgh clinic Open House on November 2(nd) to demonstrate how NxStage Kidney Care supports patients interested in traveling.</w:t>
      </w:r>
      <w:r>
        <w:br/>
      </w:r>
      <w:r>
        <w:br/>
      </w:r>
      <w:r>
        <w:t>"Most patients think that dialysis means you are confined to a center near home with a rigid treatment schedule," said Payne. "I'm thrilled to be part of this RV tour to help educate patients about flexible dialysis therapy options that can help others regain control of their lives."</w:t>
      </w:r>
      <w:r>
        <w:br/>
      </w:r>
      <w:r>
        <w:br/>
      </w:r>
      <w:r>
        <w:t>Payne began receiving regular dialysis treatments at the age of 20. After trying various treatment modalities, he began hemodialysis, first at home and later in-center five times a week with the NxStage(R) System One(TM) at NxStage Kidney Care St. Louis. The flexible options and scheduling available to him at NxStage Kidney Care has allowed Payne to enjoy an active lifestyle and spend more time with his two sons.</w:t>
      </w:r>
      <w:r>
        <w:br/>
      </w:r>
      <w:r>
        <w:br/>
      </w:r>
      <w:r>
        <w:t>Wells began dialyzing at home with the System One in 2007, and in 2011 he received a second transplant. Quickly after, Wells became a NxStage patient advocate and has been touring the country to share his experiences with home hemodialysis.</w:t>
      </w:r>
      <w:r>
        <w:br/>
      </w:r>
      <w:r>
        <w:br/>
      </w:r>
      <w:r>
        <w:t>NxStage Kidney Care has 14 centers nationwide offering multiple therapies using the NxStage System One, including flexible in-center hemodialysis, home hemodialysis (HHD), home nocturnal hemodialysis, and short-term respite care. The centers also offer peritoneal dialysis (PD), along with personalized training for all home therapies provided.</w:t>
      </w:r>
      <w:r>
        <w:br/>
      </w:r>
      <w:r>
        <w:br/>
      </w:r>
      <w:r>
        <w:t>Keywords for this news article include: Hemodialysis, Renal Dialysis, NxStage Medical Inc..</w:t>
      </w:r>
      <w:r>
        <w:br/>
      </w:r>
      <w:r>
        <w:br/>
      </w:r>
      <w:r>
        <w:t>Our reports deliver fact-based news of research and discoveries from around the world. Copyright 2015, NewsRx LLC</w:t>
      </w:r>
    </w:p>
    <w:p xmlns:wp14="http://schemas.microsoft.com/office/word/2010/wordml" w14:paraId="5BF0DC42" wp14:textId="77777777">
      <w:pPr>
        <w:pStyle w:val="Heading1"/>
      </w:pPr>
      <w:r>
        <w:t>End of Article 5</w:t>
      </w:r>
    </w:p>
    <w:p xmlns:wp14="http://schemas.microsoft.com/office/word/2010/wordml" w14:paraId="6A05A809" wp14:textId="77777777">
      <w:r>
        <w:br w:type="page"/>
      </w:r>
    </w:p>
    <w:p xmlns:wp14="http://schemas.microsoft.com/office/word/2010/wordml" w:rsidP="0C23A411" w14:paraId="384B2BF2" wp14:textId="133327C0">
      <w:pPr>
        <w:pStyle w:val="Heading1"/>
        <w:rPr>
          <w:highlight w:val="yellow"/>
        </w:rPr>
      </w:pPr>
      <w:r w:rsidRPr="0C23A411" w:rsidR="0C23A411">
        <w:rPr>
          <w:highlight w:val="yellow"/>
        </w:rPr>
        <w:t>Start of Article 6</w:t>
      </w:r>
      <w:r w:rsidRPr="0C23A411" w:rsidR="0C23A411">
        <w:rPr>
          <w:highlight w:val="yellow"/>
        </w:rPr>
        <w:t xml:space="preserve"> - DONE</w:t>
      </w:r>
    </w:p>
    <w:p xmlns:wp14="http://schemas.microsoft.com/office/word/2010/wordml" w14:paraId="77BD3401" wp14:textId="77777777">
      <w:pPr>
        <w:pStyle w:val="Heading1"/>
      </w:pPr>
      <w:r>
        <w:t>Document ID PBRELS0020150811eb8400007</w:t>
      </w:r>
    </w:p>
    <w:p xmlns:wp14="http://schemas.microsoft.com/office/word/2010/wordml" w14:paraId="6CF66A9E" wp14:textId="77777777">
      <w:r>
        <w:t>Website: http://www.pharmaceutical-business-review.com/</w:t>
      </w:r>
    </w:p>
    <w:p xmlns:wp14="http://schemas.microsoft.com/office/word/2010/wordml" w14:paraId="38C1D216" wp14:textId="77777777">
      <w:pPr>
        <w:pStyle w:val="Heading1"/>
      </w:pPr>
      <w:r>
        <w:t>End of Article 6</w:t>
      </w:r>
    </w:p>
    <w:p xmlns:wp14="http://schemas.microsoft.com/office/word/2010/wordml" w14:paraId="5A39BBE3" wp14:textId="77777777">
      <w:r>
        <w:br w:type="page"/>
      </w:r>
    </w:p>
    <w:p xmlns:wp14="http://schemas.microsoft.com/office/word/2010/wordml" w:rsidP="0C23A411" w14:paraId="5220BA90" wp14:textId="74AD7DE0">
      <w:pPr>
        <w:pStyle w:val="Heading1"/>
        <w:rPr>
          <w:highlight w:val="yellow"/>
        </w:rPr>
      </w:pPr>
      <w:r w:rsidRPr="0C23A411" w:rsidR="0C23A411">
        <w:rPr>
          <w:highlight w:val="yellow"/>
        </w:rPr>
        <w:t>Start of Article 7</w:t>
      </w:r>
      <w:r w:rsidRPr="0C23A411" w:rsidR="0C23A411">
        <w:rPr>
          <w:highlight w:val="yellow"/>
        </w:rPr>
        <w:t xml:space="preserve"> - DONE</w:t>
      </w:r>
    </w:p>
    <w:p xmlns:wp14="http://schemas.microsoft.com/office/word/2010/wordml" w14:paraId="53FCCC90" wp14:textId="77777777">
      <w:pPr>
        <w:pStyle w:val="Heading1"/>
      </w:pPr>
      <w:r>
        <w:t>Document ID BHLD000020150518eb5d00011</w:t>
      </w:r>
    </w:p>
    <w:p xmlns:wp14="http://schemas.microsoft.com/office/word/2010/wordml" w14:paraId="147BBC1A" wp14:textId="77777777">
      <w:r>
        <w:t>Yee said if the drug is approved, it will likely cost around $250,000, about $50,000 less than the company's other cystic fibrosis drug.</w:t>
      </w:r>
      <w:r>
        <w:br/>
      </w:r>
      <w:r>
        <w:br/>
      </w:r>
      <w:r>
        <w:t>Jeffrey Chodakewitz, chief medical officer and executive vice president of Vertex, said, “The positive recommendation brings the cystic fibrosis community one step closer to potential approval of the first medicine to treat the underlying cause of this disease for many more people."</w:t>
      </w:r>
      <w:r>
        <w:br/>
      </w:r>
      <w:r>
        <w:br/>
      </w:r>
      <w:r>
        <w:t>The FDA must still approve the drug, and is scheduled to make a decision by July 5. The agency is not bound by the advisory panel's vote, but often follows it. The drug Orkambi will treat the largest group of cystic fibrosis patients. Orkambi, if approved, would be the first drug to treat the underlying cause of cystic fibrosis in that population of roughly 8,500 people.</w:t>
      </w:r>
      <w:r>
        <w:br/>
      </w:r>
      <w:r>
        <w:br/>
      </w:r>
      <w:r>
        <w:t>Cystic fibrosis is caused by a genetic mutation that limits the flow of salt and water into and out of cells. Mucus can build in the lungs, leading to infections and eventually death.</w:t>
      </w:r>
      <w:r>
        <w:br/>
      </w:r>
      <w:r>
        <w:br/>
      </w:r>
      <w:r>
        <w:t>“The quote I've heard several patients say is ‘it gives me my life back,'" said Matt Roden, an analyst with UBS.</w:t>
      </w:r>
      <w:r>
        <w:br/>
      </w:r>
      <w:r>
        <w:br/>
      </w:r>
      <w:r>
        <w:t>Analysts expect Orkambi to reach $5 billion in sales annually. Trading on Vertex was halted during the daylong advisory panel meeting yesterday.</w:t>
      </w:r>
      <w:r>
        <w:br/>
      </w:r>
      <w:r>
        <w:br/>
      </w:r>
      <w:r>
        <w:t>— jordan.graham@bostonherald.com</w:t>
      </w:r>
    </w:p>
    <w:p xmlns:wp14="http://schemas.microsoft.com/office/word/2010/wordml" w14:paraId="65405D21" wp14:textId="77777777">
      <w:pPr>
        <w:pStyle w:val="Heading1"/>
      </w:pPr>
      <w:r>
        <w:t>End of Article 7</w:t>
      </w:r>
    </w:p>
    <w:p xmlns:wp14="http://schemas.microsoft.com/office/word/2010/wordml" w14:paraId="41C8F396" wp14:textId="77777777">
      <w:r>
        <w:br w:type="page"/>
      </w:r>
    </w:p>
    <w:p xmlns:wp14="http://schemas.microsoft.com/office/word/2010/wordml" w:rsidP="0C23A411" w14:paraId="112FA418" wp14:textId="1A7FE4DE">
      <w:pPr>
        <w:pStyle w:val="Heading1"/>
        <w:rPr>
          <w:highlight w:val="yellow"/>
        </w:rPr>
      </w:pPr>
      <w:r w:rsidRPr="0C23A411" w:rsidR="0C23A411">
        <w:rPr>
          <w:highlight w:val="yellow"/>
        </w:rPr>
        <w:t>Start of Article 8</w:t>
      </w:r>
      <w:r w:rsidRPr="0C23A411" w:rsidR="0C23A411">
        <w:rPr>
          <w:highlight w:val="yellow"/>
        </w:rPr>
        <w:t xml:space="preserve"> - DONE</w:t>
      </w:r>
    </w:p>
    <w:p xmlns:wp14="http://schemas.microsoft.com/office/word/2010/wordml" w14:paraId="711A84A9" wp14:textId="77777777">
      <w:pPr>
        <w:pStyle w:val="Heading1"/>
      </w:pPr>
      <w:r>
        <w:t>Document ID LONGNJ0020151117ebbg0002w</w:t>
      </w:r>
    </w:p>
    <w:p xmlns:wp14="http://schemas.microsoft.com/office/word/2010/wordml" w14:paraId="1DA018FC" wp14:textId="77777777">
      <w:r>
        <w:t>Darzalex, known chemically as daratumumab, helps immune system cells attack malignant multiple myeloma cells by binding to a protein on their surface. The infused drug then is believed to trigger death of tumor cells though multiple mechanisms, according to Johnson &amp; Johnson's Janssen biologic drug unit.</w:t>
      </w:r>
      <w:r>
        <w:br/>
      </w:r>
      <w:r>
        <w:br/>
      </w:r>
      <w:r>
        <w:t>SHARE</w:t>
      </w:r>
    </w:p>
    <w:p xmlns:wp14="http://schemas.microsoft.com/office/word/2010/wordml" w14:paraId="436A8518" wp14:textId="77777777">
      <w:pPr>
        <w:pStyle w:val="Heading1"/>
      </w:pPr>
      <w:r>
        <w:t>End of Article 8</w:t>
      </w:r>
    </w:p>
    <w:p xmlns:wp14="http://schemas.microsoft.com/office/word/2010/wordml" w14:paraId="72A3D3EC" wp14:textId="77777777">
      <w:r>
        <w:br w:type="page"/>
      </w:r>
    </w:p>
    <w:p xmlns:wp14="http://schemas.microsoft.com/office/word/2010/wordml" w:rsidP="0C23A411" w14:paraId="3A768C6B" wp14:textId="309DE937">
      <w:pPr>
        <w:pStyle w:val="Heading1"/>
        <w:rPr>
          <w:highlight w:val="yellow"/>
        </w:rPr>
      </w:pPr>
      <w:r w:rsidRPr="0C23A411" w:rsidR="0C23A411">
        <w:rPr>
          <w:highlight w:val="yellow"/>
        </w:rPr>
        <w:t>Start of Article 9</w:t>
      </w:r>
      <w:r w:rsidRPr="0C23A411" w:rsidR="0C23A411">
        <w:rPr>
          <w:highlight w:val="yellow"/>
        </w:rPr>
        <w:t xml:space="preserve"> - DONE</w:t>
      </w:r>
    </w:p>
    <w:p xmlns:wp14="http://schemas.microsoft.com/office/word/2010/wordml" w14:paraId="2997EDBA" wp14:textId="77777777">
      <w:pPr>
        <w:pStyle w:val="Heading1"/>
      </w:pPr>
      <w:r>
        <w:t>Document ID ATPHAB0020151019ebaj00036</w:t>
      </w:r>
    </w:p>
    <w:p xmlns:wp14="http://schemas.microsoft.com/office/word/2010/wordml" w14:paraId="1EEDA1E6" wp14:textId="77777777">
      <w:r>
        <w:t>Each partner will bring its respective world-leading expertise and technologies to the GHVCI and, collectively, the parties will collaborate with a wide range of other vaccine development organizations. Funding for the establishment, operation and growth of the GHVCI will come from Sanofi and the Gates Foundation, and additional funding will be sought to support collaborative research activities with respect to specific vaccines to be developed at the GHVCI.</w:t>
      </w:r>
      <w:r>
        <w:br/>
      </w:r>
      <w:r>
        <w:br/>
      </w:r>
      <w:r>
        <w:t>This distinctive collaboration leverages the potential power of the partners' collective expertise, combining IDRI's vaccine design, formulation and production technologies; Sanofi's position as a leading multi-national vaccine developer, manufacturer and seller; and the Gates Foundation's knowledge, influence and financial support regarding the discovery and development of global health interventions, including vaccines. A key component is the application of IDRI's vaccine adjuvant technologies and formulation expertise, which have been developed over the past few years with strong financial support from the Gates Foundation. These adjuvant technologies are uniquely designed to improve immune responses, broaden vaccine protection and significantly save costs by reducing the amount of vaccine needed.</w:t>
      </w:r>
      <w:r>
        <w:br/>
      </w:r>
      <w:r>
        <w:br/>
      </w:r>
      <w:r>
        <w:t>According to the World Health Organisation, vaccines have greatly reduced the burden of infectious diseases, including death tolls, disability and inequity, making "formerly fearsome" diseases a rarity in many parts of the world.</w:t>
      </w:r>
      <w:r>
        <w:br/>
      </w:r>
      <w:r>
        <w:br/>
      </w:r>
      <w:r>
        <w:t>"History has shown us that vaccines are one of the best ways to improve public health, but in today's world, we are faced with a newly emerging infectious diseases, as well as age-old threats, that either have no vaccines or vaccines that are not effective," said Steven G. Reed, Ph.D., founder, president and chief scientific officer for IDRI.</w:t>
      </w:r>
      <w:r>
        <w:br/>
      </w:r>
      <w:r>
        <w:br/>
      </w:r>
      <w:r>
        <w:t>"Combining that with the speed with which infectious diseases can travel the world, we need a new model for vaccine development, one that enables us to rapidly produce vaccines at a lower cost. The blend of the Gates Foundation's knowledge of global health and Sanofi's depth of vaccine development expertise is a perfect match for IDRI's unique technologies and research and development engine, allowing us to take a new approach to vaccine development."</w:t>
      </w:r>
      <w:r>
        <w:br/>
      </w:r>
      <w:r>
        <w:br/>
      </w:r>
      <w:r>
        <w:t>A Joint Steering Committee, comprised of representatives from each of the three partners, will mutually identify areas of research to discover, evaluate and develop novel human vaccines, as well as adjuvant/formulation platforms for the rapid response to emerging pathogens, that can prevent or treat infectious diseases.</w:t>
      </w:r>
      <w:r>
        <w:br/>
      </w:r>
      <w:r>
        <w:br/>
      </w:r>
      <w:r>
        <w:t>Initial funding will be used to establish and operate the GHVCI, build capacity as the collaboration grows, and provide management and scientific recruitment as well as training.</w:t>
      </w:r>
      <w:r>
        <w:br/>
      </w:r>
      <w:r>
        <w:br/>
      </w:r>
      <w:r>
        <w:t>"We are excited to be involved in this novel partnership and proud of the confidence shown in IDRI's technology and our science team's expertise by these two powerhouses, Sanofi and the Gates Foundation," said Erik Iverson, IDRI's president, business and operations.</w:t>
      </w:r>
      <w:r>
        <w:br/>
      </w:r>
      <w:r>
        <w:br/>
      </w:r>
      <w:r>
        <w:t>"IDRI has a proven history of developing global health products that have a positive impact. This alliance will significantly accelerate the development of a wide range of vaccines and other health interventions that will save the lives of millions of people globally."</w:t>
      </w:r>
    </w:p>
    <w:p xmlns:wp14="http://schemas.microsoft.com/office/word/2010/wordml" w14:paraId="79DB7A3A" wp14:textId="77777777">
      <w:pPr>
        <w:pStyle w:val="Heading1"/>
      </w:pPr>
      <w:r>
        <w:t>End of Article 9</w:t>
      </w:r>
    </w:p>
    <w:p xmlns:wp14="http://schemas.microsoft.com/office/word/2010/wordml" w14:paraId="0D0B940D" wp14:textId="77777777">
      <w:r>
        <w:br w:type="page"/>
      </w:r>
    </w:p>
    <w:p xmlns:wp14="http://schemas.microsoft.com/office/word/2010/wordml" w:rsidP="0C23A411" w14:paraId="568594CE" wp14:textId="5B54E709">
      <w:pPr>
        <w:pStyle w:val="Heading1"/>
        <w:rPr>
          <w:highlight w:val="yellow"/>
        </w:rPr>
      </w:pPr>
      <w:r w:rsidRPr="0C23A411" w:rsidR="0C23A411">
        <w:rPr>
          <w:highlight w:val="yellow"/>
        </w:rPr>
        <w:t>Start of Article 10</w:t>
      </w:r>
      <w:r w:rsidRPr="0C23A411" w:rsidR="0C23A411">
        <w:rPr>
          <w:highlight w:val="yellow"/>
        </w:rPr>
        <w:t xml:space="preserve"> - DONE</w:t>
      </w:r>
    </w:p>
    <w:p xmlns:wp14="http://schemas.microsoft.com/office/word/2010/wordml" w14:paraId="79B84BB5" wp14:textId="77777777">
      <w:pPr>
        <w:pStyle w:val="Heading1"/>
      </w:pPr>
      <w:r>
        <w:t>Document ID OBWK000020150522eb5u000dt</w:t>
      </w:r>
    </w:p>
    <w:p xmlns:wp14="http://schemas.microsoft.com/office/word/2010/wordml" w14:paraId="219C4E0B" wp14:textId="77777777">
      <w:r>
        <w:t>Alan Milinazzo, CEO of InspireMD, commented, "EuroPCR is a major annual meeting for InspireMD and we have a very busy schedule of meetings with customers, distributors and potential future partners ahead. We look forward to productive sessions and making progress on our many initiatives."</w:t>
      </w:r>
      <w:r>
        <w:br/>
      </w:r>
      <w:r>
        <w:br/>
      </w:r>
      <w:r>
        <w:t>Milinazzo continued, "Feedback on our CGuard Embolic Prevention system has been positive, with solid physician interest and the device steadily gaining market traction. We look forward to the clinical presentations at EuroPCR 2015 from a range of physicians, including Dr. Piotr Musialek of Poland and Dr. Joachim Schofer of Germany."</w:t>
      </w:r>
      <w:r>
        <w:br/>
      </w:r>
      <w:r>
        <w:br/>
      </w:r>
      <w:r>
        <w:t>Keywords for this news article include: Cardiology, Technology, Cardio Device, Cardiovascular, InspireMD Inc., Medical Devices.</w:t>
      </w:r>
      <w:r>
        <w:br/>
      </w:r>
      <w:r>
        <w:br/>
      </w:r>
      <w:r>
        <w:t>Our reports deliver fact-based news of research and discoveries from around the world. Copyright 2015, NewsRx LLC</w:t>
      </w:r>
    </w:p>
    <w:p xmlns:wp14="http://schemas.microsoft.com/office/word/2010/wordml" w14:paraId="148394C6" wp14:textId="77777777">
      <w:pPr>
        <w:pStyle w:val="Heading1"/>
      </w:pPr>
      <w:r>
        <w:t>End of Article 10</w:t>
      </w:r>
    </w:p>
    <w:p xmlns:wp14="http://schemas.microsoft.com/office/word/2010/wordml" w14:paraId="0E27B00A" wp14:textId="77777777">
      <w:r>
        <w:br w:type="page"/>
      </w:r>
    </w:p>
    <w:p xmlns:wp14="http://schemas.microsoft.com/office/word/2010/wordml" w:rsidP="0C23A411" w14:paraId="2A8A3CDE" wp14:textId="6A1998AD">
      <w:pPr>
        <w:pStyle w:val="Heading1"/>
        <w:rPr>
          <w:highlight w:val="yellow"/>
        </w:rPr>
      </w:pPr>
      <w:r w:rsidRPr="0C23A411" w:rsidR="0C23A411">
        <w:rPr>
          <w:highlight w:val="yellow"/>
        </w:rPr>
        <w:t xml:space="preserve">Start of Article </w:t>
      </w:r>
      <w:proofErr w:type="gramStart"/>
      <w:r w:rsidRPr="0C23A411" w:rsidR="0C23A411">
        <w:rPr>
          <w:highlight w:val="yellow"/>
        </w:rPr>
        <w:t>11</w:t>
      </w:r>
      <w:r w:rsidRPr="0C23A411" w:rsidR="0C23A411">
        <w:rPr>
          <w:highlight w:val="yellow"/>
        </w:rPr>
        <w:t xml:space="preserve"> .</w:t>
      </w:r>
      <w:proofErr w:type="gramEnd"/>
      <w:r w:rsidRPr="0C23A411" w:rsidR="0C23A411">
        <w:rPr>
          <w:highlight w:val="yellow"/>
        </w:rPr>
        <w:t xml:space="preserve"> -DONE</w:t>
      </w:r>
    </w:p>
    <w:p xmlns:wp14="http://schemas.microsoft.com/office/word/2010/wordml" w14:paraId="69CE3E84" wp14:textId="77777777">
      <w:pPr>
        <w:pStyle w:val="Heading1"/>
      </w:pPr>
      <w:r>
        <w:t>Document ID PBRELS0020150601eb5p00002</w:t>
      </w:r>
    </w:p>
    <w:p xmlns:wp14="http://schemas.microsoft.com/office/word/2010/wordml" w14:paraId="06B2B6DB" wp14:textId="77777777">
      <w:r>
        <w:t>Website: http://www.pharmaceutical-business-review.com/</w:t>
      </w:r>
    </w:p>
    <w:p xmlns:wp14="http://schemas.microsoft.com/office/word/2010/wordml" w14:paraId="4D4F66BE" wp14:textId="77777777">
      <w:pPr>
        <w:pStyle w:val="Heading1"/>
      </w:pPr>
      <w:r>
        <w:t>End of Article 11</w:t>
      </w:r>
    </w:p>
    <w:p xmlns:wp14="http://schemas.microsoft.com/office/word/2010/wordml" w14:paraId="60061E4C" wp14:textId="77777777">
      <w:r>
        <w:br w:type="page"/>
      </w:r>
    </w:p>
    <w:p xmlns:wp14="http://schemas.microsoft.com/office/word/2010/wordml" w:rsidP="0C23A411" w14:paraId="5B6A1C71" wp14:textId="0CBE6FD5">
      <w:pPr>
        <w:pStyle w:val="Heading1"/>
        <w:rPr>
          <w:highlight w:val="yellow"/>
        </w:rPr>
      </w:pPr>
      <w:r w:rsidRPr="0C23A411" w:rsidR="0C23A411">
        <w:rPr>
          <w:highlight w:val="yellow"/>
        </w:rPr>
        <w:t>Start of Article 12</w:t>
      </w:r>
      <w:r w:rsidRPr="0C23A411" w:rsidR="0C23A411">
        <w:rPr>
          <w:highlight w:val="yellow"/>
        </w:rPr>
        <w:t xml:space="preserve"> - DONE</w:t>
      </w:r>
    </w:p>
    <w:p xmlns:wp14="http://schemas.microsoft.com/office/word/2010/wordml" w14:paraId="591ABC17" wp14:textId="77777777">
      <w:pPr>
        <w:pStyle w:val="Heading1"/>
      </w:pPr>
      <w:r>
        <w:t>Document ID INDFED0020150805eb850020a</w:t>
      </w:r>
    </w:p>
    <w:p xmlns:wp14="http://schemas.microsoft.com/office/word/2010/wordml" w14:paraId="19A57C92" wp14:textId="77777777">
      <w:r>
        <w:t>ZELTIQ Aesthetics Inc. is a medical technology company. It is focused on developing and commercializing products utilizing its controlled-cooling technology platform. Its commercial product, the CoolSculpting System, is designed to reduce stubborn fat bulges.</w:t>
      </w:r>
    </w:p>
    <w:p xmlns:wp14="http://schemas.microsoft.com/office/word/2010/wordml" w14:paraId="66DB7AF3" wp14:textId="77777777">
      <w:pPr>
        <w:pStyle w:val="Heading1"/>
      </w:pPr>
      <w:r>
        <w:t>End of Article 12</w:t>
      </w:r>
    </w:p>
    <w:p xmlns:wp14="http://schemas.microsoft.com/office/word/2010/wordml" w14:paraId="44EAFD9C" wp14:textId="77777777">
      <w:r>
        <w:br w:type="page"/>
      </w:r>
    </w:p>
    <w:p xmlns:wp14="http://schemas.microsoft.com/office/word/2010/wordml" w:rsidP="0C23A411" w14:paraId="49DC9E91" wp14:textId="659EC04F">
      <w:pPr>
        <w:pStyle w:val="Heading1"/>
        <w:rPr>
          <w:highlight w:val="yellow"/>
        </w:rPr>
      </w:pPr>
      <w:r w:rsidRPr="0C23A411" w:rsidR="0C23A411">
        <w:rPr>
          <w:highlight w:val="yellow"/>
        </w:rPr>
        <w:t>Start of Article 13</w:t>
      </w:r>
      <w:r w:rsidRPr="0C23A411" w:rsidR="0C23A411">
        <w:rPr>
          <w:highlight w:val="yellow"/>
        </w:rPr>
        <w:t xml:space="preserve"> - DONE</w:t>
      </w:r>
    </w:p>
    <w:p xmlns:wp14="http://schemas.microsoft.com/office/word/2010/wordml" w14:paraId="0465E0F9" wp14:textId="77777777">
      <w:pPr>
        <w:pStyle w:val="Heading1"/>
      </w:pPr>
      <w:r>
        <w:t>Document ID DRGW000020150417eb4o000f5</w:t>
      </w:r>
    </w:p>
    <w:p xmlns:wp14="http://schemas.microsoft.com/office/word/2010/wordml" w14:paraId="6699F796" wp14:textId="77777777">
      <w:r>
        <w:t>Our news journalists obtained a quote from the research from the University of Vienna, "Among all lectins under investigation, fluorescein-labeled wheat germ agglutinin (F-WGA) emerged as the highest bioadhesive lectin. In general, the accessibility of carbohydrate moieties of the MEM followed the order: sialic acid and N-acetyl-D-glucosamine (WGA) &gt;&gt; mannose and galactosamine (Lens culinaris agglutinin) &gt; N-acetyl-D-glucosamine (Solanum tuberosum agglutinin) &gt; fucose (Ulex europaeus isoagglutinin I) &gt;&gt; terminal mannose alpha-(1,3)-mannose (Galanthus nivalis agglutinin). Competitive inhibition studies with the corresponding carbohydrate revealed that F-WGA-binding was inhibited up to 90% confirming specificity of the F-WGA-MEM interaction. The cilia of the MEM were identified as F-WGA binding sites by fluorescence imaging as well as a z-stack of overlays of transmission, F-WGA-and nuclei-stained images of the MEM. Additionally, co-localisation experiments revealed that F-WGA bound to acidic mucopolysaccharides of the MEM."</w:t>
      </w:r>
      <w:r>
        <w:br/>
      </w:r>
      <w:r>
        <w:br/>
      </w:r>
      <w:r>
        <w:t>According to the news editors, the research concluded: "All in all, lectin-mediated bioadhesion to the MEM is proposed as a new concept for drug delivery to prolong the residence time of the drug in the tympanic cavity especially for successful therapy for difficult-to-treat diseases such as otitis media."</w:t>
      </w:r>
      <w:r>
        <w:br/>
      </w:r>
      <w:r>
        <w:br/>
      </w:r>
      <w:r>
        <w:t>For more information on this research see: Determination of the glycosylation-pattern of the middle ear mucosa in guinea pigs. International Journal of Pharmaceutics, 2015;484(1-2):124-130. International Journal of Pharmaceutics can be contacted at: Elsevier Science Bv, PO Box 211, 1000 Ae Amsterdam, Netherlands. (Elsevier - www.elsevier.com; International Journal of Pharmaceutics - www.elsevier.com/wps/product/cws_home/505513)</w:t>
      </w:r>
      <w:r>
        <w:br/>
      </w:r>
      <w:r>
        <w:br/>
      </w:r>
      <w:r>
        <w:t>Our news journalists report that additional information may be obtained by contacting E. Engleder, University of Vienna, Dept. of Pharmacol &amp; Toxicol, A-1090 Vienna, Austria. Additional authors for this research include E. Demmerer, X.Y. Wang, C. Honeder, C.J. Zhu, C. Studenik, M. Wirth, C. Arnoldner and F. Gabor.</w:t>
      </w:r>
      <w:r>
        <w:br/>
      </w:r>
      <w:r>
        <w:br/>
      </w:r>
      <w:r>
        <w:t>Keywords for this news article include: Vienna, Europe, Austria, Drugs and Therapies</w:t>
      </w:r>
      <w:r>
        <w:br/>
      </w:r>
      <w:r>
        <w:br/>
      </w:r>
      <w:r>
        <w:t>Our reports deliver fact-based news of research and discoveries from around the world. Copyright 2015, NewsRx LLC</w:t>
      </w:r>
    </w:p>
    <w:p xmlns:wp14="http://schemas.microsoft.com/office/word/2010/wordml" w14:paraId="4E935DEA" wp14:textId="77777777">
      <w:pPr>
        <w:pStyle w:val="Heading1"/>
      </w:pPr>
      <w:r>
        <w:t>End of Article 13</w:t>
      </w:r>
    </w:p>
    <w:p xmlns:wp14="http://schemas.microsoft.com/office/word/2010/wordml" w14:paraId="4B94D5A5" wp14:textId="77777777">
      <w:r>
        <w:br w:type="page"/>
      </w:r>
    </w:p>
    <w:p xmlns:wp14="http://schemas.microsoft.com/office/word/2010/wordml" w:rsidP="0C23A411" w14:paraId="6C9ACCC4" wp14:textId="5355D702">
      <w:pPr>
        <w:pStyle w:val="Heading1"/>
        <w:rPr>
          <w:highlight w:val="yellow"/>
        </w:rPr>
      </w:pPr>
      <w:r w:rsidRPr="0C23A411" w:rsidR="0C23A411">
        <w:rPr>
          <w:highlight w:val="yellow"/>
        </w:rPr>
        <w:t>Start of Article 14</w:t>
      </w:r>
      <w:r w:rsidRPr="0C23A411" w:rsidR="0C23A411">
        <w:rPr>
          <w:highlight w:val="yellow"/>
        </w:rPr>
        <w:t xml:space="preserve"> - DONE</w:t>
      </w:r>
    </w:p>
    <w:p xmlns:wp14="http://schemas.microsoft.com/office/word/2010/wordml" w14:paraId="28FD9994" wp14:textId="77777777">
      <w:pPr>
        <w:pStyle w:val="Heading1"/>
      </w:pPr>
      <w:r>
        <w:t>Document ID RTTNEW0020151130ebbu00461</w:t>
      </w:r>
    </w:p>
    <w:p xmlns:wp14="http://schemas.microsoft.com/office/word/2010/wordml" w14:paraId="79118B89" wp14:textId="77777777">
      <w:r>
        <w:t>St. Jude Medical said it has further enhanced ease-of-use and familiarity for patients by leveraging Bluetooth wireless technology and Apple mobile digital devices for the Proclaim Elite SCS system's patient controller and clinician programmer. This will help to improve interaction with the device and allow for effective management of their chronic pain treatment.</w:t>
      </w:r>
      <w:r>
        <w:br/>
      </w:r>
      <w:r>
        <w:br/>
      </w:r>
      <w:r>
        <w:t>In addition, by providing access to both traditional SCS and burst stimulation from St. Jude Medical in one SCS system, the device can improve patient outcomes and provide options for patients who either did not initially respond to traditional SCS therapy or those who might lose pain relief over time.</w:t>
      </w:r>
      <w:r>
        <w:br/>
      </w:r>
      <w:r>
        <w:br/>
      </w:r>
      <w:r>
        <w:t>The Proclaim Elite SCS system is upgradeable, allowing easier access to future therapy and software advances as they are approved in the future.</w:t>
      </w:r>
      <w:r>
        <w:br/>
      </w:r>
      <w:r>
        <w:br/>
      </w:r>
      <w:r>
        <w:t>For comments and feedback: contact editorial@rttnews.com</w:t>
      </w:r>
      <w:r>
        <w:br/>
      </w:r>
      <w:r>
        <w:br/>
      </w:r>
      <w:r>
        <w:t>Copyright(c) 2015 RTTNews.com. All Rights Reserved</w:t>
      </w:r>
    </w:p>
    <w:p xmlns:wp14="http://schemas.microsoft.com/office/word/2010/wordml" w14:paraId="5C4278A7" wp14:textId="77777777">
      <w:pPr>
        <w:pStyle w:val="Heading1"/>
      </w:pPr>
      <w:r>
        <w:t>End of Article 14</w:t>
      </w:r>
    </w:p>
    <w:p xmlns:wp14="http://schemas.microsoft.com/office/word/2010/wordml" w14:paraId="3DEEC669" wp14:textId="77777777">
      <w:r>
        <w:br w:type="page"/>
      </w:r>
    </w:p>
    <w:p xmlns:wp14="http://schemas.microsoft.com/office/word/2010/wordml" w:rsidP="0C23A411" w14:paraId="00BC91B3" wp14:textId="3F8B4869">
      <w:pPr>
        <w:pStyle w:val="Heading1"/>
        <w:rPr>
          <w:highlight w:val="yellow"/>
        </w:rPr>
      </w:pPr>
      <w:r w:rsidRPr="0C23A411" w:rsidR="0C23A411">
        <w:rPr>
          <w:highlight w:val="yellow"/>
        </w:rPr>
        <w:t>Start of Article 15</w:t>
      </w:r>
      <w:r w:rsidRPr="0C23A411" w:rsidR="0C23A411">
        <w:rPr>
          <w:highlight w:val="yellow"/>
        </w:rPr>
        <w:t xml:space="preserve"> - DONE</w:t>
      </w:r>
    </w:p>
    <w:p xmlns:wp14="http://schemas.microsoft.com/office/word/2010/wordml" w14:paraId="3DAA986D" wp14:textId="77777777">
      <w:pPr>
        <w:pStyle w:val="Heading1"/>
      </w:pPr>
      <w:r>
        <w:t>Document ID DJDN000020150123eb1n002vd</w:t>
      </w:r>
    </w:p>
    <w:p xmlns:wp14="http://schemas.microsoft.com/office/word/2010/wordml" w14:paraId="4510E8C6" wp14:textId="77777777">
      <w:r>
        <w:t>January 23, 2015 09:47 ET (14:47 GMT)</w:t>
      </w:r>
    </w:p>
    <w:p xmlns:wp14="http://schemas.microsoft.com/office/word/2010/wordml" w14:paraId="7D904EDB" wp14:textId="77777777">
      <w:pPr>
        <w:pStyle w:val="Heading1"/>
      </w:pPr>
      <w:r>
        <w:t>End of Article 15</w:t>
      </w:r>
    </w:p>
    <w:p xmlns:wp14="http://schemas.microsoft.com/office/word/2010/wordml" w14:paraId="3656B9AB" wp14:textId="77777777">
      <w:r>
        <w:br w:type="page"/>
      </w:r>
    </w:p>
    <w:p xmlns:wp14="http://schemas.microsoft.com/office/word/2010/wordml" w:rsidP="0C23A411" w14:paraId="683C7493" wp14:textId="2597025D">
      <w:pPr>
        <w:pStyle w:val="Heading1"/>
        <w:rPr>
          <w:highlight w:val="yellow"/>
        </w:rPr>
      </w:pPr>
      <w:r w:rsidRPr="0C23A411" w:rsidR="0C23A411">
        <w:rPr>
          <w:highlight w:val="yellow"/>
        </w:rPr>
        <w:t>Start of Article 16</w:t>
      </w:r>
      <w:r w:rsidRPr="0C23A411" w:rsidR="0C23A411">
        <w:rPr>
          <w:highlight w:val="yellow"/>
        </w:rPr>
        <w:t xml:space="preserve"> - DONE</w:t>
      </w:r>
    </w:p>
    <w:p xmlns:wp14="http://schemas.microsoft.com/office/word/2010/wordml" w14:paraId="0556DE0F" wp14:textId="77777777">
      <w:pPr>
        <w:pStyle w:val="Heading1"/>
      </w:pPr>
      <w:r>
        <w:t>Document ID ATPHAM0020151023ebal000bg</w:t>
      </w:r>
    </w:p>
    <w:p xmlns:wp14="http://schemas.microsoft.com/office/word/2010/wordml" w14:paraId="328EC750" wp14:textId="77777777">
      <w:r>
        <w:t>To participate in the conference call, dial (877) 201-0168 and enter 65027583. Please dial in at least 10 minutes prior to the call.</w:t>
      </w:r>
      <w:r>
        <w:br/>
      </w:r>
      <w:r>
        <w:br/>
      </w:r>
      <w:r>
        <w:t>If you do not have access to the Internet and want to listen to an audio replay of the conference call, dial (855) 859-2056 and enter 65027583. The audio replay will be available beginning at 6:45 p.m. CT on Wednesday, November 4, 2015, through 10:59 p.m. CT on Wednesday, November 11, 2015.</w:t>
      </w:r>
      <w:r>
        <w:br/>
      </w:r>
      <w:r>
        <w:br/>
      </w:r>
      <w:r>
        <w:t>Source: Cardiovascular Systems</w:t>
      </w:r>
    </w:p>
    <w:p xmlns:wp14="http://schemas.microsoft.com/office/word/2010/wordml" w14:paraId="1598B80D" wp14:textId="77777777">
      <w:pPr>
        <w:pStyle w:val="Heading1"/>
      </w:pPr>
      <w:r>
        <w:t>End of Article 16</w:t>
      </w:r>
    </w:p>
    <w:p xmlns:wp14="http://schemas.microsoft.com/office/word/2010/wordml" w14:paraId="45FB0818" wp14:textId="77777777">
      <w:r>
        <w:br w:type="page"/>
      </w:r>
    </w:p>
    <w:p xmlns:wp14="http://schemas.microsoft.com/office/word/2010/wordml" w:rsidP="0C23A411" w14:paraId="080DA12C" wp14:textId="224412F3">
      <w:pPr>
        <w:pStyle w:val="Heading1"/>
        <w:rPr>
          <w:highlight w:val="yellow"/>
        </w:rPr>
      </w:pPr>
      <w:r w:rsidRPr="0C23A411" w:rsidR="0C23A411">
        <w:rPr>
          <w:highlight w:val="yellow"/>
        </w:rPr>
        <w:t>Start of Article 17</w:t>
      </w:r>
      <w:r w:rsidRPr="0C23A411" w:rsidR="0C23A411">
        <w:rPr>
          <w:highlight w:val="yellow"/>
        </w:rPr>
        <w:t xml:space="preserve"> - DONE</w:t>
      </w:r>
    </w:p>
    <w:p xmlns:wp14="http://schemas.microsoft.com/office/word/2010/wordml" w14:paraId="63DC416F" wp14:textId="77777777">
      <w:pPr>
        <w:pStyle w:val="Heading1"/>
      </w:pPr>
      <w:r>
        <w:t>Document ID UWIR000020151023eban000z2</w:t>
      </w:r>
    </w:p>
    <w:p xmlns:wp14="http://schemas.microsoft.com/office/word/2010/wordml" w14:paraId="4266DD7A" wp14:textId="77777777">
      <w:r>
        <w:t>- Affecting almost 50 million people in the United States, seasonal allergies like hay fever primarily start to escalate as fall progresses, according to the American College of Allergy, Asthma &amp; Immunology. Now is the perfect time to start to take measures to reduce and potentially eliminate additional airborne triggers, such as ragweed, which often worsen symptoms.</w:t>
      </w:r>
      <w:r>
        <w:br/>
      </w:r>
      <w:r>
        <w:br/>
      </w:r>
      <w:r>
        <w:t>Instead of moving to a new climate to avoid allergies, take a few quick and easy steps to significantly reduce indoor air pollutants, which can heighten the effects of allergic reactions.</w:t>
      </w:r>
      <w:r>
        <w:br/>
      </w:r>
      <w:r>
        <w:br/>
      </w:r>
      <w:r>
        <w:t>Manage your home’s cleanliness</w:t>
      </w:r>
      <w:r>
        <w:br/>
      </w:r>
      <w:r>
        <w:br/>
      </w:r>
      <w:r>
        <w:t>Even though it’s hard to defend against the pollen and other allergy spikes that occur during the changing of seasons, there are many different steps you can take in your home to limit the impact of airborne pollutants.</w:t>
      </w:r>
      <w:r>
        <w:br/>
      </w:r>
      <w:r>
        <w:br/>
      </w:r>
      <w:r>
        <w:t>1. Regulate dust. Control dust mites by using anti-dust mite covers and washing sheets in hot water about once a week.</w:t>
      </w:r>
      <w:r>
        <w:br/>
      </w:r>
      <w:r>
        <w:br/>
      </w:r>
      <w:r>
        <w:t>2. Avoid smoke. Avoid non-ventilated and smoky rooms that could increase nose, throat and eye irritation.</w:t>
      </w:r>
      <w:r>
        <w:br/>
      </w:r>
      <w:r>
        <w:br/>
      </w:r>
      <w:r>
        <w:t>3. Manage pet dander. If possible, keep pets off of furniture and out of the bedroom and bathroom to reduce the spread of their dander.</w:t>
      </w:r>
      <w:r>
        <w:br/>
      </w:r>
      <w:r>
        <w:br/>
      </w:r>
      <w:r>
        <w:t>Improve the air inside your home</w:t>
      </w:r>
      <w:r>
        <w:br/>
      </w:r>
      <w:r>
        <w:br/>
      </w:r>
      <w:r>
        <w:t>As the weather continues to get colder around the country, people will be spending more time indoors with the windows closed. Lack of ventilation can often cause buildup of particles in the air.</w:t>
      </w:r>
      <w:r>
        <w:br/>
      </w:r>
      <w:r>
        <w:br/>
      </w:r>
      <w:r>
        <w:t>1. Filter first. Help reduce these irritants by installing an AccuClean Whole-Home Filtration Systemfrom American Standard Heating &amp; Air Conditioning. The revolutionary system is 100 times more effective than a standard 1-inch throwaway filter, removing up to 99.98 percent of allergens from the air.</w:t>
      </w:r>
      <w:r>
        <w:br/>
      </w:r>
      <w:r>
        <w:br/>
      </w:r>
      <w:r>
        <w:t>2. Control moisture. Keeping your home’s humidity between 30-60 percent will help prevent the gathering of dust mites. Simple actions like turning on a fan when bathing or cooking, using a dehumidifier, and not overwatering plants are all quick ways to keep the humidity levels down.</w:t>
      </w:r>
      <w:r>
        <w:br/>
      </w:r>
      <w:r>
        <w:br/>
      </w:r>
      <w:r>
        <w:t>Avoid pollutants during home renovation projects</w:t>
      </w:r>
      <w:r>
        <w:br/>
      </w:r>
      <w:r>
        <w:br/>
      </w:r>
      <w:r>
        <w:t>Being cooped up during colder weather is often a time to work on the home renovation projects that have been put off while you were enjoying the warm summer sun. Before these projects kick off, keep a few things in mind to help reduce in-home air pollutants.</w:t>
      </w:r>
      <w:r>
        <w:br/>
      </w:r>
      <w:r>
        <w:br/>
      </w:r>
      <w:r>
        <w:t>1. Cover up. When tearing down or putting up drywall, ensure the room is sealed off from the rest of house by putting up plastic sheets over doors and closing vents. Sealing the room will minimize the spread of dust and other particles from entering the rest of the home.</w:t>
      </w:r>
      <w:r>
        <w:br/>
      </w:r>
      <w:r>
        <w:br/>
      </w:r>
      <w:r>
        <w:t>2. Paint responsibly. If you’re adding a splash of color to a room or simply restoring an old piece of future with a new paint job, select a low VOC paint. Breathing in high levels of VOCs can lead to worsened asthma symptoms, headaches, throat irritation and more, according to the Consumer Product Safety Commission.</w:t>
      </w:r>
      <w:r>
        <w:br/>
      </w:r>
      <w:r>
        <w:br/>
      </w:r>
      <w:r>
        <w:t>((Distributed for UWIRE via M2 Communications www.m2.com))</w:t>
      </w:r>
    </w:p>
    <w:p xmlns:wp14="http://schemas.microsoft.com/office/word/2010/wordml" w14:paraId="27A8C906" wp14:textId="77777777">
      <w:pPr>
        <w:pStyle w:val="Heading1"/>
      </w:pPr>
      <w:r>
        <w:t>End of Article 17</w:t>
      </w:r>
    </w:p>
    <w:p xmlns:wp14="http://schemas.microsoft.com/office/word/2010/wordml" w14:paraId="049F31CB" wp14:textId="77777777">
      <w:r>
        <w:br w:type="page"/>
      </w:r>
    </w:p>
    <w:p xmlns:wp14="http://schemas.microsoft.com/office/word/2010/wordml" w14:paraId="35676AA4" wp14:textId="24D4C974">
      <w:pPr>
        <w:pStyle w:val="Heading1"/>
      </w:pPr>
      <w:r w:rsidR="0C23A411">
        <w:rPr/>
        <w:t>Start of Article 18</w:t>
      </w:r>
      <w:r w:rsidR="0C23A411">
        <w:rPr/>
        <w:t xml:space="preserve"> - DONE</w:t>
      </w:r>
    </w:p>
    <w:p xmlns:wp14="http://schemas.microsoft.com/office/word/2010/wordml" w14:paraId="05670E87" wp14:textId="77777777">
      <w:pPr>
        <w:pStyle w:val="Heading1"/>
      </w:pPr>
      <w:r>
        <w:t>Document ID NBPPBS0020151217ebci001lp</w:t>
      </w:r>
    </w:p>
    <w:p xmlns:wp14="http://schemas.microsoft.com/office/word/2010/wordml" w14:paraId="27C0A674" wp14:textId="77777777">
      <w:r>
        <w:t>Here is a record of Matthew W. Towse's transactions that were reported:</w:t>
      </w:r>
      <w:r>
        <w:br/>
      </w:r>
      <w:r>
        <w:br/>
      </w:r>
      <w:r>
        <w:t>Date               Transaction Type  No. of Shares  Price, US$  Value, US$</w:t>
      </w:r>
      <w:r>
        <w:br/>
      </w:r>
      <w:r>
        <w:t>November 10, 2015 Sold              2863           20.32       58,176</w:t>
      </w:r>
      <w:r>
        <w:br/>
      </w:r>
      <w:r>
        <w:t>November 04, 2015 Sold              8591           19.5        167,524</w:t>
      </w:r>
      <w:r>
        <w:br/>
      </w:r>
      <w:r>
        <w:t>August 06, 2015   Sold              5455           15.52       84,662</w:t>
      </w:r>
      <w:r>
        <w:br/>
      </w:r>
      <w:r>
        <w:br/>
      </w:r>
      <w:r>
        <w:br/>
      </w:r>
      <w:r>
        <w:t>MANAGEMENT SCORECARD FOR NXSTAGE MEDICAL, INC.:</w:t>
      </w:r>
      <w:r>
        <w:br/>
      </w:r>
      <w:r>
        <w:br/>
      </w:r>
      <w:r>
        <w:t>Matthew W. Towse's performance for NxStage Medical is placed 582/2,223 in BSS News Bites's ranking of NASDAQ performers in the past year, a percentile ranking of 73%.</w:t>
      </w:r>
      <w:r>
        <w:br/>
      </w:r>
      <w:r>
        <w:br/>
      </w:r>
      <w:r>
        <w:t>Key Financials:</w:t>
      </w:r>
      <w:r>
        <w:br/>
      </w:r>
      <w:r>
        <w:br/>
      </w:r>
      <w:r>
        <w:t>(all figures in pct)</w:t>
      </w:r>
      <w:r>
        <w:br/>
      </w:r>
      <w:r>
        <w:br/>
      </w:r>
      <w:r>
        <w:t xml:space="preserve"> Revenue Growth  Operating Margin ROE</w:t>
      </w:r>
      <w:r>
        <w:br/>
      </w:r>
      <w:r>
        <w:t>2014            14.5              -7.4  -12.6</w:t>
      </w:r>
      <w:r>
        <w:br/>
      </w:r>
      <w:r>
        <w:t>2013            8.8               -6.9 -9.6</w:t>
      </w:r>
      <w:r>
        <w:br/>
      </w:r>
      <w:r>
        <w:t>2012            11.5              -4.7 -7.7</w:t>
      </w:r>
      <w:r>
        <w:br/>
      </w:r>
      <w:r>
        <w:t>2011            21.2              -7.3  -14.2</w:t>
      </w:r>
      <w:r>
        <w:br/>
      </w:r>
      <w:r>
        <w:br/>
      </w:r>
      <w:r>
        <w:br/>
      </w:r>
      <w:r>
        <w:t xml:space="preserve"> Share Price (USD)  Market Capitalisation ($)</w:t>
      </w:r>
      <w:r>
        <w:br/>
      </w:r>
      <w:r>
        <w:t>Last               18.0 1.1 billion</w:t>
      </w:r>
      <w:r>
        <w:br/>
      </w:r>
      <w:r>
        <w:t>1 Year ago         9.7  590 million</w:t>
      </w:r>
      <w:r>
        <w:br/>
      </w:r>
      <w:r>
        <w:t>2 Years ago        11.2 662 million</w:t>
      </w:r>
      <w:r>
        <w:br/>
      </w:r>
      <w:r>
        <w:t>3 Years ago        17.6 963.5 million</w:t>
      </w:r>
      <w:r>
        <w:br/>
      </w:r>
      <w:r>
        <w:t>4 Years ago        23.4 1.3 billion</w:t>
      </w:r>
      <w:r>
        <w:br/>
      </w:r>
      <w:r>
        <w:br/>
      </w:r>
      <w:r>
        <w:br/>
      </w:r>
      <w:r>
        <w:t>Biography</w:t>
      </w:r>
      <w:r>
        <w:br/>
      </w:r>
      <w:r>
        <w:br/>
      </w:r>
      <w:r>
        <w:t>Matthew W. Towse, CFO</w:t>
      </w:r>
      <w:r>
        <w:br/>
      </w:r>
      <w:r>
        <w:br/>
      </w:r>
      <w:r>
        <w:t>Matt has over 25 years of experience in global financial management with both public and private companies across multiple industries. He served as Vice President and Chief Financial Officer of Vette Corp., a venture-capital backed global design, engineering and manufacturing technology company from 2006 until its acquisition by a strategic buyer in 2012. From 2003 to 2005, he served as Senior Vice President and Chief Financial Officer of Fairchild Semiconductor International, Inc. Previously, Matt served as Fairchild's Vice President and Corporate Treasurer from 1997 to 2003, and held various financial positions with National Semiconductor from 1991 to 1997 before becoming part of the team that spun-out Fairchild from National. Earlier in his career, Matt was an audit manager with Ernst &amp; Young and most recently, he served as an Interim CFO with Tatum, LLC.</w:t>
      </w:r>
      <w:r>
        <w:br/>
      </w:r>
      <w:r>
        <w:br/>
      </w:r>
      <w:r>
        <w:t>Matt is a Certified Public Accountant and received a B.B.A. from the University of Notre Dame.</w:t>
      </w:r>
      <w:r>
        <w:br/>
      </w:r>
      <w:r>
        <w:br/>
      </w:r>
      <w:r>
        <w:t>Original Newsbody</w:t>
      </w:r>
      <w:r>
        <w:br/>
      </w:r>
      <w:r>
        <w:br/>
      </w:r>
      <w:r>
        <w:t>http://www.sec.gov/Archives/edgar/data/1195852/000124636015003903/xslF345X03/form.xml</w:t>
      </w:r>
      <w:r>
        <w:br/>
      </w:r>
      <w:r>
        <w:br/>
      </w:r>
      <w:r>
        <w:t>Source: BuySellSignals.com</w:t>
      </w:r>
    </w:p>
    <w:p xmlns:wp14="http://schemas.microsoft.com/office/word/2010/wordml" w14:paraId="1CAA193A" wp14:textId="77777777">
      <w:pPr>
        <w:pStyle w:val="Heading1"/>
      </w:pPr>
      <w:r>
        <w:t>End of Article 18</w:t>
      </w:r>
    </w:p>
    <w:p xmlns:wp14="http://schemas.microsoft.com/office/word/2010/wordml" w14:paraId="53128261" wp14:textId="77777777">
      <w:r>
        <w:br w:type="page"/>
      </w:r>
    </w:p>
    <w:p xmlns:wp14="http://schemas.microsoft.com/office/word/2010/wordml" w:rsidP="0C23A411" w14:paraId="07DDDC5C" wp14:textId="48924189">
      <w:pPr>
        <w:pStyle w:val="Heading1"/>
        <w:rPr>
          <w:highlight w:val="yellow"/>
        </w:rPr>
      </w:pPr>
      <w:r w:rsidRPr="0C23A411" w:rsidR="0C23A411">
        <w:rPr>
          <w:highlight w:val="yellow"/>
        </w:rPr>
        <w:t>Start of Article 19</w:t>
      </w:r>
      <w:r w:rsidRPr="0C23A411" w:rsidR="0C23A411">
        <w:rPr>
          <w:highlight w:val="yellow"/>
        </w:rPr>
        <w:t xml:space="preserve"> - DONE</w:t>
      </w:r>
    </w:p>
    <w:p xmlns:wp14="http://schemas.microsoft.com/office/word/2010/wordml" w14:paraId="4127B753" wp14:textId="77777777">
      <w:pPr>
        <w:pStyle w:val="Heading1"/>
      </w:pPr>
      <w:r>
        <w:t>Document ID DRGW000020150417eb4o000f5</w:t>
      </w:r>
    </w:p>
    <w:p xmlns:wp14="http://schemas.microsoft.com/office/word/2010/wordml" w14:paraId="4D393261" wp14:textId="77777777">
      <w:r>
        <w:t>Our news journalists obtained a quote from the research from the University of Vienna, "Among all lectins under investigation, fluorescein-labeled wheat germ agglutinin (F-WGA) emerged as the highest bioadhesive lectin. In general, the accessibility of carbohydrate moieties of the MEM followed the order: sialic acid and N-acetyl-D-glucosamine (WGA) &gt;&gt; mannose and galactosamine (Lens culinaris agglutinin) &gt; N-acetyl-D-glucosamine (Solanum tuberosum agglutinin) &gt; fucose (Ulex europaeus isoagglutinin I) &gt;&gt; terminal mannose alpha-(1,3)-mannose (Galanthus nivalis agglutinin). Competitive inhibition studies with the corresponding carbohydrate revealed that F-WGA-binding was inhibited up to 90% confirming specificity of the F-WGA-MEM interaction. The cilia of the MEM were identified as F-WGA binding sites by fluorescence imaging as well as a z-stack of overlays of transmission, F-WGA-and nuclei-stained images of the MEM. Additionally, co-localisation experiments revealed that F-WGA bound to acidic mucopolysaccharides of the MEM."</w:t>
      </w:r>
      <w:r>
        <w:br/>
      </w:r>
      <w:r>
        <w:br/>
      </w:r>
      <w:r>
        <w:t>According to the news editors, the research concluded: "All in all, lectin-mediated bioadhesion to the MEM is proposed as a new concept for drug delivery to prolong the residence time of the drug in the tympanic cavity especially for successful therapy for difficult-to-treat diseases such as otitis media."</w:t>
      </w:r>
      <w:r>
        <w:br/>
      </w:r>
      <w:r>
        <w:br/>
      </w:r>
      <w:r>
        <w:t>For more information on this research see: Determination of the glycosylation-pattern of the middle ear mucosa in guinea pigs. International Journal of Pharmaceutics, 2015;484(1-2):124-130. International Journal of Pharmaceutics can be contacted at: Elsevier Science Bv, PO Box 211, 1000 Ae Amsterdam, Netherlands. (Elsevier - www.elsevier.com; International Journal of Pharmaceutics - www.elsevier.com/wps/product/cws_home/505513)</w:t>
      </w:r>
      <w:r>
        <w:br/>
      </w:r>
      <w:r>
        <w:br/>
      </w:r>
      <w:r>
        <w:t>Our news journalists report that additional information may be obtained by contacting E. Engleder, University of Vienna, Dept. of Pharmacol &amp; Toxicol, A-1090 Vienna, Austria. Additional authors for this research include E. Demmerer, X.Y. Wang, C. Honeder, C.J. Zhu, C. Studenik, M. Wirth, C. Arnoldner and F. Gabor.</w:t>
      </w:r>
      <w:r>
        <w:br/>
      </w:r>
      <w:r>
        <w:br/>
      </w:r>
      <w:r>
        <w:t>Keywords for this news article include: Vienna, Europe, Austria, Drugs and Therapies</w:t>
      </w:r>
      <w:r>
        <w:br/>
      </w:r>
      <w:r>
        <w:br/>
      </w:r>
      <w:r>
        <w:t>Our reports deliver fact-based news of research and discoveries from around the world. Copyright 2015, NewsRx LLC</w:t>
      </w:r>
    </w:p>
    <w:p xmlns:wp14="http://schemas.microsoft.com/office/word/2010/wordml" w14:paraId="33BA6BBB" wp14:textId="77777777">
      <w:pPr>
        <w:pStyle w:val="Heading1"/>
      </w:pPr>
      <w:r>
        <w:t>End of Article 19</w:t>
      </w:r>
    </w:p>
    <w:p xmlns:wp14="http://schemas.microsoft.com/office/word/2010/wordml" w14:paraId="62486C05" wp14:textId="77777777">
      <w:r>
        <w:br w:type="page"/>
      </w:r>
    </w:p>
    <w:p xmlns:wp14="http://schemas.microsoft.com/office/word/2010/wordml" w:rsidP="0C23A411" w14:paraId="5ABD0470" wp14:textId="58BE2EB7">
      <w:pPr>
        <w:pStyle w:val="Heading1"/>
        <w:rPr>
          <w:highlight w:val="yellow"/>
        </w:rPr>
      </w:pPr>
      <w:r w:rsidRPr="0C23A411" w:rsidR="0C23A411">
        <w:rPr>
          <w:highlight w:val="yellow"/>
        </w:rPr>
        <w:t>Start of Article 20</w:t>
      </w:r>
      <w:r w:rsidRPr="0C23A411" w:rsidR="0C23A411">
        <w:rPr>
          <w:highlight w:val="yellow"/>
        </w:rPr>
        <w:t xml:space="preserve"> - DONE</w:t>
      </w:r>
    </w:p>
    <w:p xmlns:wp14="http://schemas.microsoft.com/office/word/2010/wordml" w14:paraId="2FDFDCA1" wp14:textId="77777777">
      <w:pPr>
        <w:pStyle w:val="Heading1"/>
      </w:pPr>
      <w:r>
        <w:t>Document ID SEPI000020150113eb1c0000g</w:t>
      </w:r>
    </w:p>
    <w:p xmlns:wp14="http://schemas.microsoft.com/office/word/2010/wordml" w14:paraId="4CEF5D35" wp14:textId="77777777">
      <w:r>
        <w:t>SGM-1019, which comes in the form of a pill, was shown to be safe in a small group of healthy people who took small doses of it in a double-blind, placebo-controlled trial. The drug will now be tested in multiple doses, and the trial is expected to be completed this year.</w:t>
      </w:r>
      <w:r>
        <w:br/>
      </w:r>
      <w:r>
        <w:br/>
      </w:r>
      <w:r>
        <w:t>The microbiome is one of the hottest areas in biological research right now. Scientists think that the bacteria play a bigger-than-previously-expected role in maintaining good health and contributing to chronic diseases — but the innerworkings of those relationships are still being decoded. Second Genome studies how the microbiome interacts with the body’s biology systems and seeks to design therapies based on that activity.</w:t>
      </w:r>
      <w:r>
        <w:br/>
      </w:r>
      <w:r>
        <w:br/>
      </w:r>
      <w:r>
        <w:t>“SGM-1019 has the potential to address a critical unmet need in inflammatory bowel disease treatment as a safe and well-tolerated oral therapy with important disease-modifying effect,” said Peter DiLaura, president and CEO of Second Genome, in a statement.</w:t>
      </w:r>
    </w:p>
    <w:p xmlns:wp14="http://schemas.microsoft.com/office/word/2010/wordml" w14:paraId="75DF0169" wp14:textId="77777777">
      <w:pPr>
        <w:pStyle w:val="Heading1"/>
      </w:pPr>
      <w:r>
        <w:t>End of Article 20</w:t>
      </w:r>
    </w:p>
    <w:p xmlns:wp14="http://schemas.microsoft.com/office/word/2010/wordml" w14:paraId="4101652C" wp14:textId="77777777">
      <w:r>
        <w:br w:type="page"/>
      </w:r>
    </w:p>
    <w:p xmlns:wp14="http://schemas.microsoft.com/office/word/2010/wordml" w:rsidP="0C23A411" w14:paraId="6A7A9B8C" wp14:textId="0AE929D9">
      <w:pPr>
        <w:pStyle w:val="Heading1"/>
        <w:rPr>
          <w:highlight w:val="yellow"/>
        </w:rPr>
      </w:pPr>
      <w:r w:rsidRPr="0C23A411" w:rsidR="0C23A411">
        <w:rPr>
          <w:highlight w:val="yellow"/>
        </w:rPr>
        <w:t>Start of Article 21</w:t>
      </w:r>
      <w:r w:rsidRPr="0C23A411" w:rsidR="0C23A411">
        <w:rPr>
          <w:highlight w:val="yellow"/>
        </w:rPr>
        <w:t xml:space="preserve"> - DONE</w:t>
      </w:r>
    </w:p>
    <w:p xmlns:wp14="http://schemas.microsoft.com/office/word/2010/wordml" w14:paraId="5604501E" wp14:textId="77777777">
      <w:pPr>
        <w:pStyle w:val="Heading1"/>
      </w:pPr>
      <w:r>
        <w:t>Document ID MDST000020151120ebbk0001r</w:t>
      </w:r>
    </w:p>
    <w:p xmlns:wp14="http://schemas.microsoft.com/office/word/2010/wordml" w14:paraId="6CF01F11" wp14:textId="77777777">
      <w:r>
        <w:t>"The EMPOWR 3D Knee(TM) leverages over 10 years of proven clinical success and a strong history of natural kinematics which have been demonstrated by DJO Surgical's legacy 3DKnee(TM) system," said Brady Shirley, President, DJO Surgical. "We are delighted to showcase the design team's focused efforts which have enabled the commercialization of this total knee system in an extremely expedited timeline, demonstrating our dedication to precision innovation at DJO Surgical."</w:t>
      </w:r>
      <w:r>
        <w:br/>
      </w:r>
      <w:r>
        <w:br/>
      </w:r>
      <w:r>
        <w:t>"The EMPOWR 3D Knee(TM) retains the proven articular surface design of the 3DKnee(TM), which has been shown in over ten years of clinical and laboratory studies to provide patients with stability, durability, strength and range of motion. Randomized trials show this robust design provides the same clinical results whether or not the posterior cruciate ligament is retained. The new EMPOWR 3D Knee(TM) design retains all these functional benefits in a system that is designed to optimally fit patients' anatomy while giving surgeons more intraoperative flexibility and efficiency," said Dr. Scott Banks, Co-Designer of the 3DKnee(TM) and Professor of Mechanical &amp; Aerospace Engineering, University of Florida. Key design features of the EMPOWR 3D Knee(TM) system include: Recreates natural motion throughout the entire range of motion from early flexion to mid flexion and through deep flexion.</w:t>
      </w:r>
      <w:r>
        <w:br/>
      </w:r>
      <w:r>
        <w:br/>
      </w:r>
      <w:r>
        <w:t>Designed with e+ polyethylene, a knee specific formula blended with vitamin E to reduce long-term wear.</w:t>
      </w:r>
      <w:r>
        <w:br/>
      </w:r>
      <w:r>
        <w:br/>
      </w:r>
      <w:r>
        <w:t>Comprehensive, anatomically based implant sizing paired with precise and efficient instrumentation.</w:t>
      </w:r>
      <w:r>
        <w:br/>
      </w:r>
      <w:r>
        <w:br/>
      </w:r>
      <w:r>
        <w:t>For more information on the EMPOWR 3D Knee(TM) please visit: http://www.djoglobal.com/products/djo-surgical/empowr-3d-knee About DJO Global DJO Global is a leading global developer, manufacturer and distributor of high-quality medical devices that provide solutions for musculoskeletal health, vascular health and pain management. The Company's products address the continuum of patient care from injury prevention to rehabilitation after surgery, injury or from degenerative disease, enabling people to regain or maintain their natural motion. Its products are used by orthopedic specialists, spine surgeons, primary care physicians, pain management specialists, physical therapists, podiatrists, chiropractors, athletic trainers and other healthcare professionals. In addition, many of the Company's medical devices and related accessories are used by athletes and patients for injury prevention and at-home physical therapy treatment. The Company's product lines include rigid and soft orthopedic bracing, hot and cold therapy, bone growth stimulators, vascular therapy systems and compression garments, therapeutic shoes and inserts, electrical stimulators used for pain management and physical therapy products. The Company's surgical division offers a comprehensive suite of reconstructive joint products for the hip, knee and shoulder. DJO Global's products are marketed under a portfolio of brands including Aircast(R), Chattanooga, CMF(TM), Compex(R), DonJoy(R), Empi(R), ProCare(R), DJO(R) Surgical, Dr. Comfort(R) and ExosTM. For additional information on the Company, please visit www.DJOGlobal.com. 1Pritchett, J. "Patient Preferences in Knee Prostheses" Journal of Bone &amp; Joint Surgery [Br] Vol. 86-B, 2004. View source version on businesswire.com: http://www.businesswire.com/news/home/20151106005120/en/</w:t>
      </w:r>
      <w:r>
        <w:br/>
      </w:r>
      <w:r>
        <w:br/>
      </w:r>
      <w:r>
        <w:t>Keywords for this news article include: Surgery, Therapy, Technology, Bone Research, DJO Global Inc., Medical Devices.</w:t>
      </w:r>
      <w:r>
        <w:br/>
      </w:r>
      <w:r>
        <w:br/>
      </w:r>
      <w:r>
        <w:t>Our reports deliver fact-based news of research and discoveries from around the world. Copyright 2015, NewsRx LLC</w:t>
      </w:r>
    </w:p>
    <w:p xmlns:wp14="http://schemas.microsoft.com/office/word/2010/wordml" w14:paraId="4DF1E517" wp14:textId="77777777">
      <w:pPr>
        <w:pStyle w:val="Heading1"/>
      </w:pPr>
      <w:r>
        <w:t>End of Article 21</w:t>
      </w:r>
    </w:p>
    <w:p xmlns:wp14="http://schemas.microsoft.com/office/word/2010/wordml" w14:paraId="4B99056E" wp14:textId="77777777">
      <w:r>
        <w:br w:type="page"/>
      </w:r>
    </w:p>
    <w:p xmlns:wp14="http://schemas.microsoft.com/office/word/2010/wordml" w:rsidP="0C23A411" w14:paraId="7079CD0E" wp14:textId="0FC13A3F">
      <w:pPr>
        <w:pStyle w:val="Heading1"/>
        <w:rPr>
          <w:highlight w:val="yellow"/>
        </w:rPr>
      </w:pPr>
      <w:r w:rsidRPr="0C23A411" w:rsidR="0C23A411">
        <w:rPr>
          <w:highlight w:val="yellow"/>
        </w:rPr>
        <w:t>Start of Article 22</w:t>
      </w:r>
      <w:r w:rsidRPr="0C23A411" w:rsidR="0C23A411">
        <w:rPr>
          <w:highlight w:val="yellow"/>
        </w:rPr>
        <w:t xml:space="preserve"> - done</w:t>
      </w:r>
    </w:p>
    <w:p xmlns:wp14="http://schemas.microsoft.com/office/word/2010/wordml" w14:paraId="251B6C56" wp14:textId="77777777">
      <w:pPr>
        <w:pStyle w:val="Heading1"/>
      </w:pPr>
      <w:r>
        <w:t>Document ID HAMW000020150306eb3d0029j</w:t>
      </w:r>
    </w:p>
    <w:p xmlns:wp14="http://schemas.microsoft.com/office/word/2010/wordml" w14:paraId="32780C84" wp14:textId="77777777">
      <w:r>
        <w:t>"This agreement with the MPP has been established to provide access to raltegravir to HIV-infected children in developing countries where the burden of HIV infection is highest, including sub-Saharan Africa," said Jackie Neilson, general manager and global commercial leader for the HIV Franchise, Merck. "This builds upon Merck's three-decade long commitment to both innovation and access to address the global HIV epidemic."</w:t>
      </w:r>
      <w:r>
        <w:br/>
      </w:r>
      <w:r>
        <w:br/>
      </w:r>
      <w:r>
        <w:t>Raltegravir is the only integrase inhibitor approved for use in infants and children as young as four weeks in the United States and European Union. Pediatric formulations of raltegravir are available as chewable tablets (25 mg and 100 mg) and granules for oral suspension (single-use 100 mg packets).</w:t>
      </w:r>
      <w:r>
        <w:br/>
      </w:r>
      <w:r>
        <w:br/>
      </w:r>
      <w:r>
        <w:t>Merck is providing the MPP a royalty-free license for the development of pediatric formulations of raltegravir-chewable tablets and granules for oral suspension-for infants and children from four weeks to under 12 years of age. The agreement is designed to improve access to raltegravir for pediatric populations in low- and middle-income countries with significantly high rates of pediatric HIV, totaling 92 countries. In addition to providing expanded access, the agreement allows for development of new pediatric formulations of raltegravir, in support of the "Global Pediatric Antiretroviral Commitment-to-Action" announced by the United States President's Emergency Plan for AIDS Relief (PEPFAR), the Pediatric HIV Treatment Initiative (PHTI), and the Global Fund to Fight AIDS, Tuberculosis and Malaria, to accelerate the development of new, high-priority pediatric antiretroviral co-formulations.</w:t>
      </w:r>
      <w:r>
        <w:br/>
      </w:r>
      <w:r>
        <w:br/>
      </w:r>
      <w:r>
        <w:t>"MPP is pleased to have Merck on board as a new private sector partner working with us on pediatric programs," said Greg Perry, executive director, MPP. "Raltegravir adds to our arsenal of pediatric licenses in supporting better options for children in low- and middle-income countries and can benefit the most neglected sub-segment: infants and toddlers less than three years of age."</w:t>
      </w:r>
      <w:r>
        <w:br/>
      </w:r>
      <w:r>
        <w:br/>
      </w:r>
      <w:r>
        <w:t>Despite efforts to eliminate pediatric HIV, it is estimated that there are 3.2 million children infected with HIV worldwide and almost 800 die every day because of lack of access to treatment and care. In fact, it is estimated that less than a quarter of all children infected with HIV worldwide are receiving antiretrovirals. Therefore, it is critical to develop innovative formulations to meet this unmet medical need while ensuring access to these therapies. As such, the World Health Organization (WHO) guidelines have listed raltegravir as an important product needed for certain pediatric populations.</w:t>
      </w:r>
      <w:r>
        <w:br/>
      </w:r>
      <w:r>
        <w:br/>
      </w:r>
      <w:r>
        <w:t>For 30 years, Merck has demonstrated its commitment to improved access to HIV medicines through longstanding efforts including differential pricing, voluntary licensing, public-private partnerships, philanthropic programs, and continued research and development efforts in HIV. For more information about Merck's corporate responsibility in HIV, visit www.merckresponsibility.com/access-to-health/infectious-diseases/hiv-aids/. Selected Safety Information Severe, potentially life-threatening and fatal skin reactions have been reported. This includes cases of Stevens-Johnson syndrome, hypersensitivity reaction and toxic epidermal necrolysis. Immediately discontinue treatment with ISENTRESS (raltegravir) and other suspect agents if severe hypersensitivity, severe rash, or rash with systemic symptoms or liver aminotransferase elevations develops and monitor clinical status, including liver aminotransferases closely.</w:t>
      </w:r>
      <w:r>
        <w:br/>
      </w:r>
      <w:r>
        <w:br/>
      </w:r>
      <w:r>
        <w:t>Immune reconstitution syndrome can occur, including the occurrence of autoimmune disorders with variable time to onset, which may necessitate further evaluation and treatment.</w:t>
      </w:r>
      <w:r>
        <w:br/>
      </w:r>
      <w:r>
        <w:br/>
      </w:r>
      <w:r>
        <w:t>ISENTRESS (raltegravir) chewable tablets contain phenylalanine, a component of aspartame, which may be harmful to patients with phenylketonuria.</w:t>
      </w:r>
      <w:r>
        <w:br/>
      </w:r>
      <w:r>
        <w:br/>
      </w:r>
      <w:r>
        <w:t>Coadministration of ISENTRESS with drugs that are strong inducers of uridine diphosphate glucuronosyltransferase (UGT) 1A1 may result in reduced plasma concentrations of raltegravir. Coadministration of ISENTRESS with drugs that inhibit UGT1A1 may increase plasma levels of raltegravir.</w:t>
      </w:r>
      <w:r>
        <w:br/>
      </w:r>
      <w:r>
        <w:br/>
      </w:r>
      <w:r>
        <w:t>Coadministration of ISENTRESS and other drugs may alter the plasma concentration of raltegravir. The potential for drug-drug interactions must be considered prior to and during therapy. Coadministration or staggered administration of aluminum and/or magnesium hydroxide-containing antacids and ISENTRESS is not recommended.</w:t>
      </w:r>
      <w:r>
        <w:br/>
      </w:r>
      <w:r>
        <w:br/>
      </w:r>
      <w:r>
        <w:t>Rifampin, a strong inducer of UGT1A1, reduces plasma concentrations of ISENTRESS. Therefore, the dose of ISENTRESS for adults should be increased to 800 mg twice daily during coadministration with rifampin. There are no data to guide coadministration of ISENTRESS with rifampin in patients below 18 years of age.</w:t>
      </w:r>
      <w:r>
        <w:br/>
      </w:r>
      <w:r>
        <w:br/>
      </w:r>
      <w:r>
        <w:t>The most commonly reported (=2%) drug-related clinical adverse reactions of moderate to severe intensity in treatment-naive adult patients receiving ISENTRESS compared with efavirenz were insomnia (4% vs 4%), headache (4% vs 5%), nausea (3% vs 4%), fatigue (2% vs 3%), and dizziness (2% vs 6%) respectively. In treatment-experienced adult patients receiving ISENTRESS, the most commonly reported (=2%) drug-related clinical adverse reactions of moderate to severe intensity and at a higher incidence compared with placebo was headache (2% vs &lt;1%). In both studies, intensities were defined as: Moderate (discomfort enough to cause interference with usual activity); or Severe (incapacitating with inability to work or do usual activity). In treatment-experienced pediatric patients 4 weeks through 18 years of age receiving ISENTRESS, the frequency, type and severity of drug-related adverse reactions were comparable to those observed in adults.</w:t>
      </w:r>
      <w:r>
        <w:br/>
      </w:r>
      <w:r>
        <w:br/>
      </w:r>
      <w:r>
        <w:t>Grade 2-4 creatine kinase laboratory abnormalities were observed in subjects treated with ISENTRESS. Myopathy and rhabdomyolysis have been reported. Use with caution in patients at increased risk of myopathy or rhabdomyolysis, such as patients receiving concomitant medications known to cause these conditions and patients with a history of rhabdomyolysis, myopathy or increased serum creatine kinase.</w:t>
      </w:r>
      <w:r>
        <w:br/>
      </w:r>
      <w:r>
        <w:br/>
      </w:r>
      <w:r>
        <w:t>Rash occurred more commonly in treatment-experienced subjects receiving regimens containing ISENTRESS + darunavir/ritonavir compared to subjects receiving ISENTRESS without darunavir/ritonavir or darunavir/ritonavir without ISENTRESS. However, rash that was considered drug related occurred at similar rates for all 3 groups. These rashes were mild to moderate in severity and did not limit therapy; there were no discontinuations due to rash.</w:t>
      </w:r>
      <w:r>
        <w:br/>
      </w:r>
      <w:r>
        <w:br/>
      </w:r>
      <w:r>
        <w:t>ISENTRESS (raltegravir) should be used during pregnancy only if the potential benefit justifies the potential risk to the fetus. There are no adequate and well-controlled studies in pregnant women. In addition, there have been no pharmacokinetic studies conducted in pregnant patients.</w:t>
      </w:r>
      <w:r>
        <w:br/>
      </w:r>
      <w:r>
        <w:br/>
      </w:r>
      <w:r>
        <w:t>Keywords for this news article include: Merck, Kinase, Therapy, HIV/AIDS, Myopathy, Nephrology, Pediatrics, RNA Viruses, Retroviridae, Tuberculosis, HIV Infections, Rhabdomyolysis, Vertebrate Viruses, Primate Lentiviruses, Enzymes and Coenzymes, Opportunistic Infections, Clinical Trials and Studies, Viral Sexually Transmitted Diseases.</w:t>
      </w:r>
      <w:r>
        <w:br/>
      </w:r>
      <w:r>
        <w:br/>
      </w:r>
      <w:r>
        <w:t>Our reports deliver fact-based news of research and discoveries from around the world. Copyright 2015, NewsRx LLC</w:t>
      </w:r>
    </w:p>
    <w:p xmlns:wp14="http://schemas.microsoft.com/office/word/2010/wordml" w14:paraId="176727E4" wp14:textId="77777777">
      <w:pPr>
        <w:pStyle w:val="Heading1"/>
      </w:pPr>
      <w:r>
        <w:t>End of Article 22</w:t>
      </w:r>
    </w:p>
    <w:p xmlns:wp14="http://schemas.microsoft.com/office/word/2010/wordml" w14:paraId="1299C43A" wp14:textId="77777777">
      <w:r>
        <w:br w:type="page"/>
      </w:r>
    </w:p>
    <w:p xmlns:wp14="http://schemas.microsoft.com/office/word/2010/wordml" w:rsidP="0C23A411" w14:paraId="38D0FAF8" wp14:textId="4B7F3543">
      <w:pPr>
        <w:pStyle w:val="Heading1"/>
        <w:rPr>
          <w:highlight w:val="yellow"/>
        </w:rPr>
      </w:pPr>
      <w:r w:rsidRPr="0C23A411" w:rsidR="0C23A411">
        <w:rPr>
          <w:highlight w:val="yellow"/>
        </w:rPr>
        <w:t>Start of Article 23</w:t>
      </w:r>
      <w:r w:rsidRPr="0C23A411" w:rsidR="0C23A411">
        <w:rPr>
          <w:highlight w:val="yellow"/>
        </w:rPr>
        <w:t xml:space="preserve"> - done</w:t>
      </w:r>
    </w:p>
    <w:p xmlns:wp14="http://schemas.microsoft.com/office/word/2010/wordml" w14:paraId="34DD2ED5" wp14:textId="77777777">
      <w:pPr>
        <w:pStyle w:val="Heading1"/>
      </w:pPr>
      <w:r>
        <w:t>Document ID MPRMPR0020150903eb9200006</w:t>
      </w:r>
    </w:p>
    <w:p xmlns:wp14="http://schemas.microsoft.com/office/word/2010/wordml" w14:paraId="7FBCE2AC" wp14:textId="77777777">
      <w:r>
        <w:t>The updated label includes data from the GO-FURTHER trial, a randomized, multicenter, double-blind, placebo-controlled study of 592 adults with RA who were assigned to receive IV placebo or Simponi Aria 2mg/kg infusions at Week 0, Week 4, Week 12, and Week 20. All patients continued stable oral methotrexate (15–25mg per week). Patient-reported outcomes in the Medical Outcomes Study Short Form-36 questionnaire (SF-36) showed that patients receiving Simponi Aria plus methotrexate demonstrated greater improvement from baseline compared with placebo and methotrexate in all areas of SF-36 at Weeks 12, 16 and 24 (physical component summary [PCS] scores and mental component summary [MCS] scores).</w:t>
      </w:r>
      <w:r>
        <w:br/>
      </w:r>
      <w:r>
        <w:br/>
      </w:r>
      <w:r>
        <w:t xml:space="preserve">RELATED: Weekly Leflunomide Appears Effective for Early RA  </w:t>
      </w:r>
      <w:r>
        <w:br/>
      </w:r>
      <w:r>
        <w:br/>
      </w:r>
      <w:r>
        <w:t>Simponi Aria is indicated for the treatment of moderately to severely active RA and is the only intravenous anti-tumor necrosis factor (TNF)-alpha administered as a 30-minute infusion. Phase 3 studies are ongoing to seek approval for additional indications for Simponi Aria.</w:t>
      </w:r>
      <w:r>
        <w:br/>
      </w:r>
      <w:r>
        <w:br/>
      </w:r>
      <w:r>
        <w:t>For more information call (800) 526-7736 or visit SimponiAria.com .</w:t>
      </w:r>
    </w:p>
    <w:p xmlns:wp14="http://schemas.microsoft.com/office/word/2010/wordml" w14:paraId="6736FD64" wp14:textId="77777777">
      <w:pPr>
        <w:pStyle w:val="Heading1"/>
      </w:pPr>
      <w:r>
        <w:t>End of Article 23</w:t>
      </w:r>
    </w:p>
    <w:p xmlns:wp14="http://schemas.microsoft.com/office/word/2010/wordml" w14:paraId="4DDBEF00" wp14:textId="77777777">
      <w:r>
        <w:br w:type="page"/>
      </w:r>
    </w:p>
    <w:p xmlns:wp14="http://schemas.microsoft.com/office/word/2010/wordml" w:rsidP="0C23A411" w14:paraId="4708C50D" wp14:textId="2BFE9E46">
      <w:pPr>
        <w:pStyle w:val="Heading1"/>
        <w:rPr>
          <w:highlight w:val="yellow"/>
        </w:rPr>
      </w:pPr>
      <w:r w:rsidRPr="0C23A411" w:rsidR="0C23A411">
        <w:rPr>
          <w:highlight w:val="yellow"/>
        </w:rPr>
        <w:t>Start of Article 24</w:t>
      </w:r>
      <w:r w:rsidRPr="0C23A411" w:rsidR="0C23A411">
        <w:rPr>
          <w:highlight w:val="yellow"/>
        </w:rPr>
        <w:t xml:space="preserve"> - done</w:t>
      </w:r>
    </w:p>
    <w:p xmlns:wp14="http://schemas.microsoft.com/office/word/2010/wordml" w14:paraId="68E4A09D" wp14:textId="77777777">
      <w:pPr>
        <w:pStyle w:val="Heading1"/>
      </w:pPr>
      <w:r>
        <w:t>Document ID MENAFI0020150527eb5q0002t</w:t>
      </w:r>
    </w:p>
    <w:p xmlns:wp14="http://schemas.microsoft.com/office/word/2010/wordml" w14:paraId="5E540867" wp14:textId="77777777">
      <w:r>
        <w:t>Logo Clinton Health Access Initiative Inc. (CHAI): http://www.photos.apo-opa.com/plog-content/images/apo/logos/chai.jpg</w:t>
      </w:r>
      <w:r>
        <w:br/>
      </w:r>
      <w:r>
        <w:br/>
      </w:r>
      <w:r>
        <w:t>Logo Aurobindo Pharma: http://www.photos.apo-opa.com/plog-content/images/apo/logos/aurobindo-1.jpg</w:t>
      </w:r>
      <w:r>
        <w:br/>
      </w:r>
      <w:r>
        <w:br/>
      </w:r>
      <w:r>
        <w:t>Logos: http://www.photos.apo-opa.com/plog-content/images/apo/logos/150526bannclint.png</w:t>
      </w:r>
      <w:r>
        <w:br/>
      </w:r>
      <w:r>
        <w:br/>
      </w:r>
      <w:r>
        <w:t>Upon receiving Tentative Approval from the FDA Aurobindo Pharma will be able to supply dolutegravir 50mg via the President's Emergency Plan for AIDS Relief (PEPFAR) programme following completion of required local regulatory approval process in the licensed countries outside of the United States as per the agreement signed between Aurobindo Pharma and ViiV Healthcare in 2014.</w:t>
      </w:r>
      <w:r>
        <w:br/>
      </w:r>
      <w:r>
        <w:br/>
      </w:r>
      <w:r>
        <w:t>This submission comes less than five years after ViiV Healthcare and CHAI signed an agreement to collaborate with the goal of bringing innovative formulations of medicines for the treatment and prevention of HIV/AIDS to people living with HIV in developing countries on an affordable yet sustainable basis.</w:t>
      </w:r>
      <w:r>
        <w:br/>
      </w:r>
      <w:r>
        <w:br/>
      </w:r>
      <w:r>
        <w:t>CHAI and ViiV Healthcare worked together to identify a generic partner after conducting feasibility research. Following this initial joint work ViiV Healthcare submitted necessary documentation to the FDA providing a selective waiver letter for the five-year period of New Chemical Entity (NCE) exclusivity that would have otherwise prevented FDA review and Tentative Approval of Aurobindo Pharma's ANDA at this time.</w:t>
      </w:r>
      <w:r>
        <w:br/>
      </w:r>
      <w:r>
        <w:br/>
      </w:r>
      <w:r>
        <w:t>Dr. Dominique Limet CEO ViiV Healthcare said: 'This first ANDA for a generic dolutegravir confirms that our strong commitment to thinking and acting differently to pursue new ways to expand access to our medicines for people living with HIV in countries where the need is most pressing is working.'</w:t>
      </w:r>
      <w:r>
        <w:br/>
      </w:r>
      <w:r>
        <w:br/>
      </w:r>
      <w:r>
        <w:t>David Ripin PhD Executive Vice President and Chief Scientific Officer CHAI said: 'UNAIDS has set global public health goals calling for 90 percent of those who are HIV-positive to know their status 90 percent of those identified to be linked to treatment programs and 90 percent of those in treatment to achieve undetectable viral load. To tackle these complex challenges targeted efforts to facilitate access to HIV treatment medicines such as dolutegravir are needed.'</w:t>
      </w:r>
      <w:r>
        <w:br/>
      </w:r>
      <w:r>
        <w:br/>
      </w:r>
      <w:r>
        <w:t>Mr. N. Govindarajan Managing Director Aurobindo Pharma said: 'We are pleased to be part of this innovative partnership designed to accelerate access to medicines for treating HIV. Aurobindo Pharma is committed to HIV care and aims to achieve the goals of wider access to HIV treatment care and support; seeking to address the spread of HIV through development of this newer class of drugs and fixed-dose combinations for low- and middle-income countries. '</w:t>
      </w:r>
      <w:r>
        <w:br/>
      </w:r>
      <w:r>
        <w:br/>
      </w:r>
      <w:r>
        <w:t>The filing by Aurobindo Pharma is the second result of the agreement between CHAI and ViiV Healthcare and comes less than six months after another generic manufacturer announced that it had received Tentative Approval from the FDA for paediatric formulations of another ViiV Healthcare antiretroviral (also under PEPFAR for sale in licensed countries outside of the United States) through innovative collaboration with ViiV Healthcare and CHAI.</w:t>
      </w:r>
      <w:r>
        <w:br/>
      </w:r>
      <w:r>
        <w:br/>
      </w:r>
      <w:r>
        <w:t>Distributed by APO (African Press Organization) on behalf of ViiV Healthcare Aurobindo Pharma and the Clinton Health Access Initiative Inc. (CHAI).</w:t>
      </w:r>
      <w:r>
        <w:br/>
      </w:r>
      <w:r>
        <w:br/>
      </w:r>
      <w:r>
        <w:t>Contacts:</w:t>
      </w:r>
      <w:r>
        <w:br/>
      </w:r>
      <w:r>
        <w:br/>
      </w:r>
      <w:r>
        <w:t>ViiV UK/US Media enquiries:</w:t>
      </w:r>
      <w:r>
        <w:br/>
      </w:r>
      <w:r>
        <w:br/>
      </w:r>
      <w:r>
        <w:t>Sebastien Desprez (UK)</w:t>
      </w:r>
      <w:r>
        <w:br/>
      </w:r>
      <w:r>
        <w:br/>
      </w:r>
      <w:r>
        <w:t>+44 (0) 7920 567 707</w:t>
      </w:r>
      <w:r>
        <w:br/>
      </w:r>
      <w:r>
        <w:br/>
      </w:r>
      <w:r>
        <w:t>Isabelle Scali (UK)</w:t>
      </w:r>
      <w:r>
        <w:br/>
      </w:r>
      <w:r>
        <w:br/>
      </w:r>
      <w:r>
        <w:t>+44 (0) 7557 290 420</w:t>
      </w:r>
      <w:r>
        <w:br/>
      </w:r>
      <w:r>
        <w:br/>
      </w:r>
      <w:r>
        <w:t>Marc Meachem (US)</w:t>
      </w:r>
      <w:r>
        <w:br/>
      </w:r>
      <w:r>
        <w:br/>
      </w:r>
      <w:r>
        <w:t>+1 919 483 8756</w:t>
      </w:r>
      <w:r>
        <w:br/>
      </w:r>
      <w:r>
        <w:br/>
      </w:r>
      <w:r>
        <w:t>Clinton Health Foundation Media enquiries:</w:t>
      </w:r>
      <w:r>
        <w:br/>
      </w:r>
      <w:r>
        <w:br/>
      </w:r>
      <w:r>
        <w:t>press@clintonhealthaccess.org</w:t>
      </w:r>
      <w:r>
        <w:br/>
      </w:r>
      <w:r>
        <w:br/>
      </w:r>
      <w:r>
        <w:t>Aurobindo Pharma Media enquiries:</w:t>
      </w:r>
      <w:r>
        <w:br/>
      </w:r>
      <w:r>
        <w:br/>
      </w:r>
      <w:r>
        <w:t>+91-40-66725000 / 66725401</w:t>
      </w:r>
      <w:r>
        <w:br/>
      </w:r>
      <w:r>
        <w:br/>
      </w:r>
      <w:r>
        <w:t>Aurobindo Pharma Investor Relations:</w:t>
      </w:r>
      <w:r>
        <w:br/>
      </w:r>
      <w:r>
        <w:br/>
      </w:r>
      <w:r>
        <w:t>ir@aurobindo.com</w:t>
      </w:r>
      <w:r>
        <w:br/>
      </w:r>
      <w:r>
        <w:br/>
      </w:r>
      <w:r>
        <w:t>About Clinton Health Access Initiative</w:t>
      </w:r>
      <w:r>
        <w:br/>
      </w:r>
      <w:r>
        <w:br/>
      </w:r>
      <w:r>
        <w:t>The Clinton Health Access Initiative Inc. (CHAI) (http://www.clintonhealthaccess.org) was founded in 2002 with a transformational goal: help save the lives of millions of people living with HIV/AIDS in the developing world by dramatically scaling up antiretroviral treatment. When CHAI was founded many viewed this goal as unreasonable because health systems in poor countries were too weak and prices of relevant drugs and diagnostic tests were too high. CHAI played a leadership role working alongside governments and other partners to lower the costs of treatment and help build the in-country systems necessary to provide lifesaving treatment to millions of people. Since then CHAI has pursued several similarly ambitious goals from scaling up pediatric AIDS treatment in order to achieve equity with adults in a timeframe few thought possible to rapidly accelerating the rollout of new vaccines. CHAI has achieved many of its most important successes when seeking to fundamentally change the way the world approaches an issue and pushing the boundaries of what is considered feasible in global health. For more information please visit: www.clintonhealthaccess.org</w:t>
      </w:r>
      <w:r>
        <w:br/>
      </w:r>
      <w:r>
        <w:br/>
      </w:r>
      <w:r>
        <w:t>About ViiV Healthcare</w:t>
      </w:r>
      <w:r>
        <w:br/>
      </w:r>
      <w:r>
        <w:br/>
      </w:r>
      <w:r>
        <w:t>ViiV Healthcare (http://www.viivhealthcare.com) is a global specialist HIV company established in November 2009 by GlaxoSmithKline (LSE: GSK) and Pfizer (NYSE: PFE) dedicated to delivering advances in treatment and care for people living with HIV. Shionogi joined as a shareholder in October 2012. The company's aim is to take a deeper and broader interest in HIV/AIDS than any company has done before and take a new approach to deliver effective and new HIV medicines as well as support communities affected by HIV. For more information on the company its management portfolio pipeline and commitment please visit www.viivhealthcare.com.</w:t>
      </w:r>
      <w:r>
        <w:br/>
      </w:r>
      <w:r>
        <w:br/>
      </w:r>
      <w:r>
        <w:t>About Aurobindo Pharma</w:t>
      </w:r>
      <w:r>
        <w:br/>
      </w:r>
      <w:r>
        <w:br/>
      </w:r>
      <w:r>
        <w:t>Aurobindo Pharma Ltd. (http://www.aurobindo.com) is a vertically integrated pharmaceutical company that delivers innovative solutions. Aurobindo Pharma leverages India's globally competitive cost base and talented team of scientists to discover develop and commercialize a range of affordable medicines for markets across the globe. For more information please visit www.aurobindo.com.</w:t>
      </w:r>
      <w:r>
        <w:br/>
      </w:r>
      <w:r>
        <w:br/>
      </w:r>
      <w:r>
        <w:t>About President's Emergency Plan for AIDS Relief (PEPFAR)</w:t>
      </w:r>
      <w:r>
        <w:br/>
      </w:r>
      <w:r>
        <w:br/>
      </w:r>
      <w:r>
        <w:t>PEPFAR is the US government initiative to help save the lives of those suffering from HIV/AIDS around the world. This historic commitment is the largest by any nation to combat a single disease internationally. In May 2004 in support of the President's Emergency Plan the FDA announced a new initiative to help ensure that those being served by the President's Plan would receive safe effective and quality manufactured antiretroviral drugs. This new initiative included an expedited review process. Through guidance and an active outreach program to the pharmaceutical industry the FDA actively encouraged any sponsors worldwide to submit US marketing applications for single entity fixed dose combination (FDC) and co-packaged versions of previously approved antiretroviral therapies-even if there was still patent or exclusivity market protection for the product in the US.</w:t>
      </w:r>
      <w:r>
        <w:br/>
      </w:r>
      <w:r>
        <w:br/>
      </w:r>
      <w:r>
        <w:t>Important Information about Tivicay� (dolutegravir) in the US</w:t>
      </w:r>
      <w:r>
        <w:br/>
      </w:r>
      <w:r>
        <w:br/>
      </w:r>
      <w:r>
        <w:t>FDA Indication and Usage: TIVICAY is a human immunodeficiency virus type 1 (HIV-1) integrase strand transfer inhibitor (INSTI) indicated in combination with other antiretroviral agents for the treatment of HIV-1 infection.</w:t>
      </w:r>
      <w:r>
        <w:br/>
      </w:r>
      <w:r>
        <w:br/>
      </w:r>
      <w:r>
        <w:t>Use of TIVICAY in INSTI-experienced patients should be guided by the number and type of baseline INSTI substitutions. The efficacy of TIVICAY 50 mg twice daily is reduced in patients with an INSTI-resistance Q148 substitution plus 2 or more additional INSTI-resistance substitutions including T66A L74I/M E138A/K/T G140S/A/C Y143R/C/H E157Q G163S/E/K/Q or G193E/R.</w:t>
      </w:r>
      <w:r>
        <w:br/>
      </w:r>
      <w:r>
        <w:br/>
      </w:r>
      <w:r>
        <w:t>Important Safety Information for Tivicay� (dolutegravir)</w:t>
      </w:r>
      <w:r>
        <w:br/>
      </w:r>
      <w:r>
        <w:br/>
      </w:r>
      <w:r>
        <w:t>Contraindication: TIVICAY is contraindicated (1) in patients with previous hypersensitivity reaction to dolutegravir and (2) in patients receiving dofetilide (antiarrhythmic) due to the potential for increased dofetilide plasma concentrations and the risk for serious and/or life-threatening events.</w:t>
      </w:r>
      <w:r>
        <w:br/>
      </w:r>
      <w:r>
        <w:br/>
      </w:r>
      <w:r>
        <w:t>Hypersensitivity Reactions: Hypersensitivity reactions have been reported and were characterized by rash constitutional findings and sometimes organ dysfunction including liver injury. The events were reported in 1% or fewer subjects receiving TIVICAY in Phase 3 clinical trials. Discontinue TIVICAY and other suspect agents immediately if signs or symptoms of hypersensitivity reaction develop (including but not limited to severe rash or rash accompanied by fever general malaise fatigue muscle or joint aches blisters or peeling of the skin oral blisters or lesions conjunctivitis facial edema hepatitis eosinophilia angioedema difficulty breathing.) Monitor clinical status including liver aminotransferases and initiate appropriate therapy. Delay in stopping treatment with TIVICAY or other suspect agents after the onset of hypersensitivity may result in a life-threatening reaction. TIVICAY is contraindicated in patients who have experienced a hypersensitivity reaction to dolutegravir.</w:t>
      </w:r>
      <w:r>
        <w:br/>
      </w:r>
      <w:r>
        <w:br/>
      </w:r>
      <w:r>
        <w:t>Effects on Serum Liver Biochemistries in Patients with Hepatitis B or C Coinfection: Patients with underlying hepatitis B or C may be at increased risk for worsening or development of transaminase elevations with use of TIVICAY. In some cases the elevations in transaminases were consistent with immune reconstitution syndrome or hepatitis B reactivation particularly in the setting where anti-hepatitis therapy was withdrawn. Appropriate laboratory testing prior to initiating therapy and monitoring for hepatotoxicity during therapy with TIVICAY are recommended in patients with underlying hepatic disease such as hepatitis B or C.</w:t>
      </w:r>
      <w:r>
        <w:br/>
      </w:r>
      <w:r>
        <w:br/>
      </w:r>
      <w:r>
        <w:t>Fat Redistribution: Redistribution/accumulation of body fat has been observed in patients receiving antiretroviral therapy.</w:t>
      </w:r>
      <w:r>
        <w:br/>
      </w:r>
      <w:r>
        <w:br/>
      </w:r>
      <w:r>
        <w:t>Immune Reconstitution Syndrome: During the initial phase of treatment immune reconstitution syndrome can occur which may necessitate further evaluation and treatment. Autoimmune disorders have been reported to occur in the setting of immune reconstitution; the time to onset is more variable and can occur many months after initiation of treatment.</w:t>
      </w:r>
      <w:r>
        <w:br/>
      </w:r>
      <w:r>
        <w:br/>
      </w:r>
      <w:r>
        <w:t>Adverse Reactions: The most commonly reported (=2%) adverse reactions of moderate to severe intensity in treatment nave adult subjects in any one trial receiving TIVICAY in a combination regimen were insomnia (3%) fatigue (2%) and headache (2%).</w:t>
      </w:r>
      <w:r>
        <w:br/>
      </w:r>
      <w:r>
        <w:br/>
      </w:r>
      <w:r>
        <w:t>Drug Interactions: Co-administration of TIVICAY with drugs that are strong inducers of UGT1A1 and/or CYP3A4 may result in reduced plasma concentrations of dolutegravir and require dose adjustments of TIVICAY.</w:t>
      </w:r>
      <w:r>
        <w:br/>
      </w:r>
      <w:r>
        <w:br/>
      </w:r>
      <w:r>
        <w:t>- TIVICAY should be taken2 hours before or 6 hours after taking cation-containing antacids or laxatives sucralfate oral iron supplements oral calcium supplements or buffered medications.</w:t>
      </w:r>
      <w:r>
        <w:br/>
      </w:r>
      <w:r>
        <w:br/>
      </w:r>
      <w:r>
        <w:t>- Consult the full Prescribing Information for TIVICAY for more information on potentially significant drug interactions including clinical comments.</w:t>
      </w:r>
      <w:r>
        <w:br/>
      </w:r>
      <w:r>
        <w:br/>
      </w:r>
      <w:r>
        <w:t>Pregnancy: Pregnancy category B. TIVICAY should be used during pregnancy only if the potential benefit justifies the potential risk. An Antiretroviral Pregnancy Registry has been established.</w:t>
      </w:r>
      <w:r>
        <w:br/>
      </w:r>
      <w:r>
        <w:br/>
      </w:r>
      <w:r>
        <w:t>Breastfeeding: Breastfeeding is NOT recommended due to the potential for HIV transmission and the potential for adverse reactions in nursing infants.</w:t>
      </w:r>
      <w:r>
        <w:br/>
      </w:r>
      <w:r>
        <w:br/>
      </w:r>
      <w:r>
        <w:t>Paediatric Patients: Safety and efficacy of TIVICAY has not been established in children younger than 12 years old or weighing 40 kg or in INSTI-experienced paediatric patients with documented or clinically suspected INSTI resistance.</w:t>
      </w:r>
      <w:r>
        <w:br/>
      </w:r>
      <w:r>
        <w:br/>
      </w:r>
      <w:r>
        <w:t>Please visit the following link for the full US prescribing and patient information: https://www.viivhealthcare.com/media/58599/us_tivicay.pdf.</w:t>
      </w:r>
      <w:r>
        <w:br/>
      </w:r>
      <w:r>
        <w:br/>
      </w:r>
      <w:r>
        <w:t>How Tivicay Works</w:t>
      </w:r>
      <w:r>
        <w:br/>
      </w:r>
      <w:r>
        <w:br/>
      </w:r>
      <w:r>
        <w:t>Tivicay belongs to a class of HIV medicines called integrase inhibitors. Integrase inhibitors block HIV replication by preventing the viral DNA from integrating into the genetic material of human immune cells (T-cells). This step is essential in the HIV replication cycle and is also responsible for establishing chronic infection.</w:t>
      </w:r>
      <w:r>
        <w:br/>
      </w:r>
      <w:r>
        <w:br/>
      </w:r>
      <w:r>
        <w:t>Tivicay is a registered trademark of the ViiV Healthcare group of companies.</w:t>
      </w:r>
    </w:p>
    <w:p xmlns:wp14="http://schemas.microsoft.com/office/word/2010/wordml" w14:paraId="0093D89C" wp14:textId="77777777">
      <w:pPr>
        <w:pStyle w:val="Heading1"/>
      </w:pPr>
      <w:r>
        <w:t>End of Article 24</w:t>
      </w:r>
    </w:p>
    <w:p xmlns:wp14="http://schemas.microsoft.com/office/word/2010/wordml" w14:paraId="3461D779" wp14:textId="77777777">
      <w:r>
        <w:br w:type="page"/>
      </w:r>
    </w:p>
    <w:p xmlns:wp14="http://schemas.microsoft.com/office/word/2010/wordml" w:rsidP="0C23A411" w14:paraId="63A52234" wp14:textId="378E3D58">
      <w:pPr>
        <w:pStyle w:val="Heading1"/>
        <w:rPr>
          <w:highlight w:val="yellow"/>
        </w:rPr>
      </w:pPr>
      <w:r w:rsidRPr="0C23A411" w:rsidR="0C23A411">
        <w:rPr>
          <w:highlight w:val="yellow"/>
        </w:rPr>
        <w:t>Start of Article 25</w:t>
      </w:r>
      <w:r w:rsidRPr="0C23A411" w:rsidR="0C23A411">
        <w:rPr>
          <w:highlight w:val="yellow"/>
        </w:rPr>
        <w:t xml:space="preserve"> - DONE</w:t>
      </w:r>
    </w:p>
    <w:p xmlns:wp14="http://schemas.microsoft.com/office/word/2010/wordml" w14:paraId="3DF151A0" wp14:textId="77777777">
      <w:pPr>
        <w:pStyle w:val="Heading1"/>
      </w:pPr>
      <w:r>
        <w:t>Document ID FBCOM00020151027ebar000xh</w:t>
      </w:r>
    </w:p>
    <w:p xmlns:wp14="http://schemas.microsoft.com/office/word/2010/wordml" w14:paraId="334E0484" wp14:textId="77777777">
      <w:r>
        <w:t>In the first document, the FDA says the “nanotainers” should be listed as a Class II medical device, though Theranos currently lists it as a Class I exempt device. The distinction means the device needs FDA approval if it is to be shipped across state lines. “You are currently shipping this uncleared medical device in interstate commerce,” the document says, “between California, Arizona and Pennsylvania.” The document also says complaints “were not reviewed, evaluated and investigated where necessary.” In a second document, the FDA criticizes Theranos for not clearly describing its processes in writing. “Design validation did not ensure the device conforms to define user needs and intended uses,” the form says. You can read Theranos’ earlier statement about its work with the FDA here.</w:t>
      </w:r>
      <w:r>
        <w:br/>
      </w:r>
      <w:r>
        <w:br/>
      </w:r>
      <w:r>
        <w:t>You can read the FDA documents below.</w:t>
      </w:r>
      <w:r>
        <w:br/>
      </w:r>
      <w:r>
        <w:br/>
      </w:r>
      <w:r>
        <w:t>FDA Theranos Inspection 1</w:t>
      </w:r>
      <w:r>
        <w:br/>
      </w:r>
      <w:r>
        <w:br/>
      </w:r>
      <w:r>
        <w:t>To view the video, click here</w:t>
      </w:r>
      <w:r>
        <w:br/>
      </w:r>
      <w:r>
        <w:br/>
      </w:r>
      <w:r>
        <w:t>FDA Theranos Inspection 2</w:t>
      </w:r>
      <w:r>
        <w:br/>
      </w:r>
      <w:r>
        <w:br/>
      </w:r>
      <w:r>
        <w:t>To view the video, click here</w:t>
      </w:r>
    </w:p>
    <w:p xmlns:wp14="http://schemas.microsoft.com/office/word/2010/wordml" w14:paraId="72E99226" wp14:textId="77777777">
      <w:pPr>
        <w:pStyle w:val="Heading1"/>
      </w:pPr>
      <w:r>
        <w:t>End of Article 25</w:t>
      </w:r>
    </w:p>
    <w:p xmlns:wp14="http://schemas.microsoft.com/office/word/2010/wordml" w14:paraId="3CF2D8B6" wp14:textId="77777777">
      <w:r>
        <w:br w:type="page"/>
      </w:r>
    </w:p>
    <w:sectPr w:rsidRPr="0006063C" w:rsidR="00FC693F" w:rsidSect="00034616">
      <w:pgSz w:w="12240" w:h="15840" w:orient="portrait"/>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15="http://schemas.microsoft.com/office/word/2012/wordml" mc:Ignorable="w14 wp14 w15">
  <w:zoom w:val="bestFit"/>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C23A41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15:docId w15:val="{7d56d69f-9f91-49a2-a8fb-bfa30b46b251}"/>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mc:Ignorable="w14 wp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after="300" w:line="240" w:lineRule="auto"/>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customXml" Target="../customXml/item4.xml"/><Relationship Id="rId5" Type="http://schemas.openxmlformats.org/officeDocument/2006/relationships/settings" Target="settings.xml"/><Relationship Id="rId10" Type="http://schemas.openxmlformats.org/officeDocument/2006/relationships/customXml" Target="../customXml/item3.xml"/><Relationship Id="rId4" Type="http://schemas.microsoft.com/office/2007/relationships/stylesWithEffects" Target="stylesWithEffects.xml"/><Relationship Id="rId9"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D45AE3D1135F4E41AB498540A40487BD" ma:contentTypeVersion="18" ma:contentTypeDescription="Create a new document." ma:contentTypeScope="" ma:versionID="15adbd330118f8d06bc6615d15ac85a9">
  <xsd:schema xmlns:xsd="http://www.w3.org/2001/XMLSchema" xmlns:xs="http://www.w3.org/2001/XMLSchema" xmlns:p="http://schemas.microsoft.com/office/2006/metadata/properties" xmlns:ns2="7a2657dd-b8a5-4c99-8d51-b0b9d254c989" xmlns:ns3="5ba80a41-9917-4a22-8f13-cb051ddce64c" targetNamespace="http://schemas.microsoft.com/office/2006/metadata/properties" ma:root="true" ma:fieldsID="f6a41e235a72bf34fead84cba91ed4b2" ns2:_="" ns3:_="">
    <xsd:import namespace="7a2657dd-b8a5-4c99-8d51-b0b9d254c989"/>
    <xsd:import namespace="5ba80a41-9917-4a22-8f13-cb051ddce64c"/>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ServiceLocation"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a2657dd-b8a5-4c99-8d51-b0b9d254c98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1d038b50-52dc-447d-ac2e-a29bd036c4b1"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5ba80a41-9917-4a22-8f13-cb051ddce64c"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fceef030-0fd2-4c4f-af00-feafa4f18198}" ma:internalName="TaxCatchAll" ma:showField="CatchAllData" ma:web="5ba80a41-9917-4a22-8f13-cb051ddce64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7a2657dd-b8a5-4c99-8d51-b0b9d254c989">
      <Terms xmlns="http://schemas.microsoft.com/office/infopath/2007/PartnerControls"/>
    </lcf76f155ced4ddcb4097134ff3c332f>
    <TaxCatchAll xmlns="5ba80a41-9917-4a22-8f13-cb051ddce64c" xsi:nil="true"/>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A3B15594-5216-4A1D-912E-439F52EEFDCC}"/>
</file>

<file path=customXml/itemProps3.xml><?xml version="1.0" encoding="utf-8"?>
<ds:datastoreItem xmlns:ds="http://schemas.openxmlformats.org/officeDocument/2006/customXml" ds:itemID="{CDA6A22B-52D2-4174-A0BE-F1CC93B34A90}"/>
</file>

<file path=customXml/itemProps4.xml><?xml version="1.0" encoding="utf-8"?>
<ds:datastoreItem xmlns:ds="http://schemas.openxmlformats.org/officeDocument/2006/customXml" ds:itemID="{960FCA5B-1754-41D2-96D8-69E5ACAF665D}"/>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Office Word</ap:Application>
  <ap:DocSecurity>0</ap:DocSecurity>
  <ap:ScaleCrop>false</ap:ScaleCrop>
  <ap:Manager/>
  <ap:Company/>
  <ap:SharedDoc>false</ap:SharedDoc>
  <ap:HyperlinkBase/>
  <ap:HyperlinksChanged>false</ap:HyperlinksChanged>
  <ap:AppVersion>00.0001</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Pristavec, Teja (tp2sk)</cp:lastModifiedBy>
  <cp:revision>2</cp:revision>
  <dcterms:created xsi:type="dcterms:W3CDTF">2013-12-23T23:15:00Z</dcterms:created>
  <dcterms:modified xsi:type="dcterms:W3CDTF">2019-07-24T15:42:47Z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0x010100D45AE3D1135F4E41AB498540A40487BD</vt:lpwstr>
  </property>
</Properties>
</file>