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306C8CEB" wp14:textId="77777777">
      <w:pPr>
        <w:pStyle w:val="Heading1"/>
      </w:pPr>
      <w:r>
        <w:t>Document ID ATPHAM0020150515eb5e0007f</w:t>
      </w:r>
    </w:p>
    <w:p xmlns:wp14="http://schemas.microsoft.com/office/word/2010/wordml" w14:paraId="1C71334D" wp14:textId="77777777">
      <w:r>
        <w:t>This partnership is a unique opportunity for Bioness to generate awareness and offer rehabilitation solutions to the 76,000 well-informed and influential current APTA members. Bioness' Executive Vice President of Business Development and Marketing, George Gardiner, stated that this partnership will enable increased collaboration between industry and medical professionals challenged with treating millions of patients each year. "As well as opening up new possibilities for therapists who may not have previously used Bioness' award-winning products, this partnership reinforces the importance of physical therapy in promoting long-term patient outcomes."</w:t>
      </w:r>
      <w:r>
        <w:br/>
      </w:r>
      <w:r>
        <w:br/>
      </w:r>
      <w:r>
        <w:t>Through its Strategic Business Partners Program, APTA seeks to enhance business relationships and develop meaningful partnerships with companies by offering services and marketing opportunities that provide benefits to its partners and constituents. As a 2015 Silver Level Partner, Bioness will be able to provide regular updates to the APTA and its members on the latest technology, clinical research and clinical best practices.</w:t>
      </w:r>
      <w:r>
        <w:br/>
      </w:r>
      <w:r>
        <w:br/>
      </w:r>
      <w:r>
        <w:t>Source: Bioness</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23F541DC" wp14:textId="77777777">
      <w:pPr>
        <w:pStyle w:val="Heading1"/>
      </w:pPr>
      <w:r>
        <w:t>Document ID BWR0000020150209eb290004b</w:t>
      </w:r>
    </w:p>
    <w:p xmlns:wp14="http://schemas.microsoft.com/office/word/2010/wordml" w14:paraId="7FCA039B" wp14:textId="77777777">
      <w:r>
        <w:t>"We are very pleased with the FDA's agreement on our clinical trial design and planned analysis, which clearly defines what we believe to be a feasible path for the development and registration of LJPC-501," said George F. Tidmarsh, M.D., Ph.D., President and Chief Executive Officer of La Jolla. "The prognosis for patients suffering from CRH is very poor, with less than 50% of these patients surviving one month from diagnosis. We believe that LJPC-501 has the potential to reverse hypotension and, therefore, provide a significant benefit to these patients."</w:t>
      </w:r>
      <w:r>
        <w:br/>
      </w:r>
      <w:r>
        <w:br/>
      </w:r>
      <w:r>
        <w:t>About Special Protocol Assessments</w:t>
      </w:r>
      <w:r>
        <w:br/>
      </w:r>
      <w:r>
        <w:br/>
      </w:r>
      <w:r>
        <w:t>A Special Protocol Assessment is a written agreement between a sponsor and the U.S. Food and Drug Administration on the design, execution and analysis for a clinical trial that may form the basis of a new drug application, or NDA. Final marketing approval depends upon the efficacy results, the safety profile and an evaluation of the risk/benefit of treatment demonstrated in the Phase 3 clinical program.</w:t>
      </w:r>
      <w:r>
        <w:br/>
      </w:r>
      <w:r>
        <w:br/>
      </w:r>
      <w:r>
        <w:t>About LJPC-501</w:t>
      </w:r>
      <w:r>
        <w:br/>
      </w:r>
      <w:r>
        <w:br/>
      </w:r>
      <w:r>
        <w:t>LJPC-501 is La Jolla's proprietary formulation of angiotensin II. Angiotensin II, the major bioactive component of the renin-angiotensin system, serves as one of the body's central regulators of blood pressure. La Jolla is developing LJPC-501 for the treatment of catecholamine-resistant hypotension, or CRH, which is an acute, life-threatening condition in which blood pressure drops to dangerously low levels and is poorly responsive to current treatments. Angiotensin II has been shown to raise blood pressure in a randomized, placebo-controlled clinical trial in CRH, as well as animal models of hypotension. In October 2014, La Jolla presented positive data from a preclinical study of LJPC-501 for the treatment of CRH. In February 2015, La Jolla reached agreement with the FDA on a Special Protocol Assessment, or SPA, for its Phase 3 clinical trial of LJPC-501 for the treatment of CRH, in which agreement was reached that blood pressure can be the primary endpoint for approval. La Jolla's Phase 3 clinical trial of LJPC-501 for the treatment of CRH is expected to begin in the first quarter of 2015. La Jolla has submitted an Orphan Drug Designation application to the FDA for LJPC-501 for the treatment of CRH.</w:t>
      </w:r>
      <w:r>
        <w:br/>
      </w:r>
      <w:r>
        <w:br/>
      </w:r>
      <w:r>
        <w:t>La Jolla is also developing LJPC-501 for hepatorenal syndrome, or HRS. HRS is a life-threatening form of progressive renal failure in patients with liver cirrhosis or fulminant liver failure. In these patients, the diseased liver secretes vasodilator substances (e.g., nitric oxide and prostaglandins) into the bloodstream that cause under-filling of blood vessels. This low blood pressure state causes a reduction in blood flow to the kidneys. As a means to restore systemic blood pressure, the kidneys induce both sodium and water retention, which contribute to ascites, a major complication associated with HRS. Studies have shown that LJPC-501 may improve renal function in patients with conditions similar to HRS. La Jolla is currently conducting a Phase 1/2 clinical trial of LJPC-501 in HRS. The Phase 1/2 clinical trial is currently enrolling patients.</w:t>
      </w:r>
      <w:r>
        <w:br/>
      </w:r>
      <w:r>
        <w:br/>
      </w:r>
      <w:r>
        <w:t>About La Jolla Pharmaceutical Company</w:t>
      </w:r>
      <w:r>
        <w:br/>
      </w:r>
      <w:r>
        <w:br/>
      </w:r>
      <w:r>
        <w:t>La Jolla Pharmaceutical Company is a biopharmaceutical company focused on the discovery, development and commercialization of innovative therapies intended to significantly improve outcomes in patients suffering from life-threatening diseases. The Company has four product candidates in development. LJPC-501 is La Jolla's proprietary formulation of angiotensin II for the potential treatment of catecholamine-resistant hypotension and hepatorenal syndrome. GCS-100 is La Jolla's first-in-class galectin-3 inhibitor for the potential treatment of chronic kidney disease. LJPC-1010, La Jolla's second-generation galectin-3 inhibitor, is a more potent and purified derivative of GCS-100 that can be delivered orally for the potential treatment of nonalcoholic steatohepatitis and other diseases characterized by tissue fibrosis. LJPC-401 is La Jolla's novel formulation of hepcidin for the potential treatment of iron overload. For more information on La Jolla, please visit www.ljpc.com.</w:t>
      </w:r>
      <w:r>
        <w:br/>
      </w:r>
      <w:r>
        <w:br/>
      </w:r>
      <w:r>
        <w:t>Forward-Looking Statement Safe Harbor</w:t>
      </w:r>
      <w:r>
        <w:br/>
      </w:r>
      <w:r>
        <w:br/>
      </w:r>
      <w:r>
        <w:t>This document contains "forward-looking statements," as that term is defined in the Private Securities Litigation Reform Act of 1995. These statements relate to the Company's expectations regarding future events or its future results of operations. These statements are only predictions and involve known and unknown risks, uncertainties and other factors, any one of which may cause actual results to be materially different from these forward-looking statements. The Company cautions readers not to place undue reliance on any such forward-looking statements, which speak only as of the date they were made. Certain of these risks, uncertainties and other factors are described in greater detail in the Company's filings with the U.S. Securities and Exchange Commission (SEC), all of which are available free of charge on the SEC's web site http://www.sec.gov. These risks include, but are not limited to, risks relating to the future development of LJPC-501 for the treatment of CRH and the success of future development activities for this and other drug development programs sponsored by the Company; the ability of the Company to obtain orphan drug status for LJPC-501; the ability of the Company to use the planned Phase 3 study of LJPC-501 in CRH as a registration study; and the success of other potential indications for which this and other drug candidates may be developed. Subsequent written and oral forward-looking statements attributable to the Company or to persons acting on its behalf are expressly qualified in their entirety by the cautionary statements set forth in the Company's reports filed with the SEC. The Company expressly disclaims any intent to update any forward-looking statements.</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2B76C7F8" wp14:textId="77777777">
      <w:pPr>
        <w:pStyle w:val="Heading1"/>
      </w:pPr>
      <w:r>
        <w:t>Document ID BIWK000020150612eb6h0006s</w:t>
      </w:r>
    </w:p>
    <w:p xmlns:wp14="http://schemas.microsoft.com/office/word/2010/wordml" w14:paraId="7AD772B9" wp14:textId="77777777">
      <w:r>
        <w:t>ANI has forty-six generic drug products under development addressing a total annual market size of approximately $3.3 billion, based on data from IMS Health.</w:t>
      </w:r>
      <w:r>
        <w:br/>
      </w:r>
      <w:r>
        <w:br/>
      </w:r>
      <w:r>
        <w:t>Keywords for this news article include: ANI Pharmaceuticals Inc., Drugs, Therapy, FDA Actions, Narcotic Analgesics, Oxycodone Hydrochloride, Central Nervous System Agents, Government Agencies Offices and Entities.</w:t>
      </w:r>
      <w:r>
        <w:br/>
      </w:r>
      <w:r>
        <w:br/>
      </w:r>
      <w:r>
        <w:t>Our reports deliver fact-based news of research and discoveries from around the world. Copyright 2015, NewsRx LLC</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7B839C03" wp14:textId="77777777">
      <w:pPr>
        <w:pStyle w:val="Heading1"/>
      </w:pPr>
      <w:r>
        <w:t>Document ID BIOELSE020150930eb9p0000u</w:t>
      </w:r>
    </w:p>
    <w:p xmlns:wp14="http://schemas.microsoft.com/office/word/2010/wordml" w14:paraId="042D0DC7" wp14:textId="77777777">
      <w:r>
        <w:t xml:space="preserve"> NARCAN nasal spray was developed in collaboration with the National Institute on Drug Abuse (NIDA). Original Source: BioSpace.com, 2015. From website: http://www.biospace.com.</w:t>
      </w:r>
      <w:r>
        <w:br/>
      </w:r>
      <w:r>
        <w:br/>
      </w:r>
      <w:r>
        <w:t>BioSpace</w:t>
      </w:r>
      <w:r>
        <w:br/>
      </w:r>
      <w:r>
        <w:br/>
      </w:r>
      <w:r>
        <w:t>Website: http://www.biospace.com</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29D538EF" wp14:textId="77777777">
      <w:pPr>
        <w:pStyle w:val="Heading1"/>
      </w:pPr>
      <w:r>
        <w:t>Document ID DRGW000020150109eb1g0003u</w:t>
      </w:r>
    </w:p>
    <w:p xmlns:wp14="http://schemas.microsoft.com/office/word/2010/wordml" w14:paraId="1312D361" wp14:textId="77777777">
      <w:r>
        <w:t>Our news journalists obtained a quote from the research from the University of Cambridge, "Furthermore, MC4R is the second most highly enriched GPCR in peptide YY (PYY) and glucagon-like peptide 1 (GLP-1) expressing enteroendocrine L cells. When vectorial ion transport is measured across mouse or human intestinal mucosa, administration of alpha-MSH induces a MC4R-specific PYY-dependent antisecretory response consistent with a role for the MC4R in paracrine inhibition of electrolyte secretion. Finally, MC4R-dependent acute PYY and GLP-1 release from L cells can be stimulated in vivo by intraperitoneal (i.p.) administration of melanocortin peptides to mice."</w:t>
      </w:r>
      <w:r>
        <w:br/>
      </w:r>
      <w:r>
        <w:br/>
      </w:r>
      <w:r>
        <w:t>According to the news editors, the research concluded: "This suggests physiological significance for MC4R in L cells and indicates a previously unrecognized peripheral role for the MC4R, complementing vagal and central receptor functions."</w:t>
      </w:r>
      <w:r>
        <w:br/>
      </w:r>
      <w:r>
        <w:br/>
      </w:r>
      <w:r>
        <w:t>For more information on this research see: The Melanocortin-4 Receptor Is Expressed in Enteroendocrine L Cells and Regulates the Release of Peptide YY and Glucagon-like Peptide 1 In Vivo. Cell Metabolism, 2014;20(6):1018-1029. Cell Metabolism can be contacted at: Cell Press, 600 Technology Square, 5TH Floor, Cambridge, MA 02139, USA. (Elsevier - www.elsevier.com; Cell Metabolism - www.elsevier.com/wps/product/cws_home/704292)</w:t>
      </w:r>
      <w:r>
        <w:br/>
      </w:r>
      <w:r>
        <w:br/>
      </w:r>
      <w:r>
        <w:t>Our news journalists report that additional information may be obtained by contacting B.L. Panaro, University of Cambridge, MRC Metab Dis Unit MDU, Addenbrookes Hospital, Cambridge CB2 0XY, United Kingdom. Additional authors for this research include I.R. Tough, M.S. Engelstoft, R.T. Matthews, G.J. Digby, C.L. Moller, B. Svendsen, F. Gribble, F. Reimann, J.J. Holst, B. Holst, T.W. Schwartz, H.M. Cox and R.D. Cone.</w:t>
      </w:r>
      <w:r>
        <w:br/>
      </w:r>
      <w:r>
        <w:br/>
      </w:r>
      <w:r>
        <w:t>Keywords for this news article include: Drugs, Therapy, Cambridge, Proteomics, Proglucagon, Neuropeptides, United Kingdom, Gastroenterology, Peptide Hormones, Pituitary Hormones, Pro-Opiomelanocortin, Nerve Tissue Proteins, Glucagon-Like Peptide 1, Gastrointestinal Hormones</w:t>
      </w:r>
      <w:r>
        <w:br/>
      </w:r>
      <w:r>
        <w:br/>
      </w:r>
      <w:r>
        <w:t>Our reports deliver fact-based news of research and discoveries from around the world. Copyright 2015, NewsRx LLC</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6064E9D7" wp14:textId="77777777">
      <w:pPr>
        <w:pStyle w:val="Heading1"/>
      </w:pPr>
      <w:r>
        <w:t>Document ID CHPR000020150819eb8b0001n</w:t>
      </w:r>
    </w:p>
    <w:p xmlns:wp14="http://schemas.microsoft.com/office/word/2010/wordml" w14:paraId="0E03D553" wp14:textId="77777777">
      <w:r>
        <w:t xml:space="preserve"> The DSST performance measurement involves executive function, processing speed and attention. Original Source: Takeda, website: http://www.takeda.com/, Copyright Takeda Pharmaceutical Company Limited 2015.</w:t>
      </w:r>
      <w:r>
        <w:br/>
      </w:r>
      <w:r>
        <w:br/>
      </w:r>
      <w:r>
        <w:t>CHPR</w:t>
      </w:r>
      <w:r>
        <w:br/>
      </w:r>
      <w:r>
        <w:br/>
      </w:r>
      <w:r>
        <w:t>Takeda, website: http://www.takeda.com/</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1C9EC6FD" wp14:textId="77777777">
      <w:pPr>
        <w:pStyle w:val="Heading1"/>
      </w:pPr>
      <w:r>
        <w:t>Document ID BIWK000020150703eb730008f</w:t>
      </w:r>
    </w:p>
    <w:p xmlns:wp14="http://schemas.microsoft.com/office/word/2010/wordml" w14:paraId="6296285C" wp14:textId="77777777">
      <w:r>
        <w:t>The report enhances decision making capabilities and help to create effective counter strategies to gain competitive advantage. It strengthens R&amp;D pipelines by identifying new targets and MOAs to produce first-in-class and best-in-class products. Companies Mentioned - Beech Tree Labs, Inc.</w:t>
      </w:r>
      <w:r>
        <w:br/>
      </w:r>
      <w:r>
        <w:br/>
      </w:r>
      <w:r>
        <w:t>- Foamix Pharmaceuticals Ltd.</w:t>
      </w:r>
      <w:r>
        <w:br/>
      </w:r>
      <w:r>
        <w:br/>
      </w:r>
      <w:r>
        <w:t>- Mymetics Corporation</w:t>
      </w:r>
      <w:r>
        <w:br/>
      </w:r>
      <w:r>
        <w:br/>
      </w:r>
      <w:r>
        <w:t>- NanoViricides, Inc.</w:t>
      </w:r>
      <w:r>
        <w:br/>
      </w:r>
      <w:r>
        <w:br/>
      </w:r>
      <w:r>
        <w:t>- Onxeo SA</w:t>
      </w:r>
      <w:r>
        <w:br/>
      </w:r>
      <w:r>
        <w:br/>
      </w:r>
      <w:r>
        <w:t>- Spider Biotech</w:t>
      </w:r>
      <w:r>
        <w:br/>
      </w:r>
      <w:r>
        <w:br/>
      </w:r>
      <w:r>
        <w:t>For more information visit http://www.researchandmarkets.com/research/ckchrp/herpes_labialis View source version on businesswire.com: http://www.businesswire.com/news/home/20150625005738/en/</w:t>
      </w:r>
      <w:r>
        <w:br/>
      </w:r>
      <w:r>
        <w:br/>
      </w:r>
      <w:r>
        <w:t>Keywords for this news article include: Investing, Research and Markets.</w:t>
      </w:r>
      <w:r>
        <w:br/>
      </w:r>
      <w:r>
        <w:br/>
      </w:r>
      <w:r>
        <w:t>Our reports deliver fact-based news of research and discoveries from around the world. Copyright 2015, NewsRx LLC</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40E494A5" wp14:textId="77777777">
      <w:pPr>
        <w:pStyle w:val="Heading1"/>
      </w:pPr>
      <w:r>
        <w:t>Document ID RVESEN0020150414eb4e0040j</w:t>
      </w:r>
    </w:p>
    <w:p xmlns:wp14="http://schemas.microsoft.com/office/word/2010/wordml" w14:paraId="010D6BD7" wp14:textId="77777777">
      <w:r>
        <w:t>The Ebola vaccine trial program, known as STRIVE, is set to enroll at least 6,000 health and other frontline workers from districts in Sierra Leone where the Ebola outbreak affected the most people, according to the Center for Disease Control.</w:t>
      </w:r>
      <w:r>
        <w:br/>
      </w:r>
      <w:r>
        <w:br/>
      </w:r>
      <w:r>
        <w:t>STRIVE will study the safety of the rVSV-ZEBOV vaccine, which uses a virus carrying a non-infectious Ebola virus gene on the volunteers to try to create an immune response from the patient to protect them against the disease, the Center for Disease Control explained.</w:t>
      </w:r>
      <w:r>
        <w:br/>
      </w:r>
      <w:r>
        <w:br/>
      </w:r>
      <w:r>
        <w:t>Participants will receive the drug and will be closely monitored for six months by health experts to determine the vaccine’s effectiveness.</w:t>
      </w:r>
      <w:r>
        <w:br/>
      </w:r>
      <w:r>
        <w:br/>
      </w:r>
      <w:r>
        <w:t>“A safe and effective vaccine would be a very important tool to stop Ebola in the future, and the frontline workers who are volunteering to participate are making a decision that could benefit health care professionals and communities wherever Ebola is a risk,” Center for Disease Control Director Tom Frieden said in the statement.</w:t>
      </w:r>
      <w:r>
        <w:br/>
      </w:r>
      <w:r>
        <w:br/>
      </w:r>
      <w:r>
        <w:t>“We hope this vaccine will be proven effective, but in the meantime we must continue doing everything necessary to stop this epidemic - find every case, isolate and treat, safely and respectfully bury the dead, and find every single contact,” he added.</w:t>
      </w:r>
      <w:r>
        <w:br/>
      </w:r>
      <w:r>
        <w:br/>
      </w:r>
      <w:r>
        <w:t>The vaccine trial comes after the recent 2014 outbreak of the Ebola virus epidemic, which began in southern Guinea and later spread to Liberia, Sierra Leone, Nigeria and Senegal.</w:t>
      </w:r>
      <w:r>
        <w:br/>
      </w:r>
      <w:r>
        <w:br/>
      </w:r>
      <w:r>
        <w:t>The current Ebola outbreak in West Africa has killed at least 10,587 people since it started in 2014, according to the latest World Health Organization (WHO) estimates.</w:t>
      </w:r>
      <w:r>
        <w:br/>
      </w:r>
      <w:r>
        <w:br/>
      </w:r>
      <w:r>
        <w:t>Russia, Canada, Japan and the United Kingdom are also working on developing a vaccine for the Ebola virus.</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3759176A" wp14:textId="77777777">
      <w:pPr>
        <w:pStyle w:val="Heading1"/>
      </w:pPr>
      <w:r>
        <w:t>Document ID BTBW000020150921eb9l0000h</w:t>
      </w:r>
    </w:p>
    <w:p xmlns:wp14="http://schemas.microsoft.com/office/word/2010/wordml" w14:paraId="6953B602" wp14:textId="77777777">
      <w:r>
        <w:t>REPATHA(TM) is indicated as an adjunct to diet and maximally tolerated statin therapy for adult patients with heterozygous familial hypercholesterolemia or clinical atherosclerotic cardiovascular disease. REPATHA(TM) is also indicated as an adjunct to diet and other low-density lipoprotein-lowering therapies for the treatment of patients with homozygous familial hypercholesterolemia.</w:t>
      </w:r>
      <w:r>
        <w:br/>
      </w:r>
      <w:r>
        <w:br/>
      </w:r>
      <w:r>
        <w:t>REPATHA(TM) is an antibody that targets PCSK9 (proprotein convertase subtilisin kexin type 9), a protein that reduces the liver's ability to remove low-density lipoprotein cholesterol (LDL-C) from the blood. Mutations in the PCSK9 gene are often linked to high cholesterol, and REPATHA(TM) works to dramatically reduce these levels.</w:t>
      </w:r>
      <w:r>
        <w:br/>
      </w:r>
      <w:r>
        <w:br/>
      </w:r>
      <w:r>
        <w:t>"Statins are the most widely prescribed class of medications for those with high cholesterol, and for those who are statin-intolerant, finding treatment can be difficult," said Gary Kadlec, Diplomat's president. "With REPATHA(TM), we are motivated by the thought of offering those patients a new innovative means of treatment."</w:t>
      </w:r>
      <w:r>
        <w:br/>
      </w:r>
      <w:r>
        <w:br/>
      </w:r>
      <w:r>
        <w:t>High cholesterol, particularly elevated LDL-C, is the most common form of dyslipidemia, which is an abnormality of cholesterol and/or fats in the blood. Nearly one in three Americans have elevated LDL-C, which is recognized as a major risk factor for cardiovascular disease.</w:t>
      </w:r>
      <w:r>
        <w:br/>
      </w:r>
      <w:r>
        <w:br/>
      </w:r>
      <w:r>
        <w:t>REPATHA(TM) is distributed by Amgen Inc. Please see full prescribing information for REPATHA(TM) at http://pi.amgen.com/united_states/repatha/repatha_pi_hcp_english.pdf.</w:t>
      </w:r>
      <w:r>
        <w:br/>
      </w:r>
      <w:r>
        <w:br/>
      </w:r>
      <w:r>
        <w:t>To learn more about Diplomat, visit www.diplomat.is.</w:t>
      </w:r>
      <w:r>
        <w:br/>
      </w:r>
      <w:r>
        <w:br/>
      </w:r>
      <w:r>
        <w:t>Keywords for this news article include: Pharmaceutical Companies, Amgen, Lipids, Genetics, Cardiology, Lipoproteins, Diplomat Pharmacy Inc., Cardiovascular Diseases.</w:t>
      </w:r>
      <w:r>
        <w:br/>
      </w:r>
      <w:r>
        <w:br/>
      </w:r>
      <w:r>
        <w:t>Our reports deliver fact-based news of research and discoveries from around the world. Copyright 2015, NewsRx LLC</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12BFF655" wp14:textId="77777777">
      <w:pPr>
        <w:pStyle w:val="Heading1"/>
      </w:pPr>
      <w:r>
        <w:t>Document ID STLBJO0020150611eb6b0002w</w:t>
      </w:r>
    </w:p>
    <w:p xmlns:wp14="http://schemas.microsoft.com/office/word/2010/wordml" w14:paraId="1E27E6A2" wp14:textId="77777777">
      <w:r>
        <w:t>NeuroLutions is developing medical devices that use Brain Computer Interface (BCI) technology to help restore function in patients disabled by neurological injury. The device is based on research from Washington University professors Drs. Eric Leuthardt and Dan Moran.</w:t>
      </w:r>
      <w:r>
        <w:br/>
      </w:r>
      <w:r>
        <w:br/>
      </w:r>
      <w:r>
        <w:t>The company, led by CEO Tara Butler, is still pre-revenue and has offices at Washington University and Ascension Ventures' office in Clayton.</w:t>
      </w:r>
      <w:r>
        <w:br/>
      </w:r>
      <w:r>
        <w:br/>
      </w:r>
      <w:r>
        <w:t>Butler is also a managing director at Ascension Ventures.</w:t>
      </w:r>
      <w:r>
        <w:br/>
      </w:r>
      <w:r>
        <w:br/>
      </w:r>
      <w:r>
        <w:t>To date, the company has raised approximately $2 million, Butler said, from previous investors that also include Ascension Ventures and BioGenerator.</w:t>
      </w:r>
      <w:r>
        <w:br/>
      </w:r>
      <w:r>
        <w:br/>
      </w:r>
      <w:r>
        <w:t>Including this most recent round, BioGenerator has now invested $350,000 in the startup. BioGenerator's portfolio includes seven medical device companies, including BacterioScan, Pulse Therapeutics and Kogent Surgical. In 2014, BioGenerator invested $700,000 in medical device companies.</w:t>
      </w:r>
      <w:r>
        <w:br/>
      </w:r>
      <w:r>
        <w:br/>
      </w:r>
      <w:r>
        <w:t>Did you find this article useful? Why not subscribe to St. Louis Business Journal for more articles and leads? Visit bizjournals.com/subscribe or call 1-866-853-3661.</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69E9E2C9" wp14:textId="77777777">
      <w:pPr>
        <w:pStyle w:val="Heading1"/>
      </w:pPr>
      <w:r>
        <w:t>Document ID FNWIR00020151117ebbh000b6</w:t>
      </w:r>
    </w:p>
    <w:p xmlns:wp14="http://schemas.microsoft.com/office/word/2010/wordml" w14:paraId="5D9F91AC" wp14:textId="77777777">
      <w:r>
        <w:t>According to the National Cancer Institute, an estimated 221,200 Americans will be diagnosed with lung cancer this year and 158,040 will die from the disease. NSCLC is the most common type of lung cancer. Mutations in the EGFR gene are present in about 10% to 15% of NSCLC tumors.</w:t>
      </w:r>
      <w:r>
        <w:br/>
      </w:r>
      <w:r>
        <w:br/>
      </w:r>
      <w:r>
        <w:t>The company added that EGFR is a protein found in abnormally high levels on the surface of many types of cancer cells, particularly NSCLC cells. A patient’s EGFR mutation status (positive or negative) can be confirmed by diagnostic testing using a sample of tissue.</w:t>
      </w:r>
      <w:r>
        <w:br/>
      </w:r>
      <w:r>
        <w:br/>
      </w:r>
      <w:r>
        <w:t>((Distributed by M2 Communications www.m2.com))</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2D17F949" wp14:textId="77777777">
      <w:pPr>
        <w:pStyle w:val="Heading1"/>
      </w:pPr>
      <w:r>
        <w:t>Document ID SFBJO00020150408eb4700001</w:t>
      </w:r>
    </w:p>
    <w:p xmlns:wp14="http://schemas.microsoft.com/office/word/2010/wordml" w14:paraId="4A2FBA2F" wp14:textId="77777777">
      <w:r>
        <w:t>This latest new drug application, or NDA, filing seeks approval of two doses of F/TAF for adults and children age 12 and older in combination with other HIV antiretroviral drugs. The filing is backed by a late-stage trial that indicated that F/TAF could fight off the AIDS virus at a dose less than one-tenth that of Gilead's Viread, which features an earlier version of tenofovir at 300 milligrams.</w:t>
      </w:r>
      <w:r>
        <w:br/>
      </w:r>
      <w:r>
        <w:br/>
      </w:r>
      <w:r>
        <w:t>The study, with HIV patients who hadn't received antiretroviral drugs previously, pitted F/TAF against Stribild, which includes that earlier version of tenofovir, and found that F/TAF was at least equal in efficacy to Stribild and had fewer kidney and bone side effects than Stribild.</w:t>
      </w:r>
      <w:r>
        <w:br/>
      </w:r>
      <w:r>
        <w:br/>
      </w:r>
      <w:r>
        <w:t>Other trials tested F/TAF in adult HIV patients who switched drug regimens, treatment-naive adolescents and adults with mild-to-moderate kidney impairment.</w:t>
      </w:r>
      <w:r>
        <w:br/>
      </w:r>
      <w:r>
        <w:br/>
      </w:r>
      <w:r>
        <w:t>The earlier version of tenofovir also is used in Gilead's other HIV-fighting combination drugs — Truvada, Atripla, Complera and Stribild — so F/TAF could serve as the centerpiece for a whole new set of drug combos.</w:t>
      </w:r>
      <w:r>
        <w:br/>
      </w:r>
      <w:r>
        <w:br/>
      </w:r>
      <w:r>
        <w:t>"Gilead has a long history of innovating HIV treatments, and with F/TAF we have the potential to further optimize therapies for HIV patients who face a lifetime of antiretroviral treatment," Gilead Chief Scientific Officer Norbert Bischofberger said in a press release Tuesday. "With its high antiviral efficacy and favorable safety profile, F/TAF may offer an improved backbone for a new generation of HIV regimens."</w:t>
      </w:r>
      <w:r>
        <w:br/>
      </w:r>
      <w:r>
        <w:br/>
      </w:r>
      <w:r>
        <w:t>Gilead, led by CEO John Martin, and partner Janssen Sciences Ireland UC are working on two other experimental once-daily, single-tablet regimens containing F/TAF. One of those combines F/TAF with Janssen's rilpivirine; the other combines F/TAF, cobicistat and Janssen's darunavir.</w:t>
      </w:r>
      <w:r>
        <w:br/>
      </w:r>
      <w:r>
        <w:br/>
      </w:r>
      <w:r>
        <w:t>Did you find this article useful? Why not subscribe to San Francisco Business Times for more articles and leads? Visit bizjournals.com/subscribe or call 1-866-853-3661.</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10620335" wp14:textId="77777777">
      <w:pPr>
        <w:pStyle w:val="Heading1"/>
      </w:pPr>
      <w:r>
        <w:t>Document ID MSP0000020150924eb9k00015</w:t>
      </w:r>
    </w:p>
    <w:p xmlns:wp14="http://schemas.microsoft.com/office/word/2010/wordml" w14:paraId="431C21CA" wp14:textId="77777777">
      <w:r>
        <w:t xml:space="preserve"> “They have probably done a better job than any other food company in reading trends,” said Brian Yarbrough, a stock analyst at Edward Jones. “What is hot right now in food is organic and protein.” Protein’s power This year has been marked by a disaster of sorts in Hormel’s Jennie-O turkey business. The avian flu that swept across Minnesota in the spring killed 9 million turkeys and chickens, wiping out a big chunk of Jennie-O’s bird supply. But the company is restocking its barns and doesn’t expect the bird flu to cause its fiscal-year profits to fall below forecasts. Despite the turkey woes, Hormel’s shares have held up well, outperforming food industry peers this year and over the last five years for that matter. And Hormel, which generates more than $9 billion in annual revenue, hasn’t experienced the sales malaise of many other U.S. packaged foods companies, including Golden Valley-based General Mills. The industry’s problem lies in the supermarket’s “center store,” home to more processed foods that are losing favor with some consumers. “Hormel is not as dependent on the center of the store as the likes of General Mills, Kellogg and Kraft,” said Erin Lash, a stock analyst at Morningstar. Notwithstanding its canned product lineup, Hormel has a stronger presence on the faster growing perimeter of the store, where meat, produce and dairy products reign. Applegate’s appeal New Jersey-based Applegate will not only add to that placement, but will allow Hormel to better tap the fast-growing organic and natural market. Applegate, whose products include hot dogs, deli meat and fresh pork, is the largest U.S. organic and natural meat purveyor with about $340 million in annual revenue. Hormel’s biggest challenge is preserving Applegate’s brand — in other words, not mucking up a good thing with corporate dictates. The minute Hormel announced the Applegate deal, it was suspect in the minds of some Applegate consumers, who see the Austin company as part of Big Meat, antithetical to Applegate’s mission. Even now, two months after the deal closed, Applegate’s Facebook page sports a few posts from customers slamming Hormel. Last month, Hormel appointed two of its longtime executives, Steve Lykken and Eldon Quam, respectively as Applegate’s chief operating officer and chief financial officer. Lykken is expected to become Applegate’s CEO next spring. But Applegate will largely operate as it has, said Hormel CEO Jeffrey Ettinger. “We expect the team in New Jersey to run the business,” he said. “They are the ones who have developed this great bond with their customers.” The Applegate deal also gives Hormel more exposure to younger consumers, as does its $450 million acquisition last year of northern California-based CytoSport, producer of Muscle Milk and other nutritional supplements made from whey protein. Applegate and Muscle Milk — along with the Wholly Guacamole brand of Mexican foods Hormel obtained in 2011 — mark a significant demographic shift for Hormel, Ettinger said. “It’s a much younger profile than our core portfolio,” he said. Boosting brands Muscle Milk may seem out of Hormel’s meaty comfort zone. But Hormel’s Century Foods subsidiary in the southwestern Wisconsin town of Sparta was CytoSport’s largest supplier for over 15 years. Muscle Milk is now produced in Sparta. CytoSport had suffered from a lack of innovation, which Hormel has countered with new products, including an organic version of Muscle Milk. Hormel has also relaunched CytoSport’s “Monster” brand of protein supplements. Hormel also faced a dearth of innovation with Skippy — which it bought from Unilever in 2013 for $700 million. Plus, it was a neglected brand. Hormel last year began national advertising for Skippy for the first time since 2009. The company also beefed up Skippy’s distribution to retailers. “There were some markets where the distribution was very spotty,” Ettinger said. While Skippy is still a distant second to Jif peanut butter, data from Chicago-based food market researcher IRI show it has gained about one percentage point of market share since the end of 2013. Ettinger said the Skippy acquisition has exceeded Hormel’s expectations. Hormel is capitalizing on the hot market for snacks by launching this month Skippy P.B. Bites, essentially peanut butter balls. The idea was to create a portable peanut butter product. “People love the flavor of peanut butter,” said James Splinter, Hormel’s group vice president for grocery products. But on-the-go consumption is tough. “It’s putting a spoon in a jar of peanut butter and carrying it around and eating it.” Hormel expects Skippy P.B. Bites to be available in half of the country by the end of October, and a full rollout is expected in 2016. A national ad campaign is slated to begin in February. Spam Snacks are in a similar vein to Skippy snacks, though packaged in single servings. Made with what Hormel calls a “proprietary dried meat technology,” Spam snacks come in “classic,” bacon and teriyaki varieties. They’re rolling out now in Spam’s strongest U.S. markets: the West Coast, Hawaii and the Southeast. If bite-size dried Spam seems a stretch, consider this: The U.S. meat snack market is booming — think of beef jerky’s rise to fame. And Hormel has a long track record of transforming basic stuff — turkey, pepperoni, and even crackers and cheese — into successful new items. “Hormel is the best at developing value-added, convenience-based protein products,” said Rob Moskow, a stock analyst at Credit Suisse. Spam Snacks and Skippy P.B. Bites “are very much on trend with what consumers are looking for. There’s a high probability that they will work.” Mike Hughlett • 612-673-7003 HORMEL’S BIG THREE ACQUISITIONS APPLEGATE FARMS When: May 2015 Cost: $775 million Products: Natural and organic meat CYTOSPORT HOLDINGS When: July 2014 Cost: $450 million Products: Muscle Milk and other supplements SKIPPY BRAND (OWNED BY UNILEVER) When: January 2013 Cost: $700 million Products: Peanut butter </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0F9D6148" wp14:textId="77777777">
      <w:pPr>
        <w:pStyle w:val="Heading1"/>
      </w:pPr>
      <w:r>
        <w:t>Document ID BIWK000020151216ebcg0004y</w:t>
      </w:r>
    </w:p>
    <w:p xmlns:wp14="http://schemas.microsoft.com/office/word/2010/wordml" w14:paraId="411EEE84" wp14:textId="77777777">
      <w:r>
        <w:t>The planned Phase I trial will evaluate the safety, tolerability and pharmacokinetics of HuMab 5B1 as a single agent or in combination with the current standard of care chemotherapy regimen in subjects with metastatic pancreatic cancer. The first cohort of patients to be enrolled in the planned clinical trial will be enrolled in a traditional dose escalation regimen to assess safety and determine the optimal dose of the antibody. A second patient cohort will establish the safety and optimized dose of the antibody when administered with standard of care chemotherapy and a third patient cohort will be administered the optimized dose of antibody as a single agent for the treatment of patients with advanced cancer.</w:t>
      </w:r>
      <w:r>
        <w:br/>
      </w:r>
      <w:r>
        <w:br/>
      </w:r>
      <w:r>
        <w:t>David Hansen, MabVax's President and Chief Executive Officer, said, "The filing of the first of two planned INDs for our novel HuMab 5B1 antibody is a significant achievement for MabVax. Pending FDA acceptance of the IND, we will begin the dose escalation portion of this Phase I trial as early in 2016 as possible and anticipate reporting on the early safety assessment and determination of a maximum tolerated dose in mid-year 2016. Achievement of this important interim milestone will enable us to move into the combination therapy and monotherapy portions of the trial where we could learn much more about the pharmacological effects of this new therapy. The milestone could also have a positive impact on our future commercial and corporate development activities. We currently anticipate having full enrollment of all three patient cohorts sometime before the end of 2016."</w:t>
      </w:r>
      <w:r>
        <w:br/>
      </w:r>
      <w:r>
        <w:br/>
      </w:r>
      <w:r>
        <w:t>MabVax plans to file a second IND application this month for its HuMab 5B1-based PET imaging agent and, subject to FDA acceptance, will begin this Phase I trial as early as possible in 2016. When the antibody is combined with a radio-label as a novel PET imaging agent, the (89)Zr-HuMab 5B1 product has demonstrated high image resolution of tumors in established xenograft animal models, making it attractive as a potential companion diagnostic for the HuMab 5B1 therapeutic product.</w:t>
      </w:r>
      <w:r>
        <w:br/>
      </w:r>
      <w:r>
        <w:br/>
      </w:r>
      <w:r>
        <w:t>"We believe the data generated in the early portions of these two Phase I trials will help demonstrate the initial safety, targeting specificity, and utility of the HuMab 5B1 antibody in this devastating disease," added Mr. Hansen. "We are excited about the potential applicability of our dual-product development approach in other cancers with HuMab 5B1, as well as with follow-on antibodies under development at MabVax."</w:t>
      </w:r>
      <w:r>
        <w:br/>
      </w:r>
      <w:r>
        <w:br/>
      </w:r>
      <w:r>
        <w:t>Keywords for this news article include: Antibodies, Oncology, Immunology, FDA Actions, Blood Proteins, Immunoglobulins, Gastroenterology, Pancreatic Cancer, Pancreatic Neoplasms, Clinical Trials and Studies, MabVax Therapeutics Holdings Inc., Government Agencies Offices and Entities.</w:t>
      </w:r>
      <w:r>
        <w:br/>
      </w:r>
      <w:r>
        <w:br/>
      </w:r>
      <w:r>
        <w:t>Our reports deliver fact-based news of research and discoveries from around the world. Copyright 2015, NewsRx LLC</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75243FB1" wp14:textId="77777777">
      <w:pPr>
        <w:pStyle w:val="Heading1"/>
      </w:pPr>
      <w:r>
        <w:t>Document ID JOENG00020150612eb6h00039</w:t>
      </w:r>
    </w:p>
    <w:p xmlns:wp14="http://schemas.microsoft.com/office/word/2010/wordml" w14:paraId="7327DDA4" wp14:textId="77777777">
      <w:r>
        <w:t>Chronic pain can have a devastating impact on quality of life for many patients. Spinal cord stimulators alleviate pain by stimulating the nerve fibers in the spinal cord to reduce pain signals. While primary cell (also referred to as non-rechargeable) devices are typically larger due to limitations in technology and battery size, the Precision Novi System represents a significant technology advance, with the smallest high-capacity battery on the market, allowing effective pain relief to be delivered from a much smaller device. The Precision Novi System is also the only primary cell device that couples with a wireless remote , empowering patients with flexibility and control over their pain management.</w:t>
      </w:r>
      <w:r>
        <w:br/>
      </w:r>
      <w:r>
        <w:br/>
      </w:r>
      <w:r>
        <w:t>"The small size and novel shape of the Precision Novi implant improves patient comfort and enables a very discreet subcutaneous placement," said Dr. Simon Thomson, a consultant in Pain Management and Neuromodulation at Basildon and Thurrock University Hospitals, UK. "The simplicity of the programming software saves valuable time in the operating theatre, efficiently allowing me to achieve and maintain comfortable therapy for my patients."</w:t>
      </w:r>
      <w:r>
        <w:br/>
      </w:r>
      <w:r>
        <w:br/>
      </w:r>
      <w:r>
        <w:t>Unlike any other primary cell system, the Precision Novi intuitive Illumina 3D neural targeting software incorporates three-dimensional lead location, as well as the conductivity of the spinal cord and surrounding tissue. This point-and-click technology automatically calculates the optimal programming configuration to target the selected pain area. Further, unique for primary cell devices, Precision Novi is a MultiWave(TM) Platform capable of delivering a variety of field shapes and waveforms with or without paresthesia, including burst and higher rate frequencies.</w:t>
      </w:r>
      <w:r>
        <w:br/>
      </w:r>
      <w:r>
        <w:br/>
      </w:r>
      <w:r>
        <w:t>"We are excited to expand upon our range of therapeutic solutions for patients suffering from chronic pain," said Maulik Nanavaty, president, Neuromodulation, Boston Scientific. "The Precision Novi System brings the power of our Illumina 3D Algorithm to the more than sixty percent of SCS patients in Europe who are treated with primary cell therapy."</w:t>
      </w:r>
      <w:r>
        <w:br/>
      </w:r>
      <w:r>
        <w:br/>
      </w:r>
      <w:r>
        <w:t>The Precision Novi SCS System is not available in the United States. Comparative statements true as of June 4, 2015.</w:t>
      </w:r>
      <w:r>
        <w:br/>
      </w:r>
      <w:r>
        <w:br/>
      </w:r>
      <w:r>
        <w:t>Keywords for this news article include: Pain, Therapy, Software, Technology, Nervous System Diseases, Neurologic Manifestations, Boston Scientific Corporation.</w:t>
      </w:r>
      <w:r>
        <w:br/>
      </w:r>
      <w:r>
        <w:br/>
      </w:r>
      <w:r>
        <w:t>Our reports deliver fact-based news of research and discoveries from around the world. Copyright 2015, NewsRx LLC</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46F9DF55" wp14:textId="77777777">
      <w:pPr>
        <w:pStyle w:val="Heading1"/>
      </w:pPr>
      <w:r>
        <w:t>Document ID JORTI00020150626eb6q0008i</w:t>
      </w:r>
    </w:p>
    <w:p xmlns:wp14="http://schemas.microsoft.com/office/word/2010/wordml" w14:paraId="76083BA4" wp14:textId="77777777">
      <w:r>
        <w:t>Ureteral stents are hollow tubes that allow urine to be drained though a catheter from the upper part of the urinary system. This market segment is experiencing healthy growth at a CAGR of 7.5%. Meanwhile, the holmium laser segment is expected to grow at a rapid CAGR of 8.1% through 2020, making it the fastest growing segment in the stone management market. Holmium lasers are the only type of lasers used in stone management. Procedures in which they are used are referred to as laser lithotripsy procedures.</w:t>
      </w:r>
      <w:r>
        <w:br/>
      </w:r>
      <w:r>
        <w:br/>
      </w:r>
      <w:r>
        <w:t>Many urologists consider high powered holmium lasers, which are defined as over 80 watts, to be a cost-effective investment. This is due to the fact that the devices can be used not only for stone treatment, but also for laser benign prostate hyperplasia (BPH) treatment. The use of holmium lasers in multiple applications and its consequent returns on investments makes them very appealing, thus driving the overall stone treatment device market.</w:t>
      </w:r>
      <w:r>
        <w:br/>
      </w:r>
      <w:r>
        <w:br/>
      </w:r>
      <w:r>
        <w:t>Lumenis, whose holmium laser technology is distributed by Boston Scientific, is the market leader for holmium lasers. Lumenis is the largest medical laser company in the world and it was the first company to develop a 100-watt holmium laser, as seen in its VersaPulse® PowerSuite system. Also a significant competitor in this market segment is Dornier MedTech America, with its H20 Holmium laser system from the Medilas product family, which is distributed by Olympus.</w:t>
      </w:r>
      <w:r>
        <w:br/>
      </w:r>
      <w:r>
        <w:br/>
      </w:r>
      <w:r>
        <w:t>On the ureteral stents front, the clear market leader is Boston Scientific with their successful Percuflex, Contour and Polaris families of products. Also prominent in this segment is Cook Medical, who offers the C-Flex®, Sof-Flex® and Universa® lines of stents. C. R. Bard is also among the leaders of this market with their popular INLAY ®and BARDEX® family of ureteral stents.</w:t>
      </w:r>
      <w:r>
        <w:br/>
      </w:r>
      <w:r>
        <w:br/>
      </w:r>
      <w:r>
        <w:t>"An emerging technology is antimicrobial coated stents, which have not yet gained FDA approval but could increase demand in the future," explains Dr. Kamran Zamanian, CEO of iData. "Driven by physician preference moving away from placing nephrostomy tubes, unit sales growth is expected to increase."</w:t>
      </w:r>
      <w:r>
        <w:br/>
      </w:r>
      <w:r>
        <w:br/>
      </w:r>
      <w:r>
        <w:t>For Further Information More on the markets for stone management in the U.S. can be found in this latest edition report published by iData entitled U.S. Market for Urological Devices, which covers the U.S. as a whole, as well as market segments for urinary incontinence devices, stone management devices, BPH treatment devices, urological endoscopes, prostate cancer treatment devices, urodynamic equipment and nephrostomy devices.</w:t>
      </w:r>
      <w:r>
        <w:br/>
      </w:r>
      <w:r>
        <w:br/>
      </w:r>
      <w:r>
        <w:t>The iData series on the market for urological devices also covers the U.S., India, China, Japan and 15 countries in Europe. Full reports provide a comprehensive analysis including units sold, procedure numbers, market value, forecasts, as well as detailed competitive market shares and analysis of major players' success strategies in each market and segment.</w:t>
      </w:r>
      <w:r>
        <w:br/>
      </w:r>
      <w:r>
        <w:br/>
      </w:r>
      <w:r>
        <w:t>Register online or email us at info@idataresearch.net for an U.S. Market for Urological Devices report brochure and synopsis.</w:t>
      </w:r>
      <w:r>
        <w:br/>
      </w:r>
      <w:r>
        <w:br/>
      </w:r>
      <w:r>
        <w:t>About Procedure Tracker Procedure number data is available from iData's Procedure Tracker service, which allows subscribers to define and analyze procedure data segmented by State, region, hospital, surgery centre, and physician. A customizable dashboard sorts procedure data for further analysis and research.</w:t>
      </w:r>
      <w:r>
        <w:br/>
      </w:r>
      <w:r>
        <w:br/>
      </w:r>
      <w:r>
        <w:t>About iData Research iData Research (http://www.idataresearch.com) is an international market research and consulting group focused on providing market intelligence for medical device and pharmaceutical companies. iData covers research in: Diabetes Drugs, Diabetes Devices, Pharmaceuticals, Anesthesiology, Wound Management, Orthopedics, Cardiovascular, Ophthalmics, Endoscopy, Gynecology, Urology and more.</w:t>
      </w:r>
      <w:r>
        <w:br/>
      </w:r>
      <w:r>
        <w:br/>
      </w:r>
      <w:r>
        <w:t>For the original version on PRWeb visit: http://www.prweb.com/releases/2015/06/prweb12811618.htm</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00836648" wp14:textId="77777777">
      <w:pPr>
        <w:pStyle w:val="Heading1"/>
      </w:pPr>
      <w:r>
        <w:t>Document ID ATPHAM0020150724eb7n0006d</w:t>
      </w:r>
    </w:p>
    <w:p xmlns:wp14="http://schemas.microsoft.com/office/word/2010/wordml" w14:paraId="66892AEC" wp14:textId="77777777">
      <w:r>
        <w:t>The combination of Catamaran and OptumRx, which will operate as OptumRx, offers scaled, innovative pharmacy care services driving unmatched value to clients and consumers. OptumRx's synchronized health care experience goes well beyond traditional pharmacy benefits management (PBM) by integrating Optum's data and analytics and connecting pharmacy care with a person's overall health benefits and care management. This provides a complete care solution for consumers and promotes collaboration among pharmacists and care providers. The result is better health outcomes and cost savings as people consistently get the right medications, care and guidance at the right time. As consumers, employers and payers increasingly need to access costly specialty pharmaceuticals, these synchronization capabilities set OptumRx apart in the marketplace.</w:t>
      </w:r>
      <w:r>
        <w:br/>
      </w:r>
      <w:r>
        <w:br/>
      </w:r>
      <w:r>
        <w:t>"We are pleased to welcome the talented Catamaran team to OptumRx, and together we look forward to bringing uniquely powerful, combined pharmacy care service offerings to the marketplace," said Larry Renfro, chief executive officer of Optum. "OptumRx is now exceptionally well-positioned to support and connect pharmacists, care providers, payers and patients in achieving the shared goals of improved health outcomes, better consumer experiences and lower costs."</w:t>
      </w:r>
      <w:r>
        <w:br/>
      </w:r>
      <w:r>
        <w:br/>
      </w:r>
      <w:r>
        <w:t>"OptumRx now has the expertise, scale, resources and innovative spirit to be the most valued, consumer-focused pharmacy care services partner in a rapidly changing health care system," said Mark Thierer, chief executive officer of OptumRx and former chairman and chief executive officer of Catamaran. "In addition to the consumer service enhancements and cost management opportunities this combination makes possible, OptumRx's longtime business relationship and shared technology with Catamaran greatly simplifies the integration now underway. Our clients, partners and members can expect stability and a smooth transition."</w:t>
      </w:r>
      <w:r>
        <w:br/>
      </w:r>
      <w:r>
        <w:br/>
      </w:r>
      <w:r>
        <w:t>Under the terms of the agreement, all of the shares of Catamaran were acquired for $61.50 per share in cash, with all shares of Catamaran expected to be delisted from the NASDAQ effective as of close of trading today and from the Toronto Stock Exchange (TSX) shortly.</w:t>
      </w:r>
      <w:r>
        <w:br/>
      </w:r>
      <w:r>
        <w:br/>
      </w:r>
      <w:r>
        <w:t>In connection with the completion of the acquisition, Catamaran repaid in full and terminated its existing credit facility. On July 23, 2015, Catamaran also delivered an irrevocable notice of redemption to holders of all of its outstanding 4.75% Senior Notes due 2021 (the "Notes") and irrevocably deposited with the trustee sufficient funds to fund the redemption in full of the Notes on August 23, 2015. As a result, Catamaran and the guarantors under the Notes have been released from their respective obligations under the Notes and the Indenture (in each case, subject to certain limited exceptions), pursuant to the satisfaction and discharge provisions thereunder, effective as of July 23, 2015.</w:t>
      </w:r>
      <w:r>
        <w:br/>
      </w:r>
      <w:r>
        <w:br/>
      </w:r>
      <w:r>
        <w:t>Source: Optum</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4490BFC9" wp14:textId="77777777">
      <w:pPr>
        <w:pStyle w:val="Heading1"/>
      </w:pPr>
      <w:r>
        <w:t>Document ID NEWSTMES20150806eb750003a</w:t>
      </w:r>
    </w:p>
    <w:p xmlns:wp14="http://schemas.microsoft.com/office/word/2010/wordml" w14:paraId="31878040" wp14:textId="77777777">
      <w:r>
        <w:t>He was tested again for strep and this time it came back positive. His doctor decided to do a full work-up, and eventually diagnosed with Berger's disease, which causes inflammation of the kidneys and can lead to organ failure.</w:t>
      </w:r>
      <w:r>
        <w:br/>
      </w:r>
      <w:r>
        <w:br/>
      </w:r>
      <w:r>
        <w:t>"It was by far the most crushing day of my life," Reseska said. "I would drive by that dialysis center at Danbury Hospital, and that was heavy on my heart because I thought, 'One day I'm going to end up there.' "</w:t>
      </w:r>
      <w:r>
        <w:br/>
      </w:r>
      <w:r>
        <w:br/>
      </w:r>
      <w:r>
        <w:t>But 30 years later, Reseska, who lives in Newtown with his wife and two children, is happy, healthy and able to continue working at his sales job. Thanks to two kidney transplants, he has managed to avoid dialysis.</w:t>
      </w:r>
      <w:r>
        <w:br/>
      </w:r>
      <w:r>
        <w:br/>
      </w:r>
      <w:r>
        <w:t>Not everyone is so lucky. Each day, 12 people die waiting for a kidney.</w:t>
      </w:r>
      <w:r>
        <w:br/>
      </w:r>
      <w:r>
        <w:br/>
      </w:r>
      <w:r>
        <w:t>Of the 123,000 Americans on the waiting list for an organ transplant, more than 101,000 need a kidney. Only 17,000 people each year are able to get one.</w:t>
      </w:r>
      <w:r>
        <w:br/>
      </w:r>
      <w:r>
        <w:br/>
      </w:r>
      <w:r>
        <w:t>In Connecticut, roughly 1,250 people are waiting for a kidney, according to the National Kidney Association and the United Network of Organ Sharing.</w:t>
      </w:r>
      <w:r>
        <w:br/>
      </w:r>
      <w:r>
        <w:br/>
      </w:r>
      <w:r>
        <w:t>The waiting list is long for several reasons. First, many Americans suffer from kidney disease, which can result from a variety of common conditions including diabetes and high blood pressure. Also, the number of people opting to donate organs after they die is not growing, and the number willing and able to donate while they are alive is very small.</w:t>
      </w:r>
      <w:r>
        <w:br/>
      </w:r>
      <w:r>
        <w:br/>
      </w:r>
      <w:r>
        <w:t>Chris Reseska's kidneys started to fail for the first time about 20 years ago. Everyone in his family was tested as a possible donor. His younger brother, Mike, turned out to be the best match.</w:t>
      </w:r>
      <w:r>
        <w:br/>
      </w:r>
      <w:r>
        <w:br/>
      </w:r>
      <w:r>
        <w:t>Mike Reseska had his hesitations about the procedure, but said a surgeon at Yale-New Haven Hospital put his mind at ease. The surgeon told him, "You can still have your glass of wine, you can still live your life to its fullest. The other kidney is going to get a little stronger, you'll never know its gone and you're saving your brother's life."</w:t>
      </w:r>
      <w:r>
        <w:br/>
      </w:r>
      <w:r>
        <w:br/>
      </w:r>
      <w:r>
        <w:t>Reseska donated his kidney to his big brother in January 1998.</w:t>
      </w:r>
      <w:r>
        <w:br/>
      </w:r>
      <w:r>
        <w:br/>
      </w:r>
      <w:r>
        <w:t>About three years ago, however, Chris Reseska started having symptoms suggesting that the donated kidney was failing. He didn't know it at the time, but he was carrying more than 60 pounds of water on his 6-foot-2 frame, a symptom of his worsening condition.</w:t>
      </w:r>
      <w:r>
        <w:br/>
      </w:r>
      <w:r>
        <w:br/>
      </w:r>
      <w:r>
        <w:t>Reseska's sister, Nancy Anderson, got tested, but wasn't a match. They decided to try an organ swap, in which Anderson would donate a kidney to another transplant patient in return for a compatible kidney for Chris from another donor.</w:t>
      </w:r>
      <w:r>
        <w:br/>
      </w:r>
      <w:r>
        <w:br/>
      </w:r>
      <w:r>
        <w:t>But time wasn't on their side.</w:t>
      </w:r>
      <w:r>
        <w:br/>
      </w:r>
      <w:r>
        <w:br/>
      </w:r>
      <w:r>
        <w:t>"I was going south in a big way," Reseska said. "I was absolutely ready to be put on dialysis, and the collapse of my life as I knew it was imminent."</w:t>
      </w:r>
      <w:r>
        <w:br/>
      </w:r>
      <w:r>
        <w:br/>
      </w:r>
      <w:r>
        <w:t>But then Mike Reseska's wife, Mary Lou, 49, decided to see if she was a match. Because of improved medications, a genetic link is no longer required to ensure a successful transplant.</w:t>
      </w:r>
      <w:r>
        <w:br/>
      </w:r>
      <w:r>
        <w:br/>
      </w:r>
      <w:r>
        <w:t>"We were running out of options," she said. "Chris was really down and out. It was really hard to watch."</w:t>
      </w:r>
      <w:r>
        <w:br/>
      </w:r>
      <w:r>
        <w:br/>
      </w:r>
      <w:r>
        <w:t>Mary Lou Reseska had blood, urine and radiology tests to determine whether she could donate. After a weekend of waiting, she got the news that she was match, and immediately called her brother-in-law.</w:t>
      </w:r>
      <w:r>
        <w:br/>
      </w:r>
      <w:r>
        <w:br/>
      </w:r>
      <w:r>
        <w:t>"What were the chances that my sister-in-law would be a viable match?" Reseska said. "It was a miracle."</w:t>
      </w:r>
      <w:r>
        <w:br/>
      </w:r>
      <w:r>
        <w:br/>
      </w:r>
      <w:r>
        <w:t>Reseska wasn't the only one relieved, Mary Lou Reseska felt the same way when the hospital called.</w:t>
      </w:r>
      <w:r>
        <w:br/>
      </w:r>
      <w:r>
        <w:br/>
      </w:r>
      <w:r>
        <w:t>"I thought I was a match, and I would have been really disappointed if I wasn't," she said. "So I said, 'Let's go, let's do this.'"</w:t>
      </w:r>
      <w:r>
        <w:br/>
      </w:r>
      <w:r>
        <w:br/>
      </w:r>
      <w:r>
        <w:t>Three weeks later, in adjacent operating rooms at Yale-New Haven, Mary Lou's left kidney was removed and transplanted into her brother-in-law.</w:t>
      </w:r>
      <w:r>
        <w:br/>
      </w:r>
      <w:r>
        <w:br/>
      </w:r>
      <w:r>
        <w:t>The procedure has changed greatly since Mike Reseska donated his kidney. In the past, it involved a long incision and a long hospital stay and recovery.</w:t>
      </w:r>
      <w:r>
        <w:br/>
      </w:r>
      <w:r>
        <w:br/>
      </w:r>
      <w:r>
        <w:t>Now the surgery is less invasive. A short incision, about three inches long, is made above the pubic bone, the same spot as in a C-section, to remove the kidney.</w:t>
      </w:r>
      <w:r>
        <w:br/>
      </w:r>
      <w:r>
        <w:br/>
      </w:r>
      <w:r>
        <w:t>Dr. Richard Formica, director of transplant medicine at Yale-New Haven, said organs transplanted from a living person last longer than those harvested from a dead donor.</w:t>
      </w:r>
      <w:r>
        <w:br/>
      </w:r>
      <w:r>
        <w:br/>
      </w:r>
      <w:r>
        <w:t>Most people who decide to donate organs do so because a family member or loved one is in need. But Formica said there are some people, called "altruistic donors," who donate to perfect strangers.</w:t>
      </w:r>
      <w:r>
        <w:br/>
      </w:r>
      <w:r>
        <w:br/>
      </w:r>
      <w:r>
        <w:t>All donors go through a very thorough screening process to make sure they are healthy enough, both mentally and physically, for the surgery.</w:t>
      </w:r>
      <w:r>
        <w:br/>
      </w:r>
      <w:r>
        <w:br/>
      </w:r>
      <w:r>
        <w:t>"Donor safety comes first and foremost; there is no negotiating on that topic," Formica said.</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2CE7D4AA" wp14:textId="77777777">
      <w:pPr>
        <w:pStyle w:val="Heading1"/>
      </w:pPr>
      <w:r>
        <w:t>Document ID CHPR000020150713eb770001c</w:t>
      </w:r>
    </w:p>
    <w:p xmlns:wp14="http://schemas.microsoft.com/office/word/2010/wordml" w14:paraId="40A18E48" wp14:textId="77777777">
      <w:r>
        <w:t xml:space="preserve"> Their flexible construction allows them to conform easily to complex shapes and irregular surfaces, making them easy to install. They also maintain their performance over multiple open and close cycles during production and maintenance. Original Source: WL Gore, 2015. Found on website: http://www.specialchem4adhesives.com.</w:t>
      </w:r>
      <w:r>
        <w:br/>
      </w:r>
      <w:r>
        <w:br/>
      </w:r>
      <w:r>
        <w:t>SpecialChem Adhesives and Sealants Formulation</w:t>
      </w:r>
      <w:r>
        <w:br/>
      </w:r>
      <w:r>
        <w:br/>
      </w:r>
      <w:r>
        <w:t>Website: http://www.specialchem4adhesives.com</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525AB3AD" wp14:textId="77777777">
      <w:pPr>
        <w:pStyle w:val="Heading1"/>
      </w:pPr>
      <w:r>
        <w:t>Document ID BIOELSE020160107ebcn0000e</w:t>
      </w:r>
    </w:p>
    <w:p xmlns:wp14="http://schemas.microsoft.com/office/word/2010/wordml" w14:paraId="34163258" wp14:textId="77777777">
      <w:r>
        <w:t xml:space="preserve"> The approval of Xeomin (incobotulinumtoxinA) for the treatment of adult ULS is based on results of a randomized, multicentre, placebo-controlled trial showing significant improvements in two co-primary outcome parameters: muscle tone (Ashworth Scale score) and the Investigator's Global Impression of Change of the Primary Target Clinical Pattern (PTCP) at Week 4. Both showed statistical significance, with p is below 0.001 and p is 0.003 respectively. The trial also met a key secondary outcome measure, in which subjects with an improvement of 1 on the Ashworth Scale at Week 4 were classified as responders (p is below 0.001). Treatment related adverse events were reported for 3.8% and 1.9% of subjects treated with Xeomin (incobotulinumtoxinA) and placebo, respectively. The most commonly observed adverse reactions (incidence is 2% of patients and greater than placebo) for Xeomin were seizure (3%), nasopharyngitis (2%), dry mouth (2%), and upper respiratory tract infection (2%). Original Source: BioSpace.com, 2015. From website: http://www.biospace.com.</w:t>
      </w:r>
      <w:r>
        <w:br/>
      </w:r>
      <w:r>
        <w:br/>
      </w:r>
      <w:r>
        <w:t>BioSpace</w:t>
      </w:r>
      <w:r>
        <w:br/>
      </w:r>
      <w:r>
        <w:br/>
      </w:r>
      <w:r>
        <w:t>Website: http://www.biospace.com</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70FB35AF" wp14:textId="77777777">
      <w:pPr>
        <w:pStyle w:val="Heading1"/>
      </w:pPr>
      <w:r>
        <w:t>Document ID BWR0000020150720eb7k00096</w:t>
      </w:r>
    </w:p>
    <w:p xmlns:wp14="http://schemas.microsoft.com/office/word/2010/wordml" w14:paraId="0DCC73DA" wp14:textId="77777777">
      <w:r>
        <w:t>Physicians at John Muir Health are among the first in Northern California to offer patients suffering from mitral regurgitation (MR), a breakthrough new minimally invasive treatment option. Performed at John Muir Medical Center, Concord, percutaneous mitral valve repair, or MitraClip, has been approved for U.S. patients with severe symptomatic degenerative MR who are at prohibitive risk for open heart, mitral valve surgery. Physicians at John Muir Health successfully performed their first MitraClip procedure on June 11 and have a number of procedures slated in the coming weeks.</w:t>
      </w:r>
      <w:r>
        <w:br/>
      </w:r>
      <w:r>
        <w:br/>
      </w:r>
      <w:r>
        <w:t>Degenerative MR is caused by an anatomic defect of the mitral valve of the heart. It's a debilitating, progressive and life-threatening disease in which a leaky mitral valve causes a backward flow of blood in the heart. MR is common, affecting more than 4 million Americans -- nearly one in 10 people aged 75 and above.(1) The condition can raise the risk of irregular heartbeats, stroke, and heart failure.</w:t>
      </w:r>
      <w:r>
        <w:br/>
      </w:r>
      <w:r>
        <w:br/>
      </w:r>
      <w:r>
        <w:t>Open heart mitral valve surgery is the gold standard treatment, but many patients are at prohibitive risk for the invasive procedure based on certain factors, such as age and physical condition. Medications for the condition are limited to symptom management and do not stop the progression of the disease.</w:t>
      </w:r>
      <w:r>
        <w:br/>
      </w:r>
      <w:r>
        <w:br/>
      </w:r>
      <w:r>
        <w:t>Abbott Vascular's MitraClip procedure repairs the mitral valve without the need for open heart surgery. The device is delivered to the heart through the femoral vein, a blood vessel in the leg, and once implanted, allows the heart to pump blood more efficiently, thereby relieving symptoms and improving patient quality of life. Patients undergoing MitraClip treatment typically experience short recovery times and short hospital stays, which are generally less than 48 hours.</w:t>
      </w:r>
      <w:r>
        <w:br/>
      </w:r>
      <w:r>
        <w:br/>
      </w:r>
      <w:r>
        <w:t>The John Muir Health MitraClip team is comprised of cardiologists and cardiovascular surgeons, who work closely together to screen and perform the MitraClip procedure on those patients that will benefit greatly from this life-enhancing treatment. They include cardiologists Andrew Dublin, M.D., Faizul Haque, M.D., Paul McWhirter, M.D., Howard Min, M.D. and Perkin Shiu, M.D. and cardiovascular surgeons Murali Dharan, M.D. and Jatinder Dhillon, M.D.</w:t>
      </w:r>
      <w:r>
        <w:br/>
      </w:r>
      <w:r>
        <w:br/>
      </w:r>
      <w:r>
        <w:t>Multiple trials, published reports, and registries of patients treated with the MitraClip device consistently demonstrate its safety, reduction in MR, improvement in symptoms, and reduction in hospitalizations for heart failure, even in some of the most severely ill and debilitated patients. More than 20,000 patients around the world have been treated with the MitraClip device.</w:t>
      </w:r>
      <w:r>
        <w:br/>
      </w:r>
      <w:r>
        <w:br/>
      </w:r>
      <w:r>
        <w:t>About John Muir Health</w:t>
      </w:r>
      <w:r>
        <w:br/>
      </w:r>
      <w:r>
        <w:br/>
      </w:r>
      <w:r>
        <w:t>John Muir Health is a nationally recognized, not-for-profit health care organization east of San Francisco serving patients in Contra Costa, eastern Alameda and southern Solano Counties. It includes a network of more than 1,000 primary care and specialty physicians, more than 5,500 employees, medical centers in Concord and Walnut Creek, including Contra Costa County's only trauma center, and a Behavioral Health Center. John Muir Health also has partnerships with San Ramon Regional Medical Center, UCSF Medical Center and Stanford Children's Health to expand its capabilities, increase access to services and better serve patients. The health system offers a full-range of medical services, including primary care, outpatient and imaging services, and is widely recognized as a leader in many specialties -- neurosciences, orthopedic, cancer, cardiovascular, trauma, emergency, pediatrics and high-risk obstetrics care. For more information, visit www.johnmuirhealth.com.</w:t>
      </w:r>
      <w:r>
        <w:br/>
      </w:r>
      <w:r>
        <w:br/>
      </w:r>
      <w:r>
        <w:t>To contact the John Muir Health High Risk Valve Clinic regarding a MitraClip procedure, please call (925) 674-2858.</w:t>
      </w:r>
      <w:r>
        <w:br/>
      </w:r>
      <w:r>
        <w:br/>
      </w:r>
      <w:r>
        <w:t>About Abbott Vascular</w:t>
      </w:r>
      <w:r>
        <w:br/>
      </w:r>
      <w:r>
        <w:br/>
      </w:r>
      <w:r>
        <w:t>Abbott Vascular, a division of Abbott, is a global leader in cardiac and vascular care with market-leading products and an industry-leading pipeline. Headquartered in Northern California, we are committed to advancing patient care by transforming the treatment of vascular disease through medical device innovations, investments in research and development, and physician training and education.</w:t>
      </w:r>
      <w:r>
        <w:br/>
      </w:r>
      <w:r>
        <w:br/>
      </w:r>
      <w:r>
        <w:t>We offer cutting-edge devices for coronary artery disease, peripheral vascular disease, carotid artery disease and structural heart disease. Our flagship product is the market-leading XIENCE family of Everolimus Eluting Coronary Stent Systems drug eluting stents for the treatment of coronary artery disease. In addition, our comprehensive product portfolio includes bare metal stents, balloon catheters, guide wires and vessel closure devices.</w:t>
      </w:r>
      <w:r>
        <w:br/>
      </w:r>
      <w:r>
        <w:br/>
      </w:r>
      <w:r>
        <w:t>Additional information about MitraClip, including important safety information, is available online at: http://www.abbottvascular.com/static/cms_workspace/pdf/ifu/structural_heart/eIFU_MitraClip.pdf</w:t>
      </w:r>
      <w:r>
        <w:br/>
      </w:r>
      <w:r>
        <w:br/>
      </w:r>
      <w:r>
        <w:t>(1) Nkomo VT, Gardin JM, Skelton TN, Gottdiener JS, Scott CG, Enriquez-Sarano M. Burden of valvular heart diseases: a population-based study. Lancet. 2006 Sep 16;368(9540):1005-11. http://www.ncbi.nlm.nih.gov/pubmed/16980116</w:t>
      </w:r>
      <w:r>
        <w:br/>
      </w:r>
      <w:r>
        <w:br/>
      </w:r>
      <w:r>
        <w:t>View source version on businesswire.com: http://www.businesswire.com/news/home/20150720005158/en/</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581CAD00" wp14:textId="77777777">
      <w:pPr>
        <w:pStyle w:val="Heading1"/>
      </w:pPr>
      <w:r>
        <w:t>Document ID DJDN000020150108eb18000zc</w:t>
      </w:r>
    </w:p>
    <w:p xmlns:wp14="http://schemas.microsoft.com/office/word/2010/wordml" w14:paraId="18A59603" wp14:textId="77777777">
      <w:r>
        <w:t>Plazomicin is currently in Phase 3 development for the treatment of serious bacterial infections due to MDR Enterobacteriaceae in hospitalized patients with bacteremia or nosocomial pneumonia. Plazomicin has been granted QIDP designation for the indications of hospital-acquired bacterial pneumonia (HABP), ventilator-associated bacterial pneumonia (VABP), complicated intra-abdominal infections (cIAI), complicated urinary tract infections (cUTI), and catheter-related bloodstream infections.</w:t>
      </w:r>
      <w:r>
        <w:br/>
      </w:r>
      <w:r>
        <w:br/>
      </w:r>
      <w:r>
        <w:t>"We appreciate the FDA's recognition that plazomicin is deserving of QIDP status and eligible for the provisions of the GAIN Act," commented Dr. Kenneth Hillan, MB, ChB, Chief Executive Officer of Achaogen. "We are excited by plazomicin's potential to save lives in patients who have serious multi-drug resistant gram-negative infections."</w:t>
      </w:r>
      <w:r>
        <w:br/>
      </w:r>
      <w:r>
        <w:br/>
      </w:r>
      <w:r>
        <w:t>Plazomicin is a novel aminoglycoside antibiotic designed to treat serious gram-negative infections. It has shown potent bactericidal activity in nonclinical studies against important gram-negative pathogens, including carbapenem-resistant Enterobacteriaceae (CRE). Plazomicin is currently being evaluated in a pivotal Phase 3 trial, CARE (Combating Antibiotic Resistant Enterobacteriaceae), for the treatment of bacteremia and nosocomial pneumonia caused by CRE, which is one of the top global threats in infectious disease due to high rates of mortality in infected patients. In 2013, the CDC labeled CRE as "nightmare bacteria" and indicated that CRE poses a public health threat requiring "urgent and aggressive action."</w:t>
      </w:r>
      <w:r>
        <w:br/>
      </w:r>
      <w:r>
        <w:br/>
      </w:r>
      <w:r>
        <w:t>About Achaogen</w:t>
      </w:r>
      <w:r>
        <w:br/>
      </w:r>
      <w:r>
        <w:br/>
      </w:r>
      <w:r>
        <w:t xml:space="preserve">Achaogen is a clinical-stage biopharmaceutical company passionately committed to the discovery, development, and commercialization of novel antibacterials to treat MDR gram-negative infections. Achaogen is developing plazomicin, the Company's lead product candidate, for the treatment of serious bacterial infections due to MDR Enterobacteriaceae, including CRE. Through the Special Protocol Assessment procedure, the FDA has agreed that the design and planned analyses of Achaogen's single pivotal Phase 3 trial adequately address objectives in support of a New Drug Application. Achaogen's plazomicin program is funded in part with a contract from the Biomedical Advanced Research and Development Authority (BARDA). Plazomicin is the first clinical candidate from Achaogen's gram-negative antibiotic discovery engine, and Achaogen has other programs in early and late preclinical stages focused on other MDR gram-negative infections. </w:t>
      </w:r>
      <w:r>
        <w:br/>
      </w:r>
      <w:r>
        <w:br/>
      </w:r>
      <w:r>
        <w:br/>
      </w:r>
      <w:r>
        <w:t xml:space="preserve">CONTACT: Candice Knoll </w:t>
      </w:r>
      <w:r>
        <w:br/>
      </w:r>
      <w:r>
        <w:t xml:space="preserve">         Blueprint Life Science Group </w:t>
      </w:r>
      <w:r>
        <w:br/>
      </w:r>
      <w:r>
        <w:t xml:space="preserve">         415.375.3340 Ext. 105 </w:t>
      </w:r>
      <w:r>
        <w:br/>
      </w:r>
      <w:r>
        <w:t xml:space="preserve">         cknoll@bplifescience.com </w:t>
      </w:r>
      <w:r>
        <w:br/>
      </w:r>
      <w:r>
        <w:br/>
      </w:r>
      <w:r>
        <w:t>8 Jan 2015 05:30 ET *Achaogen Announces Plazomicin Granted QIDP Designation By FDA</w:t>
      </w:r>
      <w:r>
        <w:br/>
      </w:r>
      <w:r>
        <w:br/>
      </w:r>
      <w:r>
        <w:t>(MORE TO FOLLOW) Dow Jones Newswires (212-416-2800)</w:t>
      </w:r>
      <w:r>
        <w:br/>
      </w:r>
      <w:r>
        <w:br/>
      </w:r>
      <w:r>
        <w:t>January 08, 2015 05:30 ET (10:30 GMT)</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06B3234A" wp14:textId="77777777">
      <w:pPr>
        <w:pStyle w:val="Heading1"/>
      </w:pPr>
      <w:r>
        <w:t>Document ID J000000020150617eb6h00033</w:t>
      </w:r>
    </w:p>
    <w:p xmlns:wp14="http://schemas.microsoft.com/office/word/2010/wordml" w14:paraId="53F27118" wp14:textId="77777777">
      <w:r>
        <w:t>In Bundle Subscribers</w:t>
      </w:r>
      <w:r>
        <w:br/>
      </w:r>
      <w:r>
        <w:br/>
      </w:r>
      <w:r>
        <w:t>Cablevision Systems Corp. Chief Executive James Dolan said the number of customers paying for the traditional bundle of TV channels is going to shrink by about 20% to 25% over the next five years, as consumers opt instead for smaller packages of channels or online-video options.</w:t>
      </w:r>
      <w:r>
        <w:br/>
      </w:r>
      <w:r>
        <w:br/>
      </w:r>
      <w:r>
        <w:t>Mr. Dolan warned an investor conference Tuesday that the reduction in subscribers is "going to have an impact on the programmers" -- the big media companies that collect fees for each customer who receives their TV networks.</w:t>
      </w:r>
      <w:r>
        <w:br/>
      </w:r>
      <w:r>
        <w:br/>
      </w:r>
      <w:r>
        <w:t>For operators such as Cablevision, selling higher-margin broadband service could help make up for dwindling video customers.</w:t>
      </w:r>
      <w:r>
        <w:br/>
      </w:r>
      <w:r>
        <w:br/>
      </w:r>
      <w:r>
        <w:t>The shift is spurred, in part, by channel owners themselves going "over the top" and selling online-video services directly to consumers, such as Time Warner Inc.'s Web subscription to HBO Now and similar offerings from CBS Corp.'s CBS and Showtime.</w:t>
      </w:r>
      <w:r>
        <w:br/>
      </w:r>
      <w:r>
        <w:br/>
      </w:r>
      <w:r>
        <w:t>Those products are going to become "more and more attractive to customers," Mr. Dolan said.</w:t>
      </w:r>
      <w:r>
        <w:br/>
      </w:r>
      <w:r>
        <w:br/>
      </w:r>
      <w:r>
        <w:t>Mr. Dolan said popular channels will do "just fine," especially if they have lots of original and scripted content. But lesser-watched and niche channels -- which have benefited from being packaged together in a big bundle with more popular channels -- are going to have a harder time.</w:t>
      </w:r>
      <w:r>
        <w:br/>
      </w:r>
      <w:r>
        <w:br/>
      </w:r>
      <w:r>
        <w:t>"You're not essential anymore," he said.</w:t>
      </w:r>
      <w:r>
        <w:br/>
      </w:r>
      <w:r>
        <w:br/>
      </w:r>
      <w:r>
        <w:t>-- Shalini Ramachandran</w:t>
      </w:r>
      <w:r>
        <w:br/>
      </w:r>
      <w:r>
        <w:br/>
      </w:r>
      <w:r>
        <w:t>---</w:t>
      </w:r>
      <w:r>
        <w:br/>
      </w:r>
      <w:r>
        <w:br/>
      </w:r>
      <w:r>
        <w:t>ALIBABA</w:t>
      </w:r>
      <w:r>
        <w:br/>
      </w:r>
      <w:r>
        <w:br/>
      </w:r>
      <w:r>
        <w:t>E-Commerce Giant</w:t>
      </w:r>
      <w:r>
        <w:br/>
      </w:r>
      <w:r>
        <w:br/>
      </w:r>
      <w:r>
        <w:t>Tries Produce Delivery</w:t>
      </w:r>
      <w:r>
        <w:br/>
      </w:r>
      <w:r>
        <w:br/>
      </w:r>
      <w:r>
        <w:t>Alibaba Group Holding Ltd. is stepping up its ability to deliver perishable goods to Chinese consumers with three new fresh-food distribution centers in Beijing, Shanghai and Guangzhou, the company said late Tuesday.</w:t>
      </w:r>
      <w:r>
        <w:br/>
      </w:r>
      <w:r>
        <w:br/>
      </w:r>
      <w:r>
        <w:t>The so-called "cold chain" distribution centers will be owned by partners of Cainiao, a platform that Alibaba established to link regional shipping companies around China so that vendors on Alibaba's e-commerce websites can more easily coordinate national deliveries.</w:t>
      </w:r>
      <w:r>
        <w:br/>
      </w:r>
      <w:r>
        <w:br/>
      </w:r>
      <w:r>
        <w:t>Cainiao plans to expand its cold-chain delivery services to reach 50 major cities in China by the end of the year, a move that would increase the infrastructure available to vendors on Taobao Marketplace and Tmall.com.</w:t>
      </w:r>
      <w:r>
        <w:br/>
      </w:r>
      <w:r>
        <w:br/>
      </w:r>
      <w:r>
        <w:t>Online retailers in China are struggling to keep up with demand for fresh food. Cainiao estimates that 80% of all fruits and vegetables in China are transported at room temperature, leading to as much as 40% spoilage.</w:t>
      </w:r>
      <w:r>
        <w:br/>
      </w:r>
      <w:r>
        <w:br/>
      </w:r>
      <w:r>
        <w:t>-- Loretta Chao</w:t>
      </w:r>
      <w:r>
        <w:br/>
      </w:r>
      <w:r>
        <w:br/>
      </w:r>
      <w:r>
        <w:t>---</w:t>
      </w:r>
      <w:r>
        <w:br/>
      </w:r>
      <w:r>
        <w:br/>
      </w:r>
      <w:r>
        <w:t>MYLAN</w:t>
      </w:r>
      <w:r>
        <w:br/>
      </w:r>
      <w:r>
        <w:br/>
      </w:r>
      <w:r>
        <w:t>Abbott to Use Stake</w:t>
      </w:r>
      <w:r>
        <w:br/>
      </w:r>
      <w:r>
        <w:br/>
      </w:r>
      <w:r>
        <w:t>To Back Perrigo Bid</w:t>
      </w:r>
      <w:r>
        <w:br/>
      </w:r>
      <w:r>
        <w:br/>
      </w:r>
      <w:r>
        <w:t>Abbott Laboratories said Tuesday that it intends to vote its 14.5% stake in Mylan NV in favor of Mylan's proposed acquisition of rival Perrigo Co., a move for Mylan to help it fend off a potential takeover of its own.</w:t>
      </w:r>
      <w:r>
        <w:br/>
      </w:r>
      <w:r>
        <w:br/>
      </w:r>
      <w:r>
        <w:t>"As both Mylan's largest shareholder and its partner through our continued manufacturing relationships, we believe Mylan's stand-alone strategy and acquisition of Perrigo will further enhance its platform," said Abbott Chief Executive Miles White.</w:t>
      </w:r>
      <w:r>
        <w:br/>
      </w:r>
      <w:r>
        <w:br/>
      </w:r>
      <w:r>
        <w:t>In a statement, Mylan CEO Robert Coury said he is "grateful" for Abbott's support.</w:t>
      </w:r>
      <w:r>
        <w:br/>
      </w:r>
      <w:r>
        <w:br/>
      </w:r>
      <w:r>
        <w:t>In an attempt to stay ahead of the frantic deal-making that is reshaping the drug industry, U.K.-based Mylan in April made an unsolicited $28.9 billion bid to buy Dublin-based Perrigo.</w:t>
      </w:r>
      <w:r>
        <w:br/>
      </w:r>
      <w:r>
        <w:br/>
      </w:r>
      <w:r>
        <w:t>Mylan and Perrigo generally compete in different segments of the generic-drug business. Mylan is best known for selling generic prescription drugs, while Perrigo makes over-the-counter cough and cold remedies and infant formula for chains like Wal-Mart Stores Inc. and Walgreens, which sell the products under their own names.</w:t>
      </w:r>
      <w:r>
        <w:br/>
      </w:r>
      <w:r>
        <w:br/>
      </w:r>
      <w:r>
        <w:t>-- Lisa Beilfuss</w:t>
      </w:r>
      <w:r>
        <w:br/>
      </w:r>
      <w:r>
        <w:br/>
      </w:r>
      <w:r>
        <w:t>License this article from Dow Jones Reprint Service</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69B5474F" wp14:textId="77777777">
      <w:pPr>
        <w:pStyle w:val="Heading1"/>
      </w:pPr>
      <w:r>
        <w:t>Document ID CLADV00020150605eb6100003</w:t>
      </w:r>
    </w:p>
    <w:p xmlns:wp14="http://schemas.microsoft.com/office/word/2010/wordml" w14:paraId="72FB98E3" wp14:textId="77777777">
      <w:r>
        <w:t>Hypertension is a common condition that may begin at age 20 to 50 years with prevalence increasing with age. An estimated 41% of persons aged 35 to 70 years have hypertension, which is associated with an increased risk of several cardiovascular and cerebrovascular diseases including stroke.</w:t>
      </w:r>
      <w:r>
        <w:br/>
      </w:r>
      <w:r>
        <w:br/>
      </w:r>
      <w:r>
        <w:t>Antihypertensive medications are recommended for primary stroke prevention in patients with hypertension, and recent studies have suggested that B vitamin supplementation might also help reduce the risk of primary stroke in high risk patients (Stroke. 2010;41[6]:1205; Int J Clin Pract. 2012;66[6]:544).</w:t>
      </w:r>
      <w:r>
        <w:br/>
      </w:r>
      <w:r>
        <w:br/>
      </w:r>
      <w:r>
        <w:t>A recent randomized trial compared enalapril 10 mg plus folic acid 0.8 mg vs. enalapril 10 mg alone for five years in 20,702 Chinese adults aged 45 to 75 years (mean age, 60 years) with hypertension. At enrollment, all patients had resting systolic blood pressure ≥ 140 mm Hg, diastolic blood pressure ≥ 90 mm Hg, or were taking antihypertensive medication. Other antihypertensive medications were used concomitantly during the trial by 57.1% of patients. Patients with a history of stroke, myocardial infarction, heart failure, coronary revascularization, or congenital heart disease were excluded from the trial (CSPPT trial JAMA. 2015;313[13]:1325).</w:t>
      </w:r>
      <w:r>
        <w:br/>
      </w:r>
      <w:r>
        <w:br/>
      </w:r>
      <w:r>
        <w:t>The trial was terminated early after a significant difference between groups in first stroke occurrence exceeding the predefined stopping rule was reached on the fourth interim analysis. Overall treatment adherence was low, with 69.1% of patients taking 70% or greater of all study. Most patients discontinuing treatment were still followed for outcome events, and all randomized patients were included in the primary analysis.</w:t>
      </w:r>
      <w:r>
        <w:br/>
      </w:r>
      <w:r>
        <w:br/>
      </w:r>
      <w:r>
        <w:t>Median baseline folate level was 8.1 ng/mL, and at last follow-up the median increase in folate level was 11.2 ng/mL with enalapril plus folic acid vs. 4.4 ng/mL with enalapril alone (no P value reported). There were no significant differences in baseline or follow-up systolic or diastolic blood pressure measurements between groups.</w:t>
      </w:r>
      <w:r>
        <w:br/>
      </w:r>
      <w:r>
        <w:br/>
      </w:r>
      <w:r>
        <w:t>Comparing enalapril plus folic acid vs. enalapril alone, first stroke occurred in 2.7% vs. 3.4% (P = 0.003, NNT 141) and ischemic stroke was reported in 2.2% vs. 2.8% (P = 0.002, NNT 167). Enalapril plus folic acid was also associated with a reduction in the composite outcome of stoke, myocardial infarction, or cardiovascular death (3.1% vs. 3.9%, P = 0.002, NNT 125), but there was no significant difference between groups in rates of hemorrhagic stroke, myocardial infarction, cardiovascular death, all-cause death, or adverse events. A subgroup analysis by methylenetetrahydrofolate reductase (MTHFR) gene C677T polymorphisms found no significant differences in rate of first stroke by genotype.</w:t>
      </w:r>
      <w:r>
        <w:br/>
      </w:r>
      <w:r>
        <w:br/>
      </w:r>
      <w:r>
        <w:t>The results of this trial suggest that the addition of folic acid to enalapril may result in a small, but significant, decrease in primary stroke incidence among patients with hypertension. Although the magnitude of the reduction was small, adding folic acid to antihypertensive medication may be a cheap and easy way to further reduce the risk of stroke.</w:t>
      </w:r>
      <w:r>
        <w:br/>
      </w:r>
      <w:r>
        <w:br/>
      </w:r>
      <w:r>
        <w:t>It is worth considering, however, that baseline folate levels of patients in this study may be lower than in places with folate fortification, thereby limiting the generalizability of this study. Also, although the relative contribution of MTHFR was examined, it is not clear whether the frequency of MTHFR polymorphisms are similar in other populations or if differences in overall population genetics would contribute more substantially to stroke risk.</w:t>
      </w:r>
      <w:r>
        <w:br/>
      </w:r>
      <w:r>
        <w:br/>
      </w:r>
      <w:r>
        <w:t>Alan Ehrlich, MD, is a deputy editor for DynaMed, in Ipswich, Mass., and assistant clinical professor in Family Medicine, University of Massachusetts Medical School in Worcester.</w:t>
      </w:r>
      <w:r>
        <w:br/>
      </w:r>
      <w:r>
        <w:br/>
      </w:r>
      <w:r>
        <w:t>DynaMed is a database that provides evidence-based information on more than 3,000 clinical topics and is updated daily through systematic surveillance covering more than 500 journals.</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5EB05072" wp14:textId="77777777">
      <w:pPr>
        <w:pStyle w:val="Heading1"/>
      </w:pPr>
      <w:r>
        <w:t>Document ID LFSW000020151020ebak001dv</w:t>
      </w:r>
    </w:p>
    <w:p xmlns:wp14="http://schemas.microsoft.com/office/word/2010/wordml" w14:paraId="525D74DB" wp14:textId="77777777">
      <w:r>
        <w:t>The news reporters obtained a quote from the research from Genentech, Inc., "Previously, modification by oxidation and advanced glycation end products (AGEs) had been shown to give rise to colored and fluorescent species whose spectral properties are in agreement with the spectral properties of CHO-derived recombinant antibodies. To test whether these modifications give rise to the color exhibited in our CHO-derived antibodies, we searched for 8 different oxidation and 28 different glycation and AGE modifications by mass spectrometry in a variety of samples exhibiting varying color intensities. Oxidation and glycation modifications correlated weakly with color in a subset of samples, but several AGEs exhibited a strong correlation with product color in all samples tested. This strong correlation with sample color was verified for a specific AGE, carboxymethyllysine, by ELISA, thus validating the mass spectrometry data."</w:t>
      </w:r>
      <w:r>
        <w:br/>
      </w:r>
      <w:r>
        <w:br/>
      </w:r>
      <w:r>
        <w:t>According to the news reporters, the research concluded: "These data indicate that AGEs are at least partially responsible for the color seen in CHO-derived recombinant antibodies."</w:t>
      </w:r>
      <w:r>
        <w:br/>
      </w:r>
      <w:r>
        <w:br/>
      </w:r>
      <w:r>
        <w:t>For more information on this research see: Recombinant antibody color resulting from advanced glycation end product modifications. Analytical Chemistry, 2014;86(19):9816-23. (American Chemical Society - www.acs.org; Analytical Chemistry - www.pubs.acs.org/journal/ancham)</w:t>
      </w:r>
      <w:r>
        <w:br/>
      </w:r>
      <w:r>
        <w:br/>
      </w:r>
      <w:r>
        <w:t>Our news correspondents report that additional information may be obtained by contacting M. Butko, Protein Analytical Chemistry, Genentech , 1 DNA Way, South San Francisco, California 94080, United States. Additional authors for this research include H. Pallat, A. Cordoba and X.C Yu.</w:t>
      </w:r>
      <w:r>
        <w:br/>
      </w:r>
      <w:r>
        <w:br/>
      </w:r>
      <w:r>
        <w:t>Keywords for this news article include: Antibodies, California, Immunology, United States, Blood Proteins, Immunoglobulins, South San Francisco, North and Central America.</w:t>
      </w:r>
      <w:r>
        <w:br/>
      </w:r>
      <w:r>
        <w:br/>
      </w:r>
      <w:r>
        <w:t>Our reports deliver fact-based news of research and discoveries from around the world. Copyright 2015, NewsRx LLC</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f00a196-d4fd-4e1c-8fe1-9fd9ede827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7E51D3-2ABF-4ADB-90B7-283D344A8562}"/>
</file>

<file path=customXml/itemProps3.xml><?xml version="1.0" encoding="utf-8"?>
<ds:datastoreItem xmlns:ds="http://schemas.openxmlformats.org/officeDocument/2006/customXml" ds:itemID="{2C545E60-6399-49FC-A67C-01B0B35D36CC}"/>
</file>

<file path=customXml/itemProps4.xml><?xml version="1.0" encoding="utf-8"?>
<ds:datastoreItem xmlns:ds="http://schemas.openxmlformats.org/officeDocument/2006/customXml" ds:itemID="{7E6ADF8E-450C-405F-B65A-84C3070A70D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