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Start of Article 1</w:t>
      </w:r>
    </w:p>
    <w:p>
      <w:pPr>
        <w:pStyle w:val="Heading1"/>
      </w:pPr>
      <w:r>
        <w:t>Document ID PHBW000020150612eb6f00037</w:t>
      </w:r>
    </w:p>
    <w:p>
      <w:r>
        <w:t>"Guanfacine extended-release tablets join Teva's current generic line of seven ADHD products," commented Brendan O'Grady, President and CEO, North America Generic Medicines. "We recognize the need to make affordable generic treatment options available to patients with ADHD."</w:t>
        <w:br/>
        <w:br/>
        <w:t>INTUNIV(R) (guanfacine) 1 mg, 2 mg, 3 mg, and 4 mg, had total market sales of approximately $804 million in the United States, according to IMS data as of March 2015. About Guanfacine Extended-Release Tablets Guanfacine extended-release tablets are indicated for the treatment of attention deficit hyperactivity disorder (ADHD) as monotherapy and as adjunctive therapy to stimulant medications. Safety and efficacy of guanfacine extended-release tablets in pediatric patients less than 6 years of age have not been established. Important Safety Information Guanfacine extended-release tablets are contraindicated in patients with a history of a hypersensitivity reaction to guanfacine extended-release tablets or its inactive ingredients, or other products containing guanfacine. Rash and pruritus have been reported.</w:t>
        <w:br/>
        <w:br/>
        <w:t>Treatment with guanfacine extended-release tablets can cause dose-dependent decreases in blood pressure and heart rate. Orthostatic hypotension and syncope have been reported. Somnolence and sedation were commonly reported adverse reactions in clinical studies. The sympatholytic action of guanfacine extended-release tablets may worsen sinus node dysfunction and atrioventricular (AV) block, especially in patients taking other sympatholytic drugs.</w:t>
        <w:br/>
        <w:br/>
        <w:t>Most common adverse reactions (= 5% and at least twice placebo rate) in clinical trials: somnolence, fatigue, hypotension, nausea, lethargy, abdominal pain, insomnia, dizziness, dry mouth, irritability, vomiting, and bradycardia.</w:t>
        <w:br/>
        <w:br/>
        <w:t>Keywords for this news article include: Teva Pharmaceutical Industries Ltd, Guanfacine, Guanidines, Pediatrics, Phenylacetates.</w:t>
        <w:br/>
        <w:br/>
        <w:t>Our reports deliver fact-based news of research and discoveries from around the world. Copyright 2015, NewsRx LLC</w:t>
      </w:r>
    </w:p>
    <w:p>
      <w:pPr>
        <w:pStyle w:val="Heading1"/>
      </w:pPr>
      <w:r>
        <w:t>End of Article 1</w:t>
      </w:r>
    </w:p>
    <w:p>
      <w:r>
        <w:br w:type="page"/>
      </w:r>
    </w:p>
    <w:p>
      <w:pPr>
        <w:pStyle w:val="Heading1"/>
      </w:pPr>
      <w:r>
        <w:t>Start of Article 2</w:t>
      </w:r>
    </w:p>
    <w:p>
      <w:pPr>
        <w:pStyle w:val="Heading1"/>
      </w:pPr>
      <w:r>
        <w:t>Document ID ENPNEW0020150914eb9e00078</w:t>
      </w:r>
    </w:p>
    <w:p>
      <w:r>
        <w:t>DaTscan is the FDA-approved imaging agent which provides an assessment of the integrity of the striatal dopaminergic system via the dopamine transporter to help physicians determine whether patients have essential tremor (ET) or a parkinsonian syndrome (PS) movement disorder such as Parkinson’s disease (PD). The action may help ensure that more healthcare providers and patients with a suspected PS or ET across the United States will have access to imaging with this agent.</w:t>
        <w:br/>
        <w:br/>
        <w:t>DaTscan is a radioactive drug that is injected into the bloodstream to help image areas of the brain using an imaging technique called ‘SPECT’ (single-photon emission computed tomography). For an adult with a suspected PS, a doctor may decide to conduct SPECT imaging with DaTscan, along with other medical tests, to help decide if movement difficulties are due to a PS or a similar condition known as ET. Types of PS include PD, multiple system atrophy, and progressive supranuclear palsy. DaTscan was not designed to differentiate among different forms of PS. The effectiveness of DaTscan as a screening or confirmatory test and for monitoring disease progression or response to therapy has not been established. Movement disorders are primarily diagnosed through clinical examinations. However, clinical exams alone, particularly early in the disease, may be inconclusive and can result in misdiagnosis. The most common side effects of DaTscan are headache, upset stomach, a sensation of motion, dry mouth, and dizziness.</w:t>
        <w:br/>
        <w:br/>
        <w:t>‘We fully support the DEA’s decision to remove ioflupane I 123, the active ingredient in DaTscan, from the Schedules of the Controlled Substances Act,’ said Etienne Montagut, global product leader of neurology and cardiology for GE Healthcare. ‘Because of the DEA’s decision, this important imaging tool will be more widely available to the medical community. Increasing the availability of DaTscan helps us fulfill our commitment to provide innovative, high-quality, and affordable healthcare solutions to patients who need them most.’</w:t>
        <w:br/>
        <w:br/>
        <w:t>‘The Parkinson’s Action Network (PAN) applauds the DEA for descheduling the active ingredient in DaTscan and allowing many more people to have access to this important diagnostic tool,’ said Ted Thompson, JD, chief executive officer of PAN. ‘Having this tool available for people with suspected parkinsonian syndromes and essential tremor may help them to receive appropriate diagnosis and treatment sooner.’</w:t>
        <w:br/>
        <w:br/>
        <w:t>Since the approval of DaTscan in 2011, it has been listed by the DEA as a Schedule II controlled substance. This has restricted its use to only those healthcare professionals and imaging facilities registered with the DEA and able to comply with all of the requirements for the appropriate prescribing, storage, use, and disposal of Schedule II controlled substances. Descheduling has removed these roadblocks, making it easier for imaging specialists to initiate and order DaTscan, as well as to compliantly administer it in their facilities.</w:t>
        <w:br/>
        <w:br/>
        <w:t>GE Healthcare would like to thank the DEA, the US Food and Drug Administration, and the movement disorder community for their collaborative efforts to achieve this important milestone for Parkinson’s patients.</w:t>
        <w:br/>
        <w:br/>
        <w:t>[Editorial queries for this story should be sent to newswire@enpublishing.co.uk]</w:t>
      </w:r>
    </w:p>
    <w:p>
      <w:pPr>
        <w:pStyle w:val="Heading1"/>
      </w:pPr>
      <w:r>
        <w:t>End of Article 2</w:t>
      </w:r>
    </w:p>
    <w:p>
      <w:r>
        <w:br w:type="page"/>
      </w:r>
    </w:p>
    <w:p>
      <w:pPr>
        <w:pStyle w:val="Heading1"/>
      </w:pPr>
      <w:r>
        <w:t>Start of Article 3</w:t>
      </w:r>
    </w:p>
    <w:p>
      <w:pPr>
        <w:pStyle w:val="Heading1"/>
      </w:pPr>
      <w:r>
        <w:t>Document ID DJDN000020151012ebac0001t</w:t>
      </w:r>
    </w:p>
    <w:p>
      <w:r>
        <w:t>PR Newswire</w:t>
        <w:br/>
        <w:br/>
        <w:t>INDIANAPOLIS and SHANGHAI, Oct. 11, 2015</w:t>
        <w:br/>
        <w:br/>
        <w:t>INDIANAPOLIS and SHANGHAI, Oct. 11, 2015 /PRNewswire/ -- Eli Lilly and Company (NYSE:LLY) and Innovent Biologics, Inc. (Innovent) today announced an expansion of their drug development collaboration, already one of the largest in China between a multi-national and domestic biopharmaceutical company.</w:t>
        <w:br/>
        <w:br/>
        <w:t xml:space="preserve">Below are details of the expanded agreement: </w:t>
        <w:br/>
        <w:br/>
        <w:br/>
        <w:t xml:space="preserve">   -- The companies will collaborate to support the development and potential </w:t>
        <w:br/>
        <w:t xml:space="preserve">      commercialization of up to three anti-PD-1 based bispecific antibodies </w:t>
        <w:br/>
        <w:t xml:space="preserve">      for cancer treatments over the next decade, both inside and outside of </w:t>
        <w:br/>
        <w:t xml:space="preserve">      China. </w:t>
        <w:br/>
        <w:t xml:space="preserve"> </w:t>
        <w:br/>
        <w:t xml:space="preserve">   -- Under the previous agreement, Lilly will exercise its rights to develop, </w:t>
        <w:br/>
        <w:t xml:space="preserve">      manufacture and commercialize these potential cancer treatments outside </w:t>
        <w:br/>
        <w:t xml:space="preserve">      of China. </w:t>
        <w:br/>
        <w:t xml:space="preserve"> </w:t>
        <w:br/>
        <w:t xml:space="preserve">   -- Innovent will now have the rights to develop, manufacture and </w:t>
        <w:br/>
        <w:t xml:space="preserve">      commercialize these potential cancer treatments for China, subject to a </w:t>
        <w:br/>
        <w:t xml:space="preserve">      Lilly opt-in right for co-development and commercialization. </w:t>
        <w:br/>
        <w:br/>
        <w:t>Under the terms of the expanded agreement, Innovent could receive additional milestones totaling more than $1 billion if the products reach certain development, regulatory and sales milestones, both inside and outside of China. Sales royalties and other payments would occur on certain products if commercialized outside China. Further financial terms were not disclosed.</w:t>
        <w:br/>
        <w:br/>
        <w:t>Lilly will create the three preclinical anti-PD-1 based bispecific antibodies using an antibody sequence contributed by Innovent.</w:t>
        <w:br/>
        <w:br/>
        <w:t>"We believe that combination therapy in immuno-oncology has the potential to transform the way cancer is treated," said Greg Plowman, M.D., Ph.D., vice president of oncology research at Lilly. "We are pleased to be expanding our collaboration with Innovent to further the development of potential therapies for those fighting cancer in China and around the world."</w:t>
        <w:br/>
        <w:br/>
        <w:t>Michael Yu, Ph.D., co-founder, president and CEO of Innovent, stated, "We are honored that Lilly is so quickly expanding our relationship and that Lilly is trusting Innovent to develop and manufacture their newly created bispecific antibodies for China. We are excited to be at the forefront of immuno-oncology drug development and to benefit from Lilly's deep experience in bispecific antibodies."</w:t>
        <w:br/>
        <w:br/>
        <w:t>About Eli Lilly and Company</w:t>
        <w:br/>
        <w:br/>
        <w:t>Lilly is a global healthcare leader that unites caring with discovery to make life better for people around the world. We were founded more than a century ago by a man committed to creating high-quality medicines that meet real needs, and today we remain true to that mission in all our work. Across the globe, Lilly employees work to discover and bring life-changing medicines to those who need them, improve the understanding and management of disease, and give back to communities through philanthropy and volunteerism. To learn more about Lilly, please visit us at www.lilly.com and http://newsroom.lilly.com/social-channels.</w:t>
        <w:br/>
        <w:br/>
        <w:t>About Innovent Biologics, Inc.</w:t>
        <w:br/>
        <w:br/>
        <w:t>Innovent Biologics, Inc. is a leading biopharmaceutical company in China focused on the discovery, development and manufacturing of complex, high-end biologics for both the Asian and global markets that meet EMA and FDA/cGMP standards. Innovent has an expanding biologics pipeline focused on oncology, inflammatory diseases and ophthalmology. Innovent's strategy is to advance its internal pipeline of proprietary biologic drugs and establish in/out-licensing agreements with global pharmaceutical/biotech companies. Because of its location and emphasis on quality, Innovent is able to leverage China's cost-efficient environment without compromising its world-class quality standards. To learn more about Innovent, please visit www.innoventbio.com.</w:t>
        <w:br/>
        <w:br/>
        <w:t>This press release contains forward-looking statements about the development and commercialization collaboration between Innovent Biologics and Lilly and reflects Lilly's current beliefs. However, there are substantial risks and uncertainties in the process of drug research, development and commercialization. There is no guarantee that the collaboration will yield successful results or that either company will achieve the anticipated benefits. For further discussion of these and other risks and uncertainties, see Lilly's most recent 10-K and 10-Q filings with the United States Securities and Exchange Commission. Lilly undertakes no duty to update forward-looking statements.</w:t>
        <w:br/>
        <w:br/>
        <w:t>C-LLY</w:t>
        <w:br/>
        <w:br/>
        <w:t>Refer to:</w:t>
        <w:br/>
        <w:br/>
        <w:t>+1-317-277-6524; lauren_zierke@lilly.com; Lauren Zierke (Lilly U.S.)</w:t>
        <w:br/>
        <w:br/>
        <w:t>+1-212-375-2694; amielach@tiberend.com; Andrew Mielach (Tiberend Strategic Advisors, Inc./Innovent U.S)</w:t>
        <w:br/>
        <w:br/>
        <w:t>Logo- http://photos.prnewswire.com/prnh/20031219/LLYLOGO</w:t>
        <w:br/>
        <w:br/>
        <w:t>Logo- http://photos.prnewswire.com/prnh/20150319/183207LOGO</w:t>
        <w:br/>
        <w:br/>
        <w:t>To view the original version on PR Newswire, visit:http://www.prnewswire.com/news-releases/lilly-and-innovent-biologics-expand-their-strategic-alliance-to-include-immuno-oncology-bispecific-antibodies-in-china-and-globally-300157687.html</w:t>
        <w:br/>
        <w:br/>
        <w:t>SOURCE Eli Lilly and Company</w:t>
        <w:br/>
        <w:br/>
        <w:t>/Web site: http://www.lilly.com</w:t>
        <w:br/>
        <w:br/>
        <w:t>(END) Dow Jones Newswires</w:t>
        <w:br/>
        <w:br/>
        <w:t>October 11, 2015 22:00 ET (02:00 GMT)</w:t>
      </w:r>
    </w:p>
    <w:p>
      <w:pPr>
        <w:pStyle w:val="Heading1"/>
      </w:pPr>
      <w:r>
        <w:t>End of Article 3</w:t>
      </w:r>
    </w:p>
    <w:p>
      <w:r>
        <w:br w:type="page"/>
      </w:r>
    </w:p>
    <w:p>
      <w:pPr>
        <w:pStyle w:val="Heading1"/>
      </w:pPr>
      <w:r>
        <w:t>Start of Article 4</w:t>
      </w:r>
    </w:p>
    <w:p>
      <w:pPr>
        <w:pStyle w:val="Heading1"/>
      </w:pPr>
      <w:r>
        <w:t>Document ID DJDN000020150430eb4u0027o</w:t>
      </w:r>
    </w:p>
    <w:p>
      <w:r>
        <w:br/>
        <w:t xml:space="preserve">LEXINGTON, Massachusetts, United States and SYDNEY, Australia--(BUSINESS WIRE)--April 30, 2015-- </w:t>
        <w:br/>
        <w:br/>
        <w:t>GI Dynamics, Inc. (ASX: GID) (GI Dynamics or the Company), a medical device company developing innovative treatments for type 2 diabetes and obesity, is pleased to provide its financial results for the quarter ended 31 March 2015 (Quarter). The Appendix 4C, which has been prepared in U.S. dollars under U.S. GAAP, is attached and the results disclosed in the Appendix 4C are unaudited.</w:t>
        <w:br/>
        <w:br/>
        <w:t>The Company plans to file its Quarterly Report on Form 10-Q (Form 10-Q) with the U.S. Securities and Exchange Commission and with the Australian Securities Exchange on or before 15 May 2015. The Form 10-Q will provide financial statements for the Quarter, along with Management's Discussion and Analysis of Financial Condition and Results of Operations for the Quarter.</w:t>
        <w:br/>
        <w:br/>
        <w:t>ENDO Trial</w:t>
        <w:br/>
        <w:br/>
        <w:t>At the recommendation of the FDA, the Company has discontinued placing any additional devices in its U.S. pivotal clinical trial of EndoBarrier Therapy (the ENDO Trial); although monitoring and data collection of the 325 currently enrolled subjects continues. The Company has already implemented several risk mitigation strategies in the ENDO Trial and is preparing to submit the information requested by the FDA for their review.</w:t>
        <w:br/>
        <w:br/>
        <w:t>Financial Review</w:t>
        <w:br/>
        <w:br/>
        <w:t xml:space="preserve">The Company's key financial results for the Quarter include the following: </w:t>
        <w:br/>
        <w:br/>
        <w:br/>
        <w:t xml:space="preserve">   -- Revenue decreased to US$0.6 million for the Quarter compared to US$0.9 </w:t>
        <w:br/>
        <w:t xml:space="preserve">      million for the same period last year, a decrease of US$0.3 million. The </w:t>
        <w:br/>
        <w:t xml:space="preserve">      decrease in the Company's revenue in the Quarter compared to the same </w:t>
        <w:br/>
        <w:t xml:space="preserve">      period last year was a result of a decrease in sales across all markets. </w:t>
        <w:br/>
        <w:t xml:space="preserve">      Compared to the fourth quarter of 2014, revenue increased US$0.1 million </w:t>
        <w:br/>
        <w:t xml:space="preserve">      due to increased sales in Europe and the Middle East. </w:t>
        <w:br/>
        <w:t xml:space="preserve">   -- Cost of revenue for the Quarter and same period last year was US$0.9 </w:t>
        <w:br/>
        <w:t xml:space="preserve">      million. The Quarter experienced decreased manufacturing efficiency due </w:t>
        <w:br/>
        <w:t xml:space="preserve">      to lower production volume compared to the same period last year. As a </w:t>
        <w:br/>
        <w:t xml:space="preserve">      result, gross loss increased by US$0.3 million for the Quarter. </w:t>
        <w:br/>
        <w:t xml:space="preserve"> </w:t>
        <w:br/>
        <w:t xml:space="preserve">   -- Operating expenses decreased to US$9.6 million for the Quarter compared </w:t>
        <w:br/>
        <w:t xml:space="preserve">      to US$10.1 million for the same period last year, a decrease of US$0.5 </w:t>
        <w:br/>
        <w:t xml:space="preserve">      million. </w:t>
        <w:br/>
        <w:t xml:space="preserve"> </w:t>
        <w:br/>
        <w:t xml:space="preserve">          -- Research and development expenses were US$5.6 million for the </w:t>
        <w:br/>
        <w:t xml:space="preserve">             Quarter compared to US$5.3 million for the same period last year, </w:t>
        <w:br/>
        <w:t xml:space="preserve">             an increase of US$0.3 million. The increase in research and </w:t>
        <w:br/>
        <w:t xml:space="preserve">             development expenses for the Quarter was primarily a result of </w:t>
        <w:br/>
        <w:t xml:space="preserve">             increased expenses to support the ENDO Trial and increased </w:t>
        <w:br/>
        <w:t xml:space="preserve">             consulting expenses. These were partially offset by a decrease in </w:t>
        <w:br/>
        <w:t xml:space="preserve">             personnel related costs. </w:t>
        <w:br/>
        <w:t xml:space="preserve"> </w:t>
        <w:br/>
        <w:t xml:space="preserve">          -- Sales and marketing expenses were US$1.7 million for the Quarter </w:t>
        <w:br/>
        <w:t xml:space="preserve">             compared to US$2.5 million for the same period last year, a </w:t>
        <w:br/>
        <w:t xml:space="preserve">             decrease of US$0.8 million. The decrease in sales and marketing </w:t>
        <w:br/>
        <w:t xml:space="preserve">             expenses for the Quarter compared to the same period last year was </w:t>
        <w:br/>
        <w:t xml:space="preserve">             the result of lower spending on marketing related activities to </w:t>
        <w:br/>
        <w:t xml:space="preserve">             support the Company's commercialization effort as well as lower </w:t>
        <w:br/>
        <w:t xml:space="preserve">             personnel related costs, particularly share-based compensation. </w:t>
        <w:br/>
        <w:t xml:space="preserve"> </w:t>
        <w:br/>
        <w:t xml:space="preserve">          -- General and administrative expenses were US$2.3 million for the </w:t>
        <w:br/>
        <w:t xml:space="preserve">             Quarter and the same period last year. </w:t>
        <w:br/>
        <w:t xml:space="preserve"> </w:t>
        <w:br/>
        <w:t xml:space="preserve">   -- Other income (expense) for the Quarter was a US$0.5 million loss compared </w:t>
        <w:br/>
        <w:t xml:space="preserve">      to a gain of US$0.4 million for the same period last year, a decrease of </w:t>
        <w:br/>
        <w:t xml:space="preserve">      US$0.9 million. The decrease in the Quarter compared to the same period </w:t>
        <w:br/>
        <w:t xml:space="preserve">      last year was primarily associated with a US$0.5 million foreign exchange </w:t>
        <w:br/>
        <w:t xml:space="preserve">      loss due to the depreciation of the Australian dollar versus the U.S. </w:t>
        <w:br/>
        <w:t xml:space="preserve">      dollar during the Quarter as compared to a US$0.2 million foreign </w:t>
        <w:br/>
        <w:t xml:space="preserve">      exchange gain in the same period last year as a result of a stronger </w:t>
        <w:br/>
        <w:t xml:space="preserve">      Australian dollar. Additionally, in the first quarter of 2014 the Company </w:t>
        <w:br/>
        <w:t xml:space="preserve">      had a US$0.2 million gain on the remeasurement of the warrant liability </w:t>
        <w:br/>
        <w:t xml:space="preserve">      while in the Quarter it had a minimal loss on remeasurement. </w:t>
        <w:br/>
        <w:t xml:space="preserve"> </w:t>
        <w:br/>
        <w:t xml:space="preserve">   -- As a result, the Company recorded a net loss of US$10.3 million for the </w:t>
        <w:br/>
        <w:t xml:space="preserve">      Quarter compared to US$9.7 million for the same period last year, an </w:t>
        <w:br/>
        <w:t xml:space="preserve">      increase of US$0.6 million. </w:t>
        <w:br/>
        <w:t xml:space="preserve"> </w:t>
        <w:br/>
        <w:t xml:space="preserve">   -- The Company had cash and cash equivalents of US$40.0 million at 31 March </w:t>
        <w:br/>
        <w:t xml:space="preserve">      2015 compared to US$51.2 million at 31 December 2014, a decrease of </w:t>
        <w:br/>
        <w:t xml:space="preserve">      US$11.2 million. </w:t>
        <w:br/>
        <w:br/>
        <w:t>****************CONFERENCE CALL &amp; WEBCAST INFORMATION****************</w:t>
        <w:br/>
        <w:br/>
        <w:t>GI Dynamics, Inc. (ASX: GID) will hold a conference call to discuss the Company's financial results for the quarter ended 31 March 2015, and its business outlook. Michael Dale, president and chief executive officer, will host the call.</w:t>
        <w:br/>
        <w:br/>
        <w:t>The briefing call to discuss financial results and business outlook will be held at 6 p.m. U.S. EDT on Tuesday, 5 May 2015 (8 a.m. AEST on Wednesday, 6 May 2015).</w:t>
        <w:br/>
        <w:br/>
        <w:t>Accessing the Briefing Call via Webcast:</w:t>
        <w:br/>
        <w:br/>
        <w:t>A live webcast of the call will be available on the GI Dynamics website at investor.gidynamics.com. The webcast can be directly accessed at: http://edge.media-server.com/m/p/hccn2odi/lan/en.</w:t>
        <w:br/>
        <w:br/>
        <w:t>Accessing the Briefing Call via Telephone:</w:t>
        <w:br/>
        <w:br/>
        <w:t xml:space="preserve">For those preferring to listen by telephone, please dial in five minutes prior to the start of the call and provide the passcode 39430802. Regional dial-in numbers are as follows: </w:t>
        <w:br/>
        <w:br/>
        <w:br/>
        <w:t xml:space="preserve">   -- United States callers please dial toll-free 1 (888) 771-4371 </w:t>
        <w:br/>
        <w:t xml:space="preserve"> </w:t>
        <w:br/>
        <w:t xml:space="preserve">   -- Australia callers please dial toll-free 1 (800) 507-265 </w:t>
        <w:br/>
        <w:t xml:space="preserve"> </w:t>
        <w:br/>
        <w:t xml:space="preserve">   -- International callers please dial 1 (847) 585-4405 </w:t>
        <w:br/>
        <w:br/>
        <w:t>Replay archive:</w:t>
        <w:br/>
        <w:br/>
        <w:t>The webcast will be archived for 30 days following the call on the GI Dynamics website at investor.gidynamics.com.</w:t>
        <w:br/>
        <w:br/>
        <w:t>Robert Solomon</w:t>
        <w:br/>
        <w:br/>
        <w:t>Vice President of Finance &amp; Company Secretary</w:t>
        <w:br/>
        <w:br/>
        <w:t>About GI Dynamics</w:t>
        <w:br/>
        <w:br/>
        <w:t>GI Dynamics, Inc. (ASX: GID) is the developer of EndoBarrier(R) , the first endoscopically-delivered device therapy approved for the treatment of obese type 2 diabetes with BMI &gt;= 30 kg/m(2) , or obese patients with BMI &gt;= 30 kg/m(2) with &gt;= 1 comorbidities, or obese patients with BMI &gt;35 kg/m(2) . The liner is indicated for a maximum implant duration of 12 months. EndoBarrier is approved and commercially available in multiple countries outside the U.S. EndoBarrier is not approved for sale in the U.S. and is limited by federal law to investigational use only in the United States. GI Dynamics is conducting a pivotal clinical trial of EndoBarrier in the U.S. for the treatment of patients who have uncontrolled type 2 diabetes and are obese. Founded in 2003, GI Dynamics is headquartered in Lexington, Massachusetts. For more information, please visit www.gidynamics.com.</w:t>
        <w:br/>
        <w:br/>
        <w:t>Forward-Looking Statements</w:t>
        <w:br/>
        <w:br/>
        <w:t xml:space="preserve">This announcement contains forward-looking statements concerning: our development and commercialization plans; our potential revenues and revenue growth, costs, excess inventory, profitability and financial performance; our ability to obtain reimbursement for our products; our clinical trials, and associated regulatory submissions and approvals; the number and location of commercial centres offering the EndoBarrier(R) ; and our intellectual property position. These forward-looking statements are based on the current estimates and expectations of future events by the management of GI Dynamics, Inc. as of the date of this announcement and are subject to a number of risks and uncertainties that could cause actual results to differ materially and adversely from those indicated in or implied by such forward-looking statements. These risks and uncertainties include, but are not limited to: risks associated with the possibility that clinical trials will not be successful or confirm earlier results; risks associated with obtaining funding from third parties; risks relating to the timing and costs of clinical trials, the timing of regulatory submissions, the timing, receipt and maintenance of regulatory approvals, the timing and amount of other expenses, and the timing and extent of third-party reimbursement; risks associated with commercial product sales, including product performance; competition; risks related to market acceptance of products; intellectual property risks; risks related to excess inventory; risks related to assumptions regarding the size of the available market, benefits of our products, product pricing, timing of product launches, future financial results and other factors including those described in our filings with the U.S. Securities and Exchange Commission. Given these uncertainties, you should not place undue reliance on these forward-looking statements. We do not assume any obligation to publicly update or revise any forward-looking statements, whether as a result of new information, future events or otherwise, unless required by law. </w:t>
        <w:br/>
        <w:br/>
        <w:br/>
        <w:t xml:space="preserve"> </w:t>
        <w:br/>
        <w:t xml:space="preserve">    CONTACT:    Investor Enquiries: </w:t>
        <w:br/>
        <w:br/>
        <w:t>United States</w:t>
        <w:br/>
        <w:br/>
        <w:t>GI Dynamics, Inc.</w:t>
        <w:br/>
        <w:br/>
        <w:t>Michael Dale, President &amp; CEO</w:t>
        <w:br/>
        <w:br/>
        <w:t>+1-781-357-3310</w:t>
        <w:br/>
        <w:br/>
        <w:t>or</w:t>
        <w:br/>
        <w:br/>
        <w:t>Australia</w:t>
        <w:br/>
        <w:br/>
        <w:t>Hawkesbury Partners Pty Limited</w:t>
        <w:br/>
        <w:br/>
        <w:t>David Allen or John Granger</w:t>
        <w:br/>
        <w:br/>
        <w:t>+61 2 9325 9046</w:t>
        <w:br/>
        <w:br/>
        <w:t>or</w:t>
        <w:br/>
        <w:br/>
        <w:t>Media Enquiries:</w:t>
        <w:br/>
        <w:br/>
        <w:t>United States/Europe/Australia:</w:t>
        <w:br/>
        <w:br/>
        <w:t>Berry &amp; Company Public Relations LLC</w:t>
        <w:br/>
        <w:br/>
        <w:t>Bill Berry</w:t>
        <w:br/>
        <w:br/>
        <w:t>+1 212-253-8881</w:t>
        <w:br/>
        <w:br/>
        <w:t>(END) Dow Jones Newswires</w:t>
        <w:br/>
        <w:br/>
        <w:t>April 30, 2015 08:00 ET (12:00 GMT)</w:t>
      </w:r>
    </w:p>
    <w:p>
      <w:pPr>
        <w:pStyle w:val="Heading1"/>
      </w:pPr>
      <w:r>
        <w:t>End of Article 4</w:t>
      </w:r>
    </w:p>
    <w:p>
      <w:r>
        <w:br w:type="page"/>
      </w:r>
    </w:p>
    <w:p>
      <w:pPr>
        <w:pStyle w:val="Heading1"/>
      </w:pPr>
      <w:r>
        <w:t>Start of Article 5</w:t>
      </w:r>
    </w:p>
    <w:p>
      <w:pPr>
        <w:pStyle w:val="Heading1"/>
      </w:pPr>
      <w:r>
        <w:t>Document ID DJDN000020150806eb86003ei</w:t>
      </w:r>
    </w:p>
    <w:p>
      <w:r>
        <w:t>14:00 EDT - The lull in leveraged buyouts has private-equity firms contributing their lowest share of revenue to investment banks in 5 years. Investment-banking revenue from so-called financial sponsors is $8.1B, or 18% of the total, notes Dealogic. That's only 2/3 of last year's level. The prior year-to-date low was in 2010, when private-equity firms spent $5.6B on investment banking, good for 15% of the total. This year's decline, Dealogic says, is a 43% drop in syndicated lending. Revenues from selling stock and other debt are off by about 1/3 while income from M&amp;A is off 17%. (ryan.dezember@wsj.com; @RyanDezember)</w:t>
        <w:br/>
        <w:br/>
        <w:t>13:44 EDT - Asked about the prospect of top US carriers sitting out next year's wireless spectrum auction, FCC Chairman Tom Wheeler implies it would be the fence sitters' loss. "This is their call," he says in a press conference. "This is a once-in-a-lifetime opportunity. They don't make spectrum like this anymore." FCC officials plan to launch the so-called incentive auction in 2016 under a complex process that would resell TV broadcasters' airwaves to wireless companies. Verizon (VZ) and Sprint (S) might sit out the process. (andrew.fitzgerald@wsj.com; @drewfitzgerald)</w:t>
        <w:br/>
        <w:br/>
        <w:t>13:37 EDT - Wunderlich has seen enough to give up the bull case on Plains (PAA), downgrading the big pipeline operator to hold following its 2Q miss and slashing its price target to $37 from $56. "With Plains' outlook for 2H and 2016 more cautious and market conditions remaining very difficult as storage levels remain far above average, production growth remains resilient and new competitor infrastructure comes online," the investment bank notes PAA "opened the door" to a lack of equityholder-distribution growth until 2017. Many in the oil patch of late have actually cut payouts and dividends to conserve cash amid oil's price slump. PAA falls 3.4% to $34.74, hitting a fresh 3 1/2-year low. (kevin.kingsbury@wsj.com; @kevinkingsbury)</w:t>
        <w:br/>
        <w:br/>
        <w:t>13:32 EDT - This week has seen its share of disappointing IPOs--from renewable-energy company Sunrun (RUN) to buzz-y consumer brands Amplify Snack (BETR) and Planet Fitness (PLNT). But there's an upside in biotech. Yesterday, preclinical-stage specialty pharma Zynerba (ZYNE) jumped 16% in its stock-market debut after raising $42M. It's up 18% today while Aimmune (AIMT)--which is developing treatments for peanut and other food allergies--pops 44% on its first day. Biotech has been a hot sector of the stock market this year, attracting lots of dollars from investors excited by the big success of certain drugs and a merger boom in the health-care industry. (corrie.driebusch@wsj.com)</w:t>
        <w:br/>
        <w:br/>
        <w:t>13:13 EDT - The expected 215K gain in payrolls last month will have to come with signs of rising wages for investors to be satisfied with tomorrow's report. Average hourly earnings disappointed last month by coming in flat. One force keeping wage gains in check is the mining and logging sector, where jobs have declined each month of 2015. The sector pays an above-average wage, so losses there works against the hoped-for pickup in wage growth. By contrast, the lower-paying leisure and hospitality sector has been a key contributor to job creation. (cynthia.lin@wsj.com; @cynthialin_dj)</w:t>
        <w:br/>
        <w:br/>
        <w:t>13:06 EDT - Salesforce.com (CRM) investors aren't giving enough credit to the company's recent push into corporate-data analysis, says Morgan Stanley. CRM's purchase last year of startup RelateIQ for about $340M gave the business-software company an asset which siphons information from email, calendars and phone calls to give workers suggestions on how to better manage and mine their contacts. The deal "may prove a bigger boost to growth than many investors believe," the investment bank contends. It adds RelateIQ's underlying data-prediction tech could help CRM's marketing and customer-service software businesses. It expects CRM to discuss that potential at the company's Dreamforce user conference next month. (shira.ovide@wsj.com; @ShiraOvide)</w:t>
        <w:br/>
        <w:br/>
        <w:t>13:03 EDT - Already bullish on smaller players Crown Castle (CCI) and SBA Communications (SBAC), Morgan Stanley moves cellphone-tower heavyweight American Tower (AMT) to outperform as the investment bank doesn't see any losers for 2016. It notes Verizon (VZ) and T-Mobile (TMUS) "are active" while AT&amp;T (T) is expected "to reaccelerate spending" with its DirecTV purchase closed and Sprint (S) "is committed to network densification." Morgan Stanley adds "while investors are cautious on the tower stocks ahead of a potential [Fed] rate hike in September or December" with both AMT and CCI being REITs, "we believe the operational impact is limited." Meanwhile, REITs have outperformed in 3 of the past 6 periods "of materially rising rates." AMT rises 1% to $97.60; Morgan Stanley's target climbs $15 to $116. (patrick.sheridan@wsj.com)</w:t>
        <w:br/>
        <w:br/>
        <w:t>-0-</w:t>
        <w:br/>
        <w:br/>
        <w:t>12:51 EDT - Small-business hiring was flat in July from June, according to a survey out today by the National Federation of Independent Business -- one sign suggesting Friday's jobs report could underwhelm. But overall, the combination of more job openings and more firms finding it difficult to fill open posts suggest the labor market is getting tighter, says NFIB chief economist William Dunkelberg. The survey says a quarter of respondents have slots they haven't been able to fill, up slightly from June. Meanwhile, companies planning to add jobs rose three points, to 12%, reversing last month's decline. (lisa.beilfuss@wsj.com)</w:t>
        <w:br/>
        <w:br/>
        <w:t>12:48 EDT - Though wage growth has been the missing piece of the job market recovery, today's NFIB survey suggests small-business employees are starting to get raises. A seasonally adjusted 23% of small-business owners reported raising compensation in July, and the net number planning to lift wages rose four points from June to a net 15%, according to the organization's chief economist. Still, small-business owners planning to lift wages tracks below the recovery-highs notched in January and May, says NFIB. (lisa.beilfuss@wsj.com)</w:t>
        <w:br/>
        <w:br/>
        <w:t>12:47 EDT - Private-equity firms need a new champion. Steve Judge, CEO of industry lobbying group Private Equity Growth Capital Council, will step down Aug. 15. Sponsored initially by some of the largest firms in the industry, the trade body has been tasked with managing the industry's image among law makers, preserving friendly legislation such as the deductibility of business debt and fending off attempts by both Republicans and Democrats to change the way that its profits are taxed. Judge faced his biggest battle less than a year into his tenure when P-E came under fire from Democratic contenders and Republic rivals criticizing nominee Mitt Romney's time at Bain Capital. (hillary.canada@wsj.com; @H_Canada)</w:t>
        <w:br/>
        <w:br/>
        <w:t>12:45 EDT - New York Times Co. (NYT) CEO Mark Thompson says that as the company pushes to produce more video content, it's hopeful it can eat into TV's ad revenue as viewers increasingly migrate from cable to online. "This is a question about how much the ad industry is prepared to be open-minded. But as platforms come together, I think this opportunity looms." NYT reported a 14% increase in 2Q digital-ad revenue amid strong gains in video and paid posts. But that couldn't come close to offsetting the 13% slide in print-ad revenue. Shares are down 3.4% at $12.74, hitting a 6 1/2-month low. (lukas.alpert@wsj.com; @lalpert1)</w:t>
        <w:br/>
        <w:br/>
        <w:t>(END) Dow Jones Newswires</w:t>
        <w:br/>
        <w:br/>
        <w:t>August 06, 2015 14:04 ET (18:04 GMT)</w:t>
      </w:r>
    </w:p>
    <w:p>
      <w:pPr>
        <w:pStyle w:val="Heading1"/>
      </w:pPr>
      <w:r>
        <w:t>End of Article 5</w:t>
      </w:r>
    </w:p>
    <w:p>
      <w:r>
        <w:br w:type="page"/>
      </w:r>
    </w:p>
    <w:p>
      <w:pPr>
        <w:pStyle w:val="Heading1"/>
      </w:pPr>
      <w:r>
        <w:t>Start of Article 6</w:t>
      </w:r>
    </w:p>
    <w:p>
      <w:pPr>
        <w:pStyle w:val="Heading1"/>
      </w:pPr>
      <w:r>
        <w:t>Document ID HNFRDSNT20150502eb35000qq</w:t>
      </w:r>
    </w:p>
    <w:p>
      <w:r>
        <w:t>Contrave combines two drugs, naltrexone and bupropion. These drugs are already approved for other uses. Naltrexone is used to help kick alcohol and narcotic addiction. Bupropion is used to treat depression and seasonal affective disorder. Many people also take bupropion to stop smoking. Neither naltrexone nor bupropion by itself has been approved for weight loss.</w:t>
        <w:br/>
        <w:br/>
        <w:t>Why should the combination of these drugs help with weight loss? It's likely that the drugs act on impulse, reward and/or hunger centers in the brain to decrease appetite and dampen the reflex to seek food for comfort.</w:t>
        <w:br/>
        <w:br/>
        <w:t>Not everyone who is overweight needs a weight loss drug. Contrave is approved for adults who are obese and for certain people who are overweight. Obese is defined as a body mass index, or BMI, of 30 or higher. Overweight adults have a BMI between 25 and 30. Overweight adults should only take Contrave if they also have at least one other weight-related condition, such as high blood pressure or Type 2 diabetes. If you don't know your BMI, you can look it up on the BMI table I've put on my website, AskDoctorK.com.</w:t>
        <w:br/>
        <w:br/>
        <w:t>The FDA approved Contrave based on the results of several clinical trials that included 4,500 overweight and obese men and women. All were treated for one year.</w:t>
        <w:br/>
        <w:br/>
        <w:t>In one trial of people without diabetes, 42 percent of those who took Contrave lost at least 5 percent of their body weight, compared with 17 percent of those who took a placebo. In a trial of people with diabetes, 36 percent of those taking Contrave lost at least 5 percent of their body weight, compared with 18 percent of those taking a placebo.</w:t>
        <w:br/>
        <w:br/>
        <w:t>Like any drug, Contrave can cause unwanted, sometimes serious, side effects. Used alone, bupropion has been linked to suicidal thoughts, as well as seizures. And naltrexone use has been linked to seizures. I think the drug should be avoided by anyone who:</w:t>
        <w:br/>
        <w:br/>
        <w:t>Has had seizures in the past Has had an eating disorder (bulimia or anorexia nervosa) Is taking an opioid pain medicine or a medicine to treat addiction to opioids Is taking an antidepressant medicine called an MAOI Is pregnant</w:t>
        <w:br/>
        <w:br/>
        <w:t>I am reluctant to get enthusiastic about a new medicine until some time has passed. The 4,500 people who participated in studies is a pretty large number. However, it is a very small fraction of the total number who are likely to be prescribed the medicine. Rare but serious side effects could have been missed in the early studies.</w:t>
        <w:br/>
        <w:br/>
        <w:t>Also, about half of the people in the studies saw no benefit. If you take the medicine for 12 weeks and see no benefit, it's wise to talk to your doctor about stopping it.</w:t>
      </w:r>
    </w:p>
    <w:p>
      <w:pPr>
        <w:pStyle w:val="Heading1"/>
      </w:pPr>
      <w:r>
        <w:t>End of Article 6</w:t>
      </w:r>
    </w:p>
    <w:p>
      <w:r>
        <w:br w:type="page"/>
      </w:r>
    </w:p>
    <w:p>
      <w:pPr>
        <w:pStyle w:val="Heading1"/>
      </w:pPr>
      <w:r>
        <w:t>Start of Article 7</w:t>
      </w:r>
    </w:p>
    <w:p>
      <w:pPr>
        <w:pStyle w:val="Heading1"/>
      </w:pPr>
      <w:r>
        <w:t>Document ID SEPI000020150113eb1c0000g</w:t>
      </w:r>
    </w:p>
    <w:p>
      <w:r>
        <w:t>SGM-1019, which comes in the form of a pill, was shown to be safe in a small group of healthy people who took small doses of it in a double-blind, placebo-controlled trial. The drug will now be tested in multiple doses, and the trial is expected to be completed this year.</w:t>
        <w:br/>
        <w:br/>
        <w:t>The microbiome is one of the hottest areas in biological research right now. Scientists think that the bacteria play a bigger-than-previously-expected role in maintaining good health and contributing to chronic diseases — but the innerworkings of those relationships are still being decoded. Second Genome studies how the microbiome interacts with the body’s biology systems and seeks to design therapies based on that activity.</w:t>
        <w:br/>
        <w:br/>
        <w:t>“SGM-1019 has the potential to address a critical unmet need in inflammatory bowel disease treatment as a safe and well-tolerated oral therapy with important disease-modifying effect,” said Peter DiLaura, president and CEO of Second Genome, in a statement.</w:t>
      </w:r>
    </w:p>
    <w:p>
      <w:pPr>
        <w:pStyle w:val="Heading1"/>
      </w:pPr>
      <w:r>
        <w:t>End of Article 7</w:t>
      </w:r>
    </w:p>
    <w:p>
      <w:r>
        <w:br w:type="page"/>
      </w:r>
    </w:p>
    <w:p>
      <w:pPr>
        <w:pStyle w:val="Heading1"/>
      </w:pPr>
      <w:r>
        <w:t>Start of Article 8</w:t>
      </w:r>
    </w:p>
    <w:p>
      <w:pPr>
        <w:pStyle w:val="Heading1"/>
      </w:pPr>
      <w:r>
        <w:t>Document ID APRS000020150513eb5d00d72</w:t>
      </w:r>
    </w:p>
    <w:p>
      <w:r>
        <w:t xml:space="preserve">                        Pe-      Stk of        pay-</w:t>
        <w:br/>
        <w:t xml:space="preserve">                        riod     rate record   able</w:t>
        <w:br/>
        <w:t xml:space="preserve"> IRREGULAR</w:t>
        <w:br/>
        <w:t xml:space="preserve"> Qiwi plc z             Q        .25           5-26   5-28</w:t>
        <w:br/>
        <w:t xml:space="preserve"> z- Approx. amount per ADR or ADS.</w:t>
        <w:br/>
        <w:t xml:space="preserve"> STOCK</w:t>
        <w:br/>
        <w:t xml:space="preserve"> China Life Insurance   x        5-22          5-26</w:t>
        <w:br/>
        <w:t xml:space="preserve"> x- 3 for 1 split.</w:t>
        <w:br/>
        <w:t xml:space="preserve"> NRG Yield A            x        5-14</w:t>
        <w:br/>
        <w:t xml:space="preserve"> x- One share class A and one share class C for each share held.</w:t>
        <w:br/>
        <w:t xml:space="preserve"> INCREASED</w:t>
        <w:br/>
        <w:t xml:space="preserve"> Ashland Inc            Q        .39           5-29   6-15</w:t>
        <w:br/>
        <w:t xml:space="preserve"> Hackett Group          S        .10           6-29   7-10</w:t>
        <w:br/>
        <w:t xml:space="preserve"> HollyFrontier          Q        .33           6-5    6-26</w:t>
        <w:br/>
        <w:t xml:space="preserve"> Mosaic Co x            Q        .275          6-4    6-18</w:t>
        <w:br/>
        <w:t xml:space="preserve"> x- Previously announced, reporting dates.</w:t>
        <w:br/>
        <w:t xml:space="preserve"> INITIAL</w:t>
        <w:br/>
        <w:t xml:space="preserve"> NRG Yield A&amp;C new      Q        .20           6-1    6-15</w:t>
        <w:br/>
        <w:t xml:space="preserve"> SPECIAL</w:t>
        <w:br/>
        <w:t xml:space="preserve"> Ohio Valley Banc Cp    .05      5-26          6-10</w:t>
        <w:br/>
        <w:t xml:space="preserve"> REGULAR</w:t>
        <w:br/>
        <w:t xml:space="preserve"> Ameriana Bancorp       Q        .04           6-12   7-2</w:t>
        <w:br/>
        <w:t xml:space="preserve"> Baker Hughes           Q        .17           6-3    6-24</w:t>
        <w:br/>
        <w:t xml:space="preserve"> Corrections Corp Am    Q        .54           7-2    7-15</w:t>
        <w:br/>
        <w:t xml:space="preserve"> Dean Foods             Q        .07           5-22   6-4</w:t>
        <w:br/>
        <w:t xml:space="preserve"> Delta Nat Gas          Q        .20           6-1    6-15</w:t>
        <w:br/>
        <w:t xml:space="preserve"> DeVry Educ             S        .18           6-5    6-15</w:t>
        <w:br/>
        <w:t xml:space="preserve"> Digital Realty Trust   Q        .85           6-15   6-30</w:t>
        <w:br/>
        <w:t xml:space="preserve"> Dow Chemical           Q        .42           6-30   7-30</w:t>
        <w:br/>
        <w:t xml:space="preserve"> Encore Wire            Q        .02           7-10   7-24</w:t>
        <w:br/>
        <w:t xml:space="preserve"> Fair Isaac             Q        .02           5-27   6-10</w:t>
        <w:br/>
        <w:t xml:space="preserve"> Gildan Activewear      Q        .065          5-27   6-22</w:t>
        <w:br/>
        <w:t xml:space="preserve"> Graham Holdings        Q 2.65   7-20          8-6</w:t>
        <w:br/>
        <w:t xml:space="preserve"> Harte Hanks            Q        .085          6-1    6-15</w:t>
        <w:br/>
        <w:t xml:space="preserve"> Integrys Energy        Q        .68           5-29   6-19</w:t>
        <w:br/>
        <w:t xml:space="preserve"> Invacare Corp          Q        .0125         7-2    7-13</w:t>
        <w:br/>
        <w:t xml:space="preserve"> KBR Inc                Q        .08           6-15   7-15</w:t>
        <w:br/>
        <w:t xml:space="preserve"> Kapstone Paper&amp;Pkg     Q        .10           6-30   7-13</w:t>
        <w:br/>
        <w:t xml:space="preserve"> Kingstone Cos          Q        .05           6-1    6-15</w:t>
        <w:br/>
        <w:t xml:space="preserve"> Kohl's Corp            Q        .45           6-10   6-24</w:t>
        <w:br/>
        <w:t xml:space="preserve"> Lorillard Inc          Q        .66           6-1    6-10</w:t>
        <w:br/>
        <w:t xml:space="preserve"> MDU Resources          Q        .1825         6-11   7-1</w:t>
        <w:br/>
        <w:t xml:space="preserve"> Mosaic Co              Q        .275          6-4    6-18</w:t>
        <w:br/>
        <w:t xml:space="preserve"> Natl Oilwell Varco     Q        .46           6-12   6-28</w:t>
        <w:br/>
        <w:t xml:space="preserve"> NewellRubbermaid       Q        .19           5-29   6-15</w:t>
        <w:br/>
        <w:t xml:space="preserve"> OGE Energy             Q        .25           7-10   7-30</w:t>
        <w:br/>
        <w:t xml:space="preserve"> Packaging Corp Amer    Q        .55           6-15   7-15</w:t>
        <w:br/>
        <w:t xml:space="preserve"> PacWest Bancorp        Q        .50           5-26   6-4</w:t>
        <w:br/>
        <w:t xml:space="preserve"> Panhandle Oil&amp;Gas      Q        .04           5-27   6-10</w:t>
        <w:br/>
        <w:t xml:space="preserve"> Parkway Properties     Q        .1875         6-10   6-24</w:t>
        <w:br/>
        <w:t xml:space="preserve"> PolyOne Corp           Q        .10           6-12   7-8</w:t>
        <w:br/>
        <w:t xml:space="preserve"> Service Corp Intl      Q        .10           6-15   6-30</w:t>
        <w:br/>
        <w:t xml:space="preserve"> Stantec Inc g          Q        .105          6-30   7-6</w:t>
        <w:br/>
        <w:t xml:space="preserve"> Symantec Corp          Q        .15           6-10   6-24</w:t>
        <w:br/>
        <w:t xml:space="preserve"> Union Pacific          Q        .55           5-29   6-30</w:t>
        <w:br/>
        <w:t xml:space="preserve"> Xylem Inc              Q        .1408         5-28   6-24</w:t>
        <w:br/>
        <w:t xml:space="preserve"> g- Payable in Canadian funds.</w:t>
        <w:br/>
      </w:r>
    </w:p>
    <w:p>
      <w:pPr>
        <w:pStyle w:val="Heading1"/>
      </w:pPr>
      <w:r>
        <w:t>End of Article 8</w:t>
      </w:r>
    </w:p>
    <w:p>
      <w:r>
        <w:br w:type="page"/>
      </w:r>
    </w:p>
    <w:p>
      <w:pPr>
        <w:pStyle w:val="Heading1"/>
      </w:pPr>
      <w:r>
        <w:t>Start of Article 9</w:t>
      </w:r>
    </w:p>
    <w:p>
      <w:pPr>
        <w:pStyle w:val="Heading1"/>
      </w:pPr>
      <w:r>
        <w:t>Document ID BIOELSE020150903eb8s0001l</w:t>
      </w:r>
    </w:p>
    <w:p>
      <w:r>
        <w:t xml:space="preserve"> The company employs 850 people in a manufacturing facility in West Greenwich, RI Repatha's active ingredient is made at the plant. In addition, Amgen is building a research and development site in Cambridge and expects to have 300 people working there by the beginning of 2016, as well as a facility in Woburn that employs 70 people. The company has been making job cuts in San Francisco, Colorado and Washington, but is hiring at its Cambridge facility. If the drug takes off as expected, and eventually gets broader approval, jobs could follow as product increases. Analysts project Repatha could hits sales of $60 M in 2015 alone and hit top sales of approximately $3.5 bn by 2022. Original Source: BioSpace.com, 2015. From website: http://www.biospace.com.</w:t>
        <w:br/>
        <w:br/>
        <w:t>BioSpace</w:t>
        <w:br/>
        <w:br/>
        <w:t>Website: http://www.biospace.com</w:t>
      </w:r>
    </w:p>
    <w:p>
      <w:pPr>
        <w:pStyle w:val="Heading1"/>
      </w:pPr>
      <w:r>
        <w:t>End of Article 9</w:t>
      </w:r>
    </w:p>
    <w:p>
      <w:r>
        <w:br w:type="page"/>
      </w:r>
    </w:p>
    <w:p>
      <w:pPr>
        <w:pStyle w:val="Heading1"/>
      </w:pPr>
      <w:r>
        <w:t>Start of Article 10</w:t>
      </w:r>
    </w:p>
    <w:p>
      <w:pPr>
        <w:pStyle w:val="Heading1"/>
      </w:pPr>
      <w:r>
        <w:t>Document ID DJDN000020150805eb85003sc</w:t>
      </w:r>
    </w:p>
    <w:p>
      <w:r>
        <w:t>(END) Dow Jones Newswires</w:t>
        <w:br/>
        <w:br/>
        <w:t>August 05, 2015 16:25 ET (20:25 GMT)</w:t>
      </w:r>
    </w:p>
    <w:p>
      <w:pPr>
        <w:pStyle w:val="Heading1"/>
      </w:pPr>
      <w:r>
        <w:t>End of Article 10</w:t>
      </w:r>
    </w:p>
    <w:p>
      <w:r>
        <w:br w:type="page"/>
      </w:r>
    </w:p>
    <w:p>
      <w:pPr>
        <w:pStyle w:val="Heading1"/>
      </w:pPr>
      <w:r>
        <w:t>Start of Article 11</w:t>
      </w:r>
    </w:p>
    <w:p>
      <w:pPr>
        <w:pStyle w:val="Heading1"/>
      </w:pPr>
      <w:r>
        <w:t>Document ID DJDN000020151209ebc9002np</w:t>
      </w:r>
    </w:p>
    <w:p>
      <w:r>
        <w:br/>
        <w:t xml:space="preserve">PARIS--(BUSINESS WIRE)--December 09, 2015-- </w:t>
        <w:br/>
        <w:br/>
        <w:t>Regulatory News:</w:t>
        <w:br/>
        <w:br/>
        <w:t>EOS imaging (Paris:EOSI) (Euronext, FR0011191766 -- EOSI), the pioneer in 2D/3D orthopedic medical imaging, announced today its commercial and organizational expansion to support the momentum of installations in adult and pediatric hospitals in the United States.</w:t>
        <w:br/>
        <w:br/>
        <w:t>EOS imaging's technical support team, reinforced and led by a newly appointed manager, will focus on supporting the existing 47 EOS(R) systems in the US market as well as the upcoming and 2016 new installations.</w:t>
        <w:br/>
        <w:br/>
        <w:t>The six last installations bring the US installed base to 47, with 7 additional platforms shipped and pending installation.</w:t>
        <w:br/>
        <w:br/>
        <w:t>Centers that focus exclusively on pediatrics make up 60% of the current installed base and include 9 of the top 10 pediatric hospitals. The remaining 40% are in hospitals focusing on the adult population including 4 of the top 10 hospitals for adult orthopedics. EOS(R) systems are installed in hospitals of all sizes including those with 300 beds or less which currently represent 35% of the EOS(R) installations. There is also momentum to acquire additional systems, as was the case at 6 US hospitals already, to broaden EOS(R) usage and turn it into internal orthopedic imaging standards across all departments and sites.</w:t>
        <w:br/>
        <w:br/>
        <w:t>Marie Meynadier, CEO of EOS imaging said, "The record number of installations was made possible thanks to the organizational investments we have made to support the strong momentum in the United States. The extreme reduction of irradiation with the EOS(R) Micro Dose option is a must have in pediatric orthopedic imaging. The dose reduction and the launch of EOSapps for examination and surgical planning also reinforce EOS(R) as a standard of care for adult orthopedic imaging. We look forward to rapidly growing our customer base and increasing the sites with multiple systems as the value of our solution is recognized."</w:t>
        <w:br/>
        <w:br/>
        <w:t>The EOS(R) platform provides 2D and 3D full-body, stereo-radiographic images of patients in functional positions. EOS exams require a radiation dose 50% to 85% less than Digital Radiology and 95% less than basic CT scans. The new EOS(R) Micro Dose system, recently cleared by the Food and Drug Administration, marks another important step towards the ALARA principle (As Low As Reasonably Available). This latest technology has made the dose for a pediatric spine follow-up exam equivalent to a week of natural background radiation on Earth.</w:t>
        <w:br/>
        <w:br/>
        <w:t>For more information, please visit www.eos-imaging.com.</w:t>
        <w:br/>
        <w:br/>
        <w:t>EOS imaging has been chosen to be included in the new EnterNext(c) PEA-PME 150 index, composed of 150 French companies and listed on Euronext and Alternext markets in Paris.</w:t>
        <w:br/>
        <w:br/>
        <w:t>EOS imaging is listed on Compartment C of Euronext Paris</w:t>
        <w:br/>
        <w:br/>
        <w:t>ISIN: FR0011191766 -- Ticker: EOSI</w:t>
        <w:br/>
        <w:br/>
        <w:t>About EOS imaging</w:t>
        <w:br/>
        <w:br/>
        <w:t>EOS imaging designs, develops, and markets EOS(R) , an innovative medical imaging system dedicated to osteoarticular pathologies and orthopaedics, as well as associated solutions. The Company is authorized to market in 48 countries, including the United States (FDA), Japan and the European Union (EC). The Group posted 2014 revenues of EUR20.1 million and employs 107 people including an R&amp;D team of 39 engineers. The Group is based in Paris and has five subsidiaries in Besançon (France), Cambridge (Massachusetts), Montreal (Canada), Frankfurt (Germany) and Singapore.</w:t>
        <w:br/>
        <w:br/>
        <w:t xml:space="preserve">View source version on businesswire.com: http://www.businesswire.com/news/home/20151209006194/en/ </w:t>
        <w:br/>
        <w:br/>
        <w:br/>
        <w:t xml:space="preserve"> </w:t>
        <w:br/>
        <w:t xml:space="preserve">    CONTACT:    EOS imaging </w:t>
        <w:br/>
        <w:br/>
        <w:t>Anne Renevot, +33 (0)1 55 25 61 24</w:t>
        <w:br/>
        <w:br/>
        <w:t>CFO</w:t>
        <w:br/>
        <w:br/>
        <w:t>investors@eos-imaging.com</w:t>
        <w:br/>
        <w:br/>
        <w:t>or</w:t>
        <w:br/>
        <w:br/>
        <w:t>NewCap</w:t>
        <w:br/>
        <w:br/>
        <w:t>Financial communication and investor relations</w:t>
        <w:br/>
        <w:br/>
        <w:t>Pierre Laurent, +33 (0)1 44 71 94 91</w:t>
        <w:br/>
        <w:br/>
        <w:t>eosimaging@newcap.fr</w:t>
        <w:br/>
        <w:br/>
        <w:t>or</w:t>
        <w:br/>
        <w:br/>
        <w:t>The Ruth Group (US)</w:t>
        <w:br/>
        <w:br/>
        <w:t>Press relations</w:t>
        <w:br/>
        <w:br/>
        <w:t>Joanna Zimmerman, 646-536-7006</w:t>
        <w:br/>
        <w:br/>
        <w:t>jzimmerman@theruthgroup.com</w:t>
        <w:br/>
        <w:br/>
        <w:t>(END) Dow Jones Newswires</w:t>
        <w:br/>
        <w:br/>
        <w:t>December 09, 2015 12:18 ET (17:18 GMT)</w:t>
      </w:r>
    </w:p>
    <w:p>
      <w:pPr>
        <w:pStyle w:val="Heading1"/>
      </w:pPr>
      <w:r>
        <w:t>End of Article 11</w:t>
      </w:r>
    </w:p>
    <w:p>
      <w:r>
        <w:br w:type="page"/>
      </w:r>
    </w:p>
    <w:p>
      <w:pPr>
        <w:pStyle w:val="Heading1"/>
      </w:pPr>
      <w:r>
        <w:t>Start of Article 12</w:t>
      </w:r>
    </w:p>
    <w:p>
      <w:pPr>
        <w:pStyle w:val="Heading1"/>
      </w:pPr>
      <w:r>
        <w:t>Document ID CHPR000020150916eb990001v</w:t>
      </w:r>
    </w:p>
    <w:p>
      <w:r>
        <w:t>Website: http://www.marketwired.com</w:t>
      </w:r>
    </w:p>
    <w:p>
      <w:pPr>
        <w:pStyle w:val="Heading1"/>
      </w:pPr>
      <w:r>
        <w:t>End of Article 12</w:t>
      </w:r>
    </w:p>
    <w:p>
      <w:r>
        <w:br w:type="page"/>
      </w:r>
    </w:p>
    <w:p>
      <w:pPr>
        <w:pStyle w:val="Heading1"/>
      </w:pPr>
      <w:r>
        <w:t>Start of Article 13</w:t>
      </w:r>
    </w:p>
    <w:p>
      <w:pPr>
        <w:pStyle w:val="Heading1"/>
      </w:pPr>
      <w:r>
        <w:t>Document ID DJDN000020151214ebce001wg</w:t>
      </w:r>
    </w:p>
    <w:p>
      <w:r>
        <w:t>Bioanalytical Systems, Inc. ("BASi") (NASDAQ:BASI) today announced that its board of directors unanimously elected Ms. Wendy Perrow, President and Chief Executive Officer at Alba Therapeutics, as a director effective December 10, 2015. This action brings the number of directors to seven.</w:t>
        <w:br/>
        <w:br/>
        <w:t>Dr. John B. Landis, BASI's chairman of the board, commented, "We are delighted that Ms. Perrow has joined our board. Her strong background in both the biotech and pharmaceutical industries will prove particularly valuable as we continue to focus on strategies that drive our top-line growth."</w:t>
        <w:br/>
        <w:br/>
        <w:t>Ms. Perrow joined Alba Therapeutics in 2008 as Vice President, Business Development, Marketing and Alliance Management. She was appointed President and Chief Operating Officer in 2011 and named Chief Executive Officer in 2013. Prior to joining Alba Therapeutics, Ms. Perrow held senior executive marketing positions with private and public pharmaceutical companies. From 2004 to 2007, she was Vice President of Marketing for Sigma-Tau Pharmaceuticals, Inc. From 1989 to 2003, Ms. Perrow held positions at Merck and Co., Inc. in marketing promotion, international business research analysis, training, and sales. Ms. Perrow began her career in a division of Johnson &amp; Johnson.</w:t>
        <w:br/>
        <w:br/>
        <w:t>Ms. Perrow holds a bachelor's degree from Eastern Illinois University and a Masters of Business Administration degree in finance and marketing from Duke University - The Fuqua School of Business.</w:t>
        <w:br/>
        <w:br/>
        <w:t>About Bioanalytical Systems, Inc.</w:t>
        <w:br/>
        <w:br/>
        <w:t>BASi is a pharmaceutical development company providing contract research services and monitoring instruments to the world's leading drug development companies and medical research organizations. BASi focuses on developing innovative services and products that increase efficiency and reduce the cost of taking new drugs to market. Visit www.BASinc.com for more information about BASi.</w:t>
        <w:br/>
        <w:br/>
        <w:t xml:space="preserve">View source version on businesswire.com: http://www.businesswire.com/news/home/20151214005800/en/ </w:t>
        <w:br/>
        <w:br/>
        <w:br/>
        <w:t xml:space="preserve"> </w:t>
        <w:br/>
        <w:t xml:space="preserve">    CONTACT:    Bioanalytical Systems, Inc. </w:t>
        <w:br/>
        <w:br/>
        <w:t>Jeffrey Potrzebowski, 765-497-8409</w:t>
        <w:br/>
        <w:br/>
        <w:t>Chief Financial Officer &amp; Vice President of Finance</w:t>
        <w:br/>
        <w:br/>
        <w:t>jpotrzebowski@BASinc.com</w:t>
        <w:br/>
        <w:br/>
        <w:t>14 Dec 2015 10:30 ET *BASi Names Wendy Perrow To Bd Of Directors</w:t>
        <w:br/>
        <w:br/>
        <w:t>(MORE TO FOLLOW) Dow Jones Newswires (212-416-2800)</w:t>
        <w:br/>
        <w:br/>
        <w:t>December 14, 2015 10:30 ET (15:30 GMT)</w:t>
      </w:r>
    </w:p>
    <w:p>
      <w:pPr>
        <w:pStyle w:val="Heading1"/>
      </w:pPr>
      <w:r>
        <w:t>End of Article 13</w:t>
      </w:r>
    </w:p>
    <w:p>
      <w:r>
        <w:br w:type="page"/>
      </w:r>
    </w:p>
    <w:p>
      <w:pPr>
        <w:pStyle w:val="Heading1"/>
      </w:pPr>
      <w:r>
        <w:t>Start of Article 14</w:t>
      </w:r>
    </w:p>
    <w:p>
      <w:pPr>
        <w:pStyle w:val="Heading1"/>
      </w:pPr>
      <w:r>
        <w:t>Document ID ATPHAM0020150724eb7n0006d</w:t>
      </w:r>
    </w:p>
    <w:p>
      <w:r>
        <w:t>The combination of Catamaran and OptumRx, which will operate as OptumRx, offers scaled, innovative pharmacy care services driving unmatched value to clients and consumers. OptumRx's synchronized health care experience goes well beyond traditional pharmacy benefits management (PBM) by integrating Optum's data and analytics and connecting pharmacy care with a person's overall health benefits and care management. This provides a complete care solution for consumers and promotes collaboration among pharmacists and care providers. The result is better health outcomes and cost savings as people consistently get the right medications, care and guidance at the right time. As consumers, employers and payers increasingly need to access costly specialty pharmaceuticals, these synchronization capabilities set OptumRx apart in the marketplace.</w:t>
        <w:br/>
        <w:br/>
        <w:t>"We are pleased to welcome the talented Catamaran team to OptumRx, and together we look forward to bringing uniquely powerful, combined pharmacy care service offerings to the marketplace," said Larry Renfro, chief executive officer of Optum. "OptumRx is now exceptionally well-positioned to support and connect pharmacists, care providers, payers and patients in achieving the shared goals of improved health outcomes, better consumer experiences and lower costs."</w:t>
        <w:br/>
        <w:br/>
        <w:t>"OptumRx now has the expertise, scale, resources and innovative spirit to be the most valued, consumer-focused pharmacy care services partner in a rapidly changing health care system," said Mark Thierer, chief executive officer of OptumRx and former chairman and chief executive officer of Catamaran. "In addition to the consumer service enhancements and cost management opportunities this combination makes possible, OptumRx's longtime business relationship and shared technology with Catamaran greatly simplifies the integration now underway. Our clients, partners and members can expect stability and a smooth transition."</w:t>
        <w:br/>
        <w:br/>
        <w:t>Under the terms of the agreement, all of the shares of Catamaran were acquired for $61.50 per share in cash, with all shares of Catamaran expected to be delisted from the NASDAQ effective as of close of trading today and from the Toronto Stock Exchange (TSX) shortly.</w:t>
        <w:br/>
        <w:br/>
        <w:t>In connection with the completion of the acquisition, Catamaran repaid in full and terminated its existing credit facility. On July 23, 2015, Catamaran also delivered an irrevocable notice of redemption to holders of all of its outstanding 4.75% Senior Notes due 2021 (the "Notes") and irrevocably deposited with the trustee sufficient funds to fund the redemption in full of the Notes on August 23, 2015. As a result, Catamaran and the guarantors under the Notes have been released from their respective obligations under the Notes and the Indenture (in each case, subject to certain limited exceptions), pursuant to the satisfaction and discharge provisions thereunder, effective as of July 23, 2015.</w:t>
        <w:br/>
        <w:br/>
        <w:t>Source: Optum</w:t>
      </w:r>
    </w:p>
    <w:p>
      <w:pPr>
        <w:pStyle w:val="Heading1"/>
      </w:pPr>
      <w:r>
        <w:t>End of Article 14</w:t>
      </w:r>
    </w:p>
    <w:p>
      <w:r>
        <w:br w:type="page"/>
      </w:r>
    </w:p>
    <w:p>
      <w:pPr>
        <w:pStyle w:val="Heading1"/>
      </w:pPr>
      <w:r>
        <w:t>Start of Article 15</w:t>
      </w:r>
    </w:p>
    <w:p>
      <w:pPr>
        <w:pStyle w:val="Heading1"/>
      </w:pPr>
      <w:r>
        <w:t>Document ID ATPHAM0020151215ebce0000h</w:t>
      </w:r>
    </w:p>
    <w:p>
      <w:r>
        <w:t>"The clearance of our IND application for I.V. Pyridorin represents a significant milestone for our AKI program," said Dr. Jaikrishna Patel, Chief Medical Officer. "We look forward to further investigating intravenous Pyridorin, which we believe has the potential to be an important treatment option for patients suffering from hospital-acquired AKI."</w:t>
        <w:br/>
        <w:br/>
        <w:t>Source: NephroGenex</w:t>
      </w:r>
    </w:p>
    <w:p>
      <w:pPr>
        <w:pStyle w:val="Heading1"/>
      </w:pPr>
      <w:r>
        <w:t>End of Article 15</w:t>
      </w:r>
    </w:p>
    <w:p>
      <w:r>
        <w:br w:type="page"/>
      </w:r>
    </w:p>
    <w:p>
      <w:pPr>
        <w:pStyle w:val="Heading1"/>
      </w:pPr>
      <w:r>
        <w:t>Start of Article 16</w:t>
      </w:r>
    </w:p>
    <w:p>
      <w:pPr>
        <w:pStyle w:val="Heading1"/>
      </w:pPr>
      <w:r>
        <w:t>Document ID BIOELSE020150903eb8s0001l</w:t>
      </w:r>
    </w:p>
    <w:p>
      <w:r>
        <w:t xml:space="preserve"> The company employs 850 people in a manufacturing facility in West Greenwich, RI Repatha's active ingredient is made at the plant. In addition, Amgen is building a research and development site in Cambridge and expects to have 300 people working there by the beginning of 2016, as well as a facility in Woburn that employs 70 people. The company has been making job cuts in San Francisco, Colorado and Washington, but is hiring at its Cambridge facility. If the drug takes off as expected, and eventually gets broader approval, jobs could follow as product increases. Analysts project Repatha could hits sales of $60 M in 2015 alone and hit top sales of approximately $3.5 bn by 2022. Original Source: BioSpace.com, 2015. From website: http://www.biospace.com.</w:t>
        <w:br/>
        <w:br/>
        <w:t>BioSpace</w:t>
        <w:br/>
        <w:br/>
        <w:t>Website: http://www.biospace.com</w:t>
      </w:r>
    </w:p>
    <w:p>
      <w:pPr>
        <w:pStyle w:val="Heading1"/>
      </w:pPr>
      <w:r>
        <w:t>End of Article 16</w:t>
      </w:r>
    </w:p>
    <w:p>
      <w:r>
        <w:br w:type="page"/>
      </w:r>
    </w:p>
    <w:p>
      <w:pPr>
        <w:pStyle w:val="Heading1"/>
      </w:pPr>
      <w:r>
        <w:t>Start of Article 17</w:t>
      </w:r>
    </w:p>
    <w:p>
      <w:pPr>
        <w:pStyle w:val="Heading1"/>
      </w:pPr>
      <w:r>
        <w:t>Document ID HUGNEN0020150914eb9e001xh</w:t>
      </w:r>
    </w:p>
    <w:p>
      <w:r>
        <w:t>"Patients at risk for sudden cardiac arrest have long relied on ICDs to monitor their hearts, detect dangerous arrhythmias and deliver the life-saving therapy needed to survive," said Michael R. Gold, M.D., Ph.D., chief of cardiology, Michael E Assey Professor of Medicine at the Medical University of South Carolina, and principal investigator in the Evera MRI Clinical Trial. "Many of these patients also need access to MRIs, so the approval of an ICD that can be used in an MRI environment is crucial, and can help provide patients with the peace of mind that they are receiving the best care available."</w:t>
        <w:br/>
        <w:br/>
        <w:t>Sudden cardiac arrest (SCA) is a sudden, abrupt loss of heart function that can result in death if not treated within minutes with an electrical cardioverter shock, which can be delivered by an ICD. MRI is considered the gold standard in soft-tissue imaging and is used regularly for the diagnosis of conditions such as stroke, cancer, Alzheimer's disease, and muscle, bone and joint pain.</w:t>
        <w:br/>
        <w:br/>
        <w:t>Until now, patients with ICD systems have been contraindicated by the FDA from receiving MRI scans because of potential interactions between the MRI and device function, which might result in risk to patients. These MRI restrictions have resulted in a critical unmet need as data have shown that, within four years, more than one-third of patients with ICDs - 36 percent - are likely to need an MRI.1</w:t>
        <w:br/>
        <w:br/>
        <w:t>The Evera MRI ICD system includes hardware and software design enhancements from previous generation devices that allow it to safely undergo full-body MRIs, while maintaining the same longevity, proven shock reduction and physiological size and shape of the original Evera ICD. The device is paired with the Sprint Quattro® Secure MRI SureScan® DF4 leads, part of the only ICD lead family with more than 10 years of proven performance with active monitoring,2 now tested for safe use in an MRI environment.</w:t>
        <w:br/>
        <w:br/>
        <w:t>The FDA approval of the Evera MRI ICD system was based on safety and efficacy data from the Evera MRI Clinical Trial, a multicenter, prospective, randomized, controlled clinical trial that enrolled 275 patients at 42 centers around the world. Presented during a late-breaking clinical trial session at Heart Rhythm 2015, the Heart Rhythm Society's 36th Annual Scientific Sessions, and published simultaneously in the Journal of the American College of Cardiology (JACC), these data demonstrated that the Evera MRI ICD system is safe and effective, and that full-body MRI scans did not affect its ability to deliver life-saving therapy.3</w:t>
        <w:br/>
        <w:br/>
        <w:t>"The Evera MRI ICD system underwent comprehensive computer modeling of more than 2.3 million clinical scenarios and this information, combined with the safety data from the clinical trial, has resulted in this critical regulatory approval," said Marshall Stanton, M.D., vice president and general manager of the Tachycardia business, which is part of the Cardiac Rhythm and Heart Failure division at Medtronic. "As pioneers in the development of implantable cardiac devices that can be used in an MRI environment, Medtronic is committed to ongoing innovation to address the clinical needs of physicians and patients."</w:t>
        <w:br/>
        <w:br/>
        <w:t>About the Evera MRI ICD</w:t>
        <w:br/>
        <w:br/>
        <w:t>The Evera MRI ICD is part of the Evera family of ICDs and includes the following key features and benefits:</w:t>
        <w:br/>
        <w:br/>
        <w:t>* A contoured shape with thin, smooth edges that better fits inside the body, increasing patient comfort by reducing skin pressure by 30 percent4</w:t>
        <w:br/>
        <w:br/>
        <w:t>* Industry-leading projected battery longevity (up to 11 years) compared with previous devices5-12</w:t>
        <w:br/>
        <w:br/>
        <w:t>* SmartShock(TM) 2.0, the Medtronic exclusive, industry-leading shock reduction algorithm that enables the device to better differentiate between dangerous and harmless heart rhythms13</w:t>
        <w:br/>
        <w:br/>
        <w:t>* OptiVol® 2.0 Fluid Status Monitoring and complete diagnostics, which is designed to identify patients at risk of worsening heart failure and atrial fibrillation</w:t>
        <w:br/>
        <w:br/>
        <w:t>In collaboration with leading clinicians, researchers and scientists worldwide, Medtronic offers the broadest range of innovative medical technology for the interventional and surgical treatment of cardiovascular disease and cardiac arrhythmias. The company strives to offer products and services that deliver clinical and economic value to healthcare consumers and providers around the world.</w:t>
        <w:br/>
        <w:br/>
        <w:t>Multimedia Release</w:t>
        <w:br/>
        <w:br/>
        <w:t>A multimedia version of this release, with links to graphics and additional background information can be found at: http://bit.ly/1KLJcnW</w:t>
        <w:br/>
        <w:br/>
        <w:t>About Medtronic</w:t>
        <w:br/>
        <w:br/>
        <w:t>Medtronic plc ( www.medtronic.com ), headquartered in Dublin, Ireland, is the global leader in medical technology - alleviating pain, restoring health and extending life for millions of people around the world.</w:t>
        <w:br/>
        <w:br/>
        <w:t>Any forward-looking statements are subject to risks and uncertainties such as those described in Medtronic's periodic reports on file with the Securities and Exchange Commission. Actual results may differ materially from anticipated results.</w:t>
        <w:br/>
        <w:br/>
        <w:t>- end -</w:t>
        <w:br/>
        <w:br/>
        <w:t xml:space="preserve">1 Nazarian S, Reynolds M, Ryan M, et al. Estimating the Likelihood of MRI in Patients After ICD Implanation: A 10-Year Prediction Model. J Am Coll Cardiol. 2015;65(10S) </w:t>
        <w:br/>
        <w:br/>
        <w:t>2 Medtronic Product Performance Report, 2012 Second Edition, Issue 66.</w:t>
        <w:br/>
        <w:br/>
        <w:t>3 Gold MR, Torsten S, Schwitter J, et al. Full-Body MRI Scanning in Patients with an ICD: Primary results of the randomized Evera MRI Study. J Am Coll Cardiol. Published online May 14, 2015.</w:t>
        <w:br/>
        <w:br/>
        <w:t>4 Flo, Daniel.  Device Shape Analysis. January 2013. Medtronic data on file.</w:t>
        <w:br/>
        <w:br/>
        <w:t>5 Knops P, Theuns DA, Res JC, et al. Analysis of implantable defibrillator longevity under clinical circumstances: implications for device selection. Pacing Clin Electrophysiol. October 2009;32(10):1276-1285.</w:t>
        <w:br/>
        <w:br/>
        <w:t>6 Schaer BA, Koller MT, Sticherling C, et al. Longevity of implantable cardioverter defibrillators,influencing factors, and comparison to industry-projected longevity. Heart Rhythm. December 2009;6(12):1737-1743.</w:t>
        <w:br/>
        <w:br/>
        <w:t>7 Biffi M, Ziacchi M, Bertini M, et al. Longevity of implantable cardioverter-defibrillators: implications for clinical practice and health care systems. Europace. November 2008;10(12):1288-1295.</w:t>
        <w:br/>
        <w:br/>
        <w:t>8 Kallinen L, et al. 2009. http://spo.escardio.org/eslides/view.aspx?eevtid=33&amp;id=1913 .</w:t>
        <w:br/>
        <w:br/>
        <w:t>9 Thijssen J, Borleffs CJ, van Rees JB, et al. Implantable cardioverter-defibrillator longevity under clinical circumstances: an analysis according to device type, generation, and manufacturer. Heart Rhythm. April 2012;9(4):513-519.</w:t>
        <w:br/>
        <w:br/>
        <w:t>10 Shafat T, Baumfeld Y, Novack V, et al. Significant differences in the expected versus observed longevity of implantable cardioverter defibrillators (ICDs). Clin Res Cardiol. Published online July 14, 2012.</w:t>
        <w:br/>
        <w:br/>
        <w:t>11 Horlbeck FW, Mellert F, Kreuz J, et al. Real-world data on the lifespan of implantable cardioverter-defibrillators depending on manufacturers and the amount of ventricular pacing. J Cardiovasc Electrophysiol. December 2012;23(12):1336-1342.</w:t>
        <w:br/>
        <w:br/>
        <w:t>12 Evera XT DR/VR Manual.</w:t>
        <w:br/>
        <w:br/>
        <w:t>13 Auricchio, Angelo et al. Low inappropriate shock rates in patients with single- and dual/triple-chamber implantable cardioverter-defibrillators using a novel suite of detection algorithms: PainFree SST trial primary results. Heart Rhythm. Published online: January 27, 2015</w:t>
        <w:br/>
        <w:br/>
        <w:t>Contacts:</w:t>
        <w:br/>
        <w:br/>
        <w:t>Tracy McNulty</w:t>
        <w:br/>
        <w:br/>
        <w:t>Public Relations</w:t>
        <w:br/>
        <w:br/>
        <w:t>+1-763-526-2492</w:t>
        <w:br/>
        <w:br/>
        <w:t>Ryan Weispfenning</w:t>
        <w:br/>
        <w:br/>
        <w:t>Investor Relations</w:t>
        <w:br/>
        <w:br/>
        <w:t>+1-763-505-4626</w:t>
        <w:br/>
        <w:br/>
        <w:t>This announcement is distributed by NASDAQ OMX Corporate Solutions on behalf of NASDAQ OMX Corporate Solutions clients.</w:t>
        <w:br/>
        <w:br/>
        <w:t>The issuer of this announcement warrants that they are solely responsible for the content, accuracy and originality of the information contained therein.</w:t>
        <w:br/>
        <w:br/>
        <w:t>Source: Medtronic plc via Globenewswire</w:t>
        <w:br/>
        <w:br/>
        <w:t>HUG#1947798</w:t>
      </w:r>
    </w:p>
    <w:p>
      <w:pPr>
        <w:pStyle w:val="Heading1"/>
      </w:pPr>
      <w:r>
        <w:t>End of Article 17</w:t>
      </w:r>
    </w:p>
    <w:p>
      <w:r>
        <w:br w:type="page"/>
      </w:r>
    </w:p>
    <w:p>
      <w:pPr>
        <w:pStyle w:val="Heading1"/>
      </w:pPr>
      <w:r>
        <w:t>Start of Article 18</w:t>
      </w:r>
    </w:p>
    <w:p>
      <w:pPr>
        <w:pStyle w:val="Heading1"/>
      </w:pPr>
      <w:r>
        <w:t>Document ID JOENG00020150313eb3i0002v</w:t>
      </w:r>
    </w:p>
    <w:p>
      <w:r>
        <w:t>BD and CRISI entered into an exclusive partnership in June 2013 to jointly develop the BD Intelliport(TM) Medication Management System, a first-of-its-kind medication management solution for manual IV bolus injections. The Intelliport system is the first and only solution to provide real-time drug identification, dose measurement and allergy detection at the point of injection while wirelessly sending captured information directly into the patient's electronic medical record (EMR) following medication administration. The Intelliport system received clearance from the U.S. Food and Drug Administration (FDA) in December 2014 and is expected to be commercially available in spring 2015.</w:t>
        <w:br/>
        <w:br/>
        <w:t>"We are very excited about the CRISI acquisition. It gives BD access to the injection safety market with a differentiated platform that we believe, when combined with our pending CareFusion acquisition, will significantly enhance our growing end-to-end IV medication safety offering," said Tom Polen, Segment President, BD Medical. "The Intelliport system fills a need that has remained unmet for decades - the use of technology to reduce the likelihood of human error in the practice of injectable medication delivery."</w:t>
        <w:br/>
        <w:br/>
        <w:t>"We found the perfect partner in BD and are very pleased to have been on this journey together to create and introduce the Intelliport system to the medical community," commented Michael K. Perry, Chief Executive Officer, CRISI Medical Systems.</w:t>
        <w:br/>
        <w:br/>
        <w:t>"By combining forces with CRISI, BD will continue moving forward with raising awareness of preventable medication errors. We will also have a sophisticated offering to help support healthcare providers in their efforts to exceed compliance standards while delivering safe and exceptional patient care," said William A. Tozzi, President, BD Medical - Medical Surgical Systems. "We are pleased to welcome this new platform to BD."</w:t>
        <w:br/>
        <w:br/>
        <w:t>Financial details on the acquisition are not being disclosed at this time. BD expects the transaction will be immaterial and does not expect it to impact BD's previously communicated fiscal year 2015 earnings guidance.</w:t>
        <w:br/>
        <w:br/>
        <w:t>Keywords for this news article include: BD Becton, Medical Technology, Merger and Acquisitions, BD (Becton Dickinson and Company).</w:t>
        <w:br/>
        <w:br/>
        <w:t>Our reports deliver fact-based news of research and discoveries from around the world. Copyright 2015, NewsRx LLC</w:t>
      </w:r>
    </w:p>
    <w:p>
      <w:pPr>
        <w:pStyle w:val="Heading1"/>
      </w:pPr>
      <w:r>
        <w:t>End of Article 18</w:t>
      </w:r>
    </w:p>
    <w:p>
      <w:r>
        <w:br w:type="page"/>
      </w:r>
    </w:p>
    <w:p>
      <w:pPr>
        <w:pStyle w:val="Heading1"/>
      </w:pPr>
      <w:r>
        <w:t>Start of Article 19</w:t>
      </w:r>
    </w:p>
    <w:p>
      <w:pPr>
        <w:pStyle w:val="Heading1"/>
      </w:pPr>
      <w:r>
        <w:t>Document ID BWR0000020150609eb69000gh</w:t>
      </w:r>
    </w:p>
    <w:p>
      <w:r>
        <w:t>Intel Capital, Intel Corporation's global investment organization, today announced the Intel Capital Diversity Fund, which will invest in technology startups run by women and underrepresented minorities. Also unveiled were the fund's first investments in four companies led by inspiring trailblazers. The largest of its kind, the fund totals approximately $125 million, and investments will cover a broad spectrum of innovative industries.</w:t>
        <w:br/>
        <w:br/>
        <w:t>"We believe that a diverse and inclusive workplace is fundamental to delivering business results," said Intel CEO Brian Krzanich. "Our goal with this new fund is to meaningfully support a technology startup workforce more reflective of society, and ultimately to benefit Intel and the broader economy through its success."</w:t>
        <w:br/>
        <w:br/>
        <w:t>Today's news follows the January announcement of Intel's Diversity in Technology initiative, designed to encourage more diversity at Intel and within the technology industry at large. Intel has declared its intent to achieve full representation of women and underrepresented minorities in its U.S. workforce by 2020.</w:t>
        <w:br/>
        <w:br/>
        <w:t>"We are proud to take a leading role toward broader participation in technology entrepreneurship and employment," said Lisa M. Lambert, managing director and vice president of Intel Capital, who is leading the Intel Capital Diversity Fund. "With this new fund, Intel Capital is committed to investing in the best talent from a myriad of backgrounds to cultivate brilliant innovations that serve the needs of a diverse public."</w:t>
        <w:br/>
        <w:br/>
        <w:t>Only 15 percent of venture capital-funded companies in the United States have a woman on the executive team, according to a recent Babson College report, and companies with a woman CEO receive only 3 percent of total venture capital dollars.(1) Furthermore, less than 1 percent of the founders of Silicon Valley companies are African American or Latino; nearly 100 percent of funded founders are white or Asian, according to industry surveys.(2)</w:t>
        <w:br/>
        <w:br/>
        <w:t>The Intel Capital Diversity Fund launches with investments in four companies, which will gain access to Intel Capital's business development programs, global network, technology expertise and brand capital.</w:t>
        <w:br/>
        <w:br/>
        <w:br/>
        <w:t xml:space="preserve">   -- Brit + Co* (San Francisco) unlocks creativity by educating, inspiring and </w:t>
        <w:br/>
        <w:t xml:space="preserve">      supporting women and girls. A media and e-commerce platform, its online </w:t>
        <w:br/>
        <w:t xml:space="preserve">      classes and all-in-one kits let makers learn everything from calligraphy </w:t>
        <w:br/>
        <w:t xml:space="preserve">      to building gadgets with Intel Galileo boards. </w:t>
        <w:br/>
        <w:t xml:space="preserve"> </w:t>
        <w:br/>
        <w:t xml:space="preserve">   -- CareCloud* (Miami) is the leading provider of cloud-based practice </w:t>
        <w:br/>
        <w:t xml:space="preserve">      management, electronic health record (EHR), and medical billing software </w:t>
        <w:br/>
        <w:t xml:space="preserve">      and services for medical groups. Intel and CareCloud have jointly </w:t>
        <w:br/>
        <w:t xml:space="preserve">      authored a whitepaper on cloud computing in healthcare. </w:t>
        <w:br/>
        <w:t xml:space="preserve"> </w:t>
        <w:br/>
        <w:t xml:space="preserve">   -- Mark One* (San Francisco) uses the Intel(R) Curie(TM) hardware module to </w:t>
        <w:br/>
        <w:t xml:space="preserve">      create a smart cup that automatically recognizes any beverage its user </w:t>
        <w:br/>
        <w:t xml:space="preserve">      pours into it, displays its nutritional content, and syncs all drinking </w:t>
        <w:br/>
        <w:t xml:space="preserve">      habits to the user's smartphone. </w:t>
        <w:br/>
        <w:t xml:space="preserve"> </w:t>
        <w:br/>
        <w:t xml:space="preserve">   -- Venafi* (Salt Lake City) is the Immune System for the Internet(TM). </w:t>
        <w:br/>
        <w:t xml:space="preserve">      Venafi protects the foundational element of all </w:t>
        <w:br/>
        <w:t xml:space="preserve">      cybersecurity--cryptographic keys and digital certificates--so they can't </w:t>
        <w:br/>
        <w:t xml:space="preserve">      be misused. Venafi constantly assesses which keys and certificates are </w:t>
        <w:br/>
        <w:t xml:space="preserve">      trusted, protects those that should be trusted, and fixes or blocks those </w:t>
        <w:br/>
        <w:t xml:space="preserve">      that are not. With Venafi's key and certificate security solution, Intel </w:t>
        <w:br/>
        <w:t xml:space="preserve">      can continue to bring market-leading security and datacenter technology </w:t>
        <w:br/>
        <w:t xml:space="preserve">      to market. </w:t>
        <w:br/>
        <w:br/>
        <w:t>For more information about the Intel Capital Diversity Fund, please visit www.intelcapital.com.</w:t>
        <w:br/>
        <w:br/>
        <w:t>About Intel Capital</w:t>
        <w:br/>
        <w:br/>
        <w:t>Intel Capital, Intel's global investment organization, makes equity investments in innovative technology start-ups and companies worldwide. Intel Capital invests in a broad range of companies offering hardware, software, and services targeting enterprise, mobility, consumer Internet, digital media and semiconductor manufacturing. Since 1991, Intel Capital has invested more than US$11.4 billion in over 1,400 companies in 57 countries. In that timeframe, 211 portfolio companies have gone public on various exchanges around the world, and 369 were acquired or participated in a merger. For more information on what makes Intel Capital one of the world's most powerful venture capital firms, visit www.intelcapital.com or follow @Intelcapital.</w:t>
        <w:br/>
        <w:br/>
        <w:t>About Intel</w:t>
        <w:br/>
        <w:br/>
        <w:t>Intel (NASDAQ: INTC) is a world leader in computing innovation. The company designs and builds the essential technologies that serve as the foundation for the world's computing devices. As a leader in corporate responsibility and sustainability, Intel also manufactures the world's first commercially available "conflict-free" microprocessors. Additional information about Intel is available at newsroom.intel.com and blogs.intel.com.</w:t>
        <w:br/>
        <w:br/>
        <w:t>(1) Babson College Diana Report, Women Entrepreneurs 2014: Bridging the Gender Gap in Venture Capital, September 2014.</w:t>
        <w:br/>
        <w:br/>
        <w:t>(2) CB Insights, Venture Capital Human Capital Report, January-June 2010.</w:t>
        <w:br/>
        <w:br/>
        <w:t>Intel, the Intel logo and Curie are trademarks of Intel Corporation in the United States and other countries.</w:t>
        <w:br/>
        <w:br/>
        <w:t>*Other names and brands may be claimed as the property of others.</w:t>
        <w:br/>
        <w:br/>
        <w:t>View source version on businesswire.com: http://www.businesswire.com/news/home/20150609006407/en/</w:t>
      </w:r>
    </w:p>
    <w:p>
      <w:pPr>
        <w:pStyle w:val="Heading1"/>
      </w:pPr>
      <w:r>
        <w:t>End of Article 19</w:t>
      </w:r>
    </w:p>
    <w:p>
      <w:r>
        <w:br w:type="page"/>
      </w:r>
    </w:p>
    <w:p>
      <w:pPr>
        <w:pStyle w:val="Heading1"/>
      </w:pPr>
      <w:r>
        <w:t>Start of Article 20</w:t>
      </w:r>
    </w:p>
    <w:p>
      <w:pPr>
        <w:pStyle w:val="Heading1"/>
      </w:pPr>
      <w:r>
        <w:t>Document ID SAUDPA0020151014ebad000p2</w:t>
      </w:r>
    </w:p>
    <w:p>
      <w:r>
        <w:t>About Xtampza ER</w:t>
        <w:br/>
        <w:br/>
        <w:t>Collegium's lead product candidate, Xtampza ER, is an abuse-deterrent, extended-release, oral formulation of oxycodone in development for the management of pain severe enough to require daily, around-the-clock, long-term opioid treatment and for which alternative treatment options are inadequate. The active ingredient in Xtampza is oxycodone, which is approved by the FDA and other regulators around the world in a number of both immediate-release and extended-release drug products. Collegium developed Xtampza using its proprietary DETERx® abuse-deterrent technology to address common methods of abuse, including chewing, crushing and/or dissolving, and then taking it orally or snorting or injecting.</w:t>
        <w:br/>
        <w:br/>
        <w:t>About Collegium Pharmaceutical, Inc.</w:t>
        <w:br/>
        <w:br/>
        <w:t>Collegium is a specialty pharmaceutical company focused on developing a portfolio of products that incorporate its patent-protected DETERx® technology platform for the treatment of chronic pain and other diseases. The DETERx oral drug delivery technology is designed to provide extended-release delivery, unique abuse-deterrent properties, and flexible dose administration options.</w:t>
        <w:br/>
        <w:br/>
        <w:t>Forward-Looking Statements</w:t>
        <w:br/>
        <w:br/>
        <w:t>This press release contains forward-looking statements within the meaning of The Private Securities Litigation Reform Act of 1995. We may, in some cases, use terms such as "predicts," "believes," "potential," "proposed," "continue," "estimates," "anticipates," "expects," "plans," "intends," "may," "could," "might," "will," "should" or other words that convey uncertainty of future events or outcomes to identify these forward-looking statements. Such statements are subject to numerous important factors, risks and uncertainties that may cause actual events or results to differ materially from the company's current expectations. For example, there can be no guarantee that we will obtain approval for Xtampza ER or any of our other product candidates from the U.S. Food and Drug Administration ("FDA") or foreign regulatory authorities; even if Xtampza ER is approved, we may not be able to obtain the label claims that we are seeking from the FDA. Furthermore, we are subject to patent infringement litigation relating to Xtampza ER and may, in the future, be subject to additional litigation relating to our other product candidates, which may be expensive to defend and delay the commercialization of Xtampza ER or our other product candidates. Management's expectations and, therefore, any forward-looking statements in this press release could also be affected by risks and uncertainties relating to a number of other factors, including the following: our ability to commercialize our product candidates; the size and growth potential of the markets for our product candidates, and our ability to service those markets; our ability to develop sales and marketing capabilities, whether alone or with potential future collaborators; the rate and degree of market acceptance of our product candidates; the success, cost and timing of our product development activities, studies and clinical trials; the success of competing products that are or become available; and our expectations regarding our ability to obtain and adequately maintain sufficient intellectual property protection for our product candidates. These and other risks are described under the heading "Risk Factors" in a Current Report on Form 8-K, which was filed with the Securities and Exchange Commission ("SEC") on June 19, 2015, and those risks described from time to time in other reports which we file with the SEC. Any forward-looking statements that we make in this press release speak only as of the date of this press release. We assume no obligation to update our forward-looking statements whether as a result of new information, future events or otherwise, after the date of this press release.</w:t>
        <w:br/>
        <w:br/>
        <w:t>Douglas Carlson</w:t>
        <w:br/>
        <w:br/>
        <w:t>Vice President, Corporate Development</w:t>
        <w:br/>
        <w:br/>
        <w:t>For the original version on GlobeNewswire visit: http://globenewswire.com/news-release/2015/10/12/775427/10152258/en/Collegium-Provides-Update-on-FDA-Review-of-Xtampza-TM-ER-an-Abuse-Deterrent-Analgesic-for-the-Treatment-of-Chronic-Pain.htmlAll Rights Reversed for Saudi Press Agency Provided by SyndiGate Media Inc. (Syndigate.info</w:t>
      </w:r>
    </w:p>
    <w:p>
      <w:pPr>
        <w:pStyle w:val="Heading1"/>
      </w:pPr>
      <w:r>
        <w:t>End of Article 20</w:t>
      </w:r>
    </w:p>
    <w:p>
      <w:r>
        <w:br w:type="page"/>
      </w:r>
    </w:p>
    <w:p>
      <w:pPr>
        <w:pStyle w:val="Heading1"/>
      </w:pPr>
      <w:r>
        <w:t>Start of Article 21</w:t>
      </w:r>
    </w:p>
    <w:p>
      <w:pPr>
        <w:pStyle w:val="Heading1"/>
      </w:pPr>
      <w:r>
        <w:t>Document ID DEALNEW020150316eb390000a</w:t>
      </w:r>
    </w:p>
    <w:p>
      <w:r>
        <w:t>RegenMedTX has agreed to pay $1.5 million in cash for the debtor's assets. Under the deal, secured creditors Deerfield Special Situations Fund LP, RA Capital Healthcare Funds LP and Celgene Corp. (CELG) will assign $20.56 million in claims to the buyer in exchange for 25% of the aggregate membership interests in the buyer, a clinical-stage company developing regenerative products.</w:t>
        <w:br/>
        <w:br/>
        <w:t>The buyer will acquire all the debtor's intellectual property and biological samples related to its trials housed at its Winston-Salem, N.C., headquarters. (Three employees have been regularly monitoring the headquarters, including responding to any alarms at the property.)</w:t>
        <w:br/>
        <w:br/>
        <w:t>No other offers for the assets were submitted by the Friday sale hearing, according to Jeffrey Testa of McCarter &amp; English LLP, counsel to Chapter 7 trustee Charles A. Stanziale Jr.</w:t>
        <w:br/>
        <w:br/>
        <w:t>"We think it's a great result whenever a trustee can both save a business and be in a position to make a distribution to unsecured creditors, so we believe it's a win-win," Testa said. He added that 5% of the net sale proceeds will be set aside to fund a recovery to unsecured creditors.</w:t>
        <w:br/>
        <w:br/>
        <w:t>Stanziale said the buyer intended to put up the money to continue the approval process for Tengion's regenerative medicine.</w:t>
        <w:br/>
        <w:br/>
        <w:t>He said that process could cost "in the tens of millions of dollars" and estimated it could take up to three years. Keeping the patents alone costs $100,000 per month, Stanziale said.</w:t>
        <w:br/>
        <w:br/>
        <w:t>Stanziale, who acknowledged the sale would not "in my view come close to paying creditors," added: "Is it a plus to have the research and [U.S. Food and Drug Administration] approval [process] go forward in what may be a breakthrough health remedy? That's a different story, and that's a good thing."&lt;STORY_PAGE_BREAK/&gt;</w:t>
        <w:br/>
        <w:br/>
        <w:t>He continued, "So all of the time and the effort and the money that has been spent for research and approval will not go out the window."</w:t>
        <w:br/>
        <w:br/>
        <w:t>Stanziale said the buyer originally did not offer to include a credit bid component and only offered $600,000 cash, but he and his team "talked them up significantly."</w:t>
        <w:br/>
        <w:br/>
        <w:t>The deal was scheduled to close Monday.</w:t>
        <w:br/>
        <w:br/>
        <w:t>"It had to be done quickly because the research that was in cold storage needed to be attended to, and we couldn't take the risk of losing the currency on the patents and losing the frozen research [by waiting]," he said. "We couldn't put that in jeopardy."</w:t>
        <w:br/>
        <w:br/>
        <w:t>Stanziale said he was satisfied there wouldn't be a higher offer for the assets because they had been "well shopped" before and during bankruptcy.</w:t>
        <w:br/>
        <w:br/>
        <w:t>Court papers show the company has made the necessary payments to maintain the clinical programs and research through December.</w:t>
        <w:br/>
        <w:br/>
        <w:t>In a Feb. 12 motion, Stanziale said that in his business judgment the offer from RegenMedTX, which would relieve the estate of the secured claims, was superior to any bid from a third-party buyer.&lt;STORY_PAGE_BREAK/&gt;</w:t>
        <w:br/>
        <w:br/>
        <w:t>"As a result, the Chapter 7 trustee believes that the buyer's offer for the assets is the highest or otherwise best offer that can be obtained under the circumstances," he said in the document.</w:t>
        <w:br/>
        <w:br/>
        <w:t>Tengion's first clinical program was its Neo-Kidney Augment, intended to prevent or delay dialysis and transplantation by boosting renal function in patients that have advanced chronic kidney disease, according to its website. The debtor had received regulatory approval to begin clinical trials on the product.</w:t>
        <w:br/>
        <w:br/>
        <w:t>Additionally, the company's second clinical program, Neo-Urinary Conduit, was in clinical trials. The product is an implant made from a patient's own cells and is "intended to catalyze regeneration of native-like urinary tissue, thereby eliminating the need to use bowel tissue in the current standard of care surgery," the company said on its website.</w:t>
        <w:br/>
        <w:br/>
        <w:t>Faced with a funding shortage, Tengion submitted a Chapter 7 petition on Dec. 29, just after the company warned of a potential filing.</w:t>
        <w:br/>
        <w:br/>
        <w:t>The company's board of directors on Dec. 1 voted to terminate all 29 employees, who served in research, development, financial and administrative roles, according to a Dec. 5 filing with the Securities and Exchange Commission. The debtor said it would pay out $916,000 in severance payments in the fourth quarter of 2014.</w:t>
        <w:br/>
        <w:br/>
        <w:t>Tengion opted to let go of the employees to preserve cash, as it faced high operating expenditures and debt repayments.</w:t>
        <w:br/>
        <w:br/>
        <w:t>"Despite these cost-cutting measures, if financing is not obtained, the company will not be able to remain in business and will likely need to seek protection under the U.S. bankruptcy laws," the company warned in the filing.&lt;STORY_PAGE_BREAK/&gt;</w:t>
        <w:br/>
        <w:br/>
        <w:t>Tengion announced on Sept. 22 that it had retained Jefferies LLC as financial adviser to assist it with "reviewing and structuring potential strategic transactions."</w:t>
        <w:br/>
        <w:br/>
        <w:t>On March 26, auditor Ernst &amp; Young LLP had issued a going concern warning for the company due to its recurring losses from operations and cash flow deficit.</w:t>
        <w:br/>
        <w:br/>
        <w:t>In a Nov. 14 statement, Tengion said that it had experienced an adjusted net loss of $6.6 million for the three months ended Sept. 30.</w:t>
        <w:br/>
        <w:br/>
        <w:t>The company blamed the loss on a rise in research and development expenses and administrative costs. The company also said legal costs related to the preparation of a market assessment of its kidney program also constrained cash flow.</w:t>
        <w:br/>
        <w:br/>
        <w:t>For the nine months ended Sept. 30, Tengion reported a $19.3 million adjusted net loss on no revenue.</w:t>
        <w:br/>
        <w:br/>
        <w:t>In its latest quarterly report, the company listed $9.62 million in assets and $93 million in liabilities as of Sept. 30. (In its petition, Tengion reported $1 million to $10 million in assets and $10 million to $50 million in liabilities.)</w:t>
        <w:br/>
        <w:br/>
        <w:t>Tengion on July 1, 2013, raised $33.6 million in a private placement to fund Phase 1 clinical trials of its kidney program.</w:t>
        <w:br/>
        <w:br/>
        <w:t>The company's shares, which trade on the OTC Pink tier of OTC Markets, closed down 25% at 0.15 cents Monday.</w:t>
        <w:br/>
        <w:br/>
        <w:t>Matthew P. Ward of Womble Carlyle Sandridge &amp; Rice LLP represents RegenMedTX. &lt;STORY_PAGE_BREAK/&gt;</w:t>
        <w:br/>
        <w:br/>
        <w:t>Jeff J. Friedman of Katten Muchin Rosenman LLP is counsel to Deerfield.</w:t>
      </w:r>
    </w:p>
    <w:p>
      <w:pPr>
        <w:pStyle w:val="Heading1"/>
      </w:pPr>
      <w:r>
        <w:t>End of Article 21</w:t>
      </w:r>
    </w:p>
    <w:p>
      <w:r>
        <w:br w:type="page"/>
      </w:r>
    </w:p>
    <w:p>
      <w:pPr>
        <w:pStyle w:val="Heading1"/>
      </w:pPr>
      <w:r>
        <w:t>Start of Article 22</w:t>
      </w:r>
    </w:p>
    <w:p>
      <w:pPr>
        <w:pStyle w:val="Heading1"/>
      </w:pPr>
      <w:r>
        <w:t>Document ID OBWK000020150522eb5u000dt</w:t>
      </w:r>
    </w:p>
    <w:p>
      <w:r>
        <w:t>Alan Milinazzo, CEO of InspireMD, commented, "EuroPCR is a major annual meeting for InspireMD and we have a very busy schedule of meetings with customers, distributors and potential future partners ahead. We look forward to productive sessions and making progress on our many initiatives."</w:t>
        <w:br/>
        <w:br/>
        <w:t>Milinazzo continued, "Feedback on our CGuard Embolic Prevention system has been positive, with solid physician interest and the device steadily gaining market traction. We look forward to the clinical presentations at EuroPCR 2015 from a range of physicians, including Dr. Piotr Musialek of Poland and Dr. Joachim Schofer of Germany."</w:t>
        <w:br/>
        <w:br/>
        <w:t>Keywords for this news article include: Cardiology, Technology, Cardio Device, Cardiovascular, InspireMD Inc., Medical Devices.</w:t>
        <w:br/>
        <w:br/>
        <w:t>Our reports deliver fact-based news of research and discoveries from around the world. Copyright 2015, NewsRx LLC</w:t>
      </w:r>
    </w:p>
    <w:p>
      <w:pPr>
        <w:pStyle w:val="Heading1"/>
      </w:pPr>
      <w:r>
        <w:t>End of Article 22</w:t>
      </w:r>
    </w:p>
    <w:p>
      <w:r>
        <w:br w:type="page"/>
      </w:r>
    </w:p>
    <w:p>
      <w:pPr>
        <w:pStyle w:val="Heading1"/>
      </w:pPr>
      <w:r>
        <w:t>Start of Article 23</w:t>
      </w:r>
    </w:p>
    <w:p>
      <w:pPr>
        <w:pStyle w:val="Heading1"/>
      </w:pPr>
      <w:r>
        <w:t>Document ID IUST000020150424eb4o0000h</w:t>
      </w:r>
    </w:p>
    <w:p>
      <w:r>
        <w:t>The main component of the joint industry proposal is to have regulators on both sides of the Atlantic -- the FDA and the European Medicines Agency (EMA) -- permit generic drug companies to submit the same clinical test data showing the safety and efficacy of a drug in either jurisdiction when applying for marketing authorization.</w:t>
        <w:br/>
        <w:br/>
        <w:t>For example, if the FDA and EMA have both approved the same brand-name drug in their markets, and a European company has already won approval to sell a generic version of the drug in the EU, it would not have to repeat the various studies necessary to show the equivalence of its product to the brand-name version in the U.S. Instead, the company could submit all the same data it gave to the EMA.</w:t>
        <w:br/>
        <w:br/>
        <w:t>An earlier version of the proposal was floated by the European Generic Medicines Association (EGA) to the European Commission in January, and EU negotiators mentioned the proposal at the last TTIP round in Brussels in early February (Inside U.S. Trade, Feb 13). The initial U.S. reaction, however, was skeptical, according to one industry source.</w:t>
        <w:br/>
        <w:br/>
        <w:t>The commission subsequently asked EGA to seek formal support from its U.S. counterpart, the Generic Pharmaceutical Association (GPhA), in order to show that both groups are aligned. With the joint position paper, the commission this week planned to engage in more substantive talks on the proposal, the source said.</w:t>
        <w:br/>
        <w:br/>
        <w:t>The new paper is essentially identical to the earlier EGA draft, although it contains new information about the legal environment for generic drug approvals in the United States.</w:t>
        <w:br/>
        <w:br/>
        <w:t>Under the proposal, a generic drug company seeking marketing approval would still bear the burden of proving that the brand-name drug -- or "reference product" -- that was the subject of its application in the EU is the same as the brand-name drug already approved in the United States, and vice versa.</w:t>
        <w:br/>
        <w:br/>
        <w:t>From a legal perspective, the position paper from the groups argue that neither the U.S. or EU would have to alter the underlying statutes governing drug approval. But it would require both sides to take steps clarifying that firms may use a reference product approved in the jurisdiction of either the U.S. or EU, the paper indicates.</w:t>
        <w:br/>
        <w:br/>
        <w:t>For the EU, this would require the European Commission to "align" its interpretation of provisions on the authorization of generic drugs in the relevant law -- Directive 2001/83/EC -- with its interpretation of similar provisions on so-called "biosimilars," the paper says.</w:t>
        <w:br/>
        <w:br/>
        <w:t>Biosimilars are essentially generic versions of advanced biologic drugs, but have different authorization requirements, as it is impossible to exactly replicate the reference product because they are such complex molecules. Under an agreement reached last year through the International Generic Drug Regulators Pilot, the U.S. and EU issued guidelines that allow the makers of biosimilars to use a reference product authorized in the other's market.</w:t>
        <w:br/>
        <w:br/>
        <w:t>But no such guidelines exist for regular -- or small-molecule -- generic drugs, and the EGA-GPhA paper says that EU authorities have generally required the reference product to be sourced from within the European Economic Area, which encompasses the EU's 28 member states along with Iceland, Liechtenstein, Norway and Switzerland.</w:t>
        <w:br/>
        <w:br/>
        <w:t>For the U.S., the paper says that nothing in the FDA's statute explicitly prevents the use of a foreign reference product in submitting an application for a generic pharmaceutical approval. But it recommends that FDA issue guidance explicitly stating that applicants may use a non-U.S. reference drug, "provided the applicant suitably demonstrates that the foreign reference product is representative of the listed drug marketed in the U.S."</w:t>
        <w:br/>
        <w:br/>
        <w:t xml:space="preserve">Officials at the European Commission and the FDA contacted by Inside U.S. Trade were not able to comment for this story. </w:t>
      </w:r>
    </w:p>
    <w:p>
      <w:pPr>
        <w:pStyle w:val="Heading1"/>
      </w:pPr>
      <w:r>
        <w:t>End of Article 23</w:t>
      </w:r>
    </w:p>
    <w:p>
      <w:r>
        <w:br w:type="page"/>
      </w:r>
    </w:p>
    <w:p>
      <w:pPr>
        <w:pStyle w:val="Heading1"/>
      </w:pPr>
      <w:r>
        <w:t>Start of Article 24</w:t>
      </w:r>
    </w:p>
    <w:p>
      <w:pPr>
        <w:pStyle w:val="Heading1"/>
      </w:pPr>
      <w:r>
        <w:t>Document ID CTRW000020150424eb4r000ga</w:t>
      </w:r>
    </w:p>
    <w:p>
      <w:r>
        <w:t>The news correspondents obtained a quote from the research from McMaster University, "Any patient aged 12 years or older who was scheduled for open appendectomy for acute appendicitis was included. Patients were assigned to two groups. Group 1 (n=52) had the standard five-minute skin preparation with 10% povidone-iodine soap followed by the application of an antimicrobial film incise drape, and group 2 (n=39) had the standard skin preparation alone. Six (11.5%) of the 52 patients who had the antimicrobial film incise drape and two (5.1%) of the 39 patients who did not have the drape developed SSI (p=NS). Of the six patients in the antimicrobial film group with post-operative SSI, three had a perforated appendix, two had a gangrenous appendix, and one had an inflamed appendix. In group 2, one patient had an inflamed appendix and the other had a perforated appendix. The median length of stay in the hospital was two days (range 1-11 days) for both groups. Our study did not support the view that antimicrobial film incise drapes can lower the rate of post-appendectomy SSI."</w:t>
        <w:br/>
        <w:br/>
        <w:t>According to the news reporters, the research concluded: "Moreover, the length of stay was not minimized by the use of these drapes."</w:t>
        <w:br/>
        <w:br/>
        <w:t>For more information on this research see: Post-Appendectomy Surgical Site Infection Rate after Using an Antimicrobial Film Incise Drape: A Prospective Study. Surgical Infections, 2015;16(2):155-158. Surgical Infections can be contacted at: Mary Ann Liebert, Inc, 140 Huguenot Street, 3RD Fl, New Rochelle, NY 10801, USA. (Mary Ann Liebert, Inc. - www.liebertpub.com; Surgical Infections - www.liebertpub.com/overview/surgical-infections/53/)</w:t>
        <w:br/>
        <w:br/>
        <w:t>Our news journalists report that additional information may be obtained by contacting S.M. Al-Qahtani, McMaster University, Dept. of Clin Epidemiol &amp; Biostat, Hamilton, ON, Canada. Additional authors for this research include H.M. Al-Amoudi, S. Al-Jehani, A.S. Ashour, M.R. Abd-Hammad, O.R. Tawfik, M.M. Baslaim and F. Farrokhyar.</w:t>
        <w:br/>
        <w:br/>
        <w:t>Keywords for this news article include: Canada, Ontario, Hamilton, Clinical Research, North and Central America, Clinical Trials and Studies</w:t>
        <w:br/>
        <w:br/>
        <w:t>Our reports deliver fact-based news of research and discoveries from around the world. Copyright 2015, NewsRx LLC</w:t>
      </w:r>
    </w:p>
    <w:p>
      <w:pPr>
        <w:pStyle w:val="Heading1"/>
      </w:pPr>
      <w:r>
        <w:t>End of Article 24</w:t>
      </w:r>
    </w:p>
    <w:p>
      <w:r>
        <w:br w:type="page"/>
      </w:r>
    </w:p>
    <w:p>
      <w:pPr>
        <w:pStyle w:val="Heading1"/>
      </w:pPr>
      <w:r>
        <w:t>Start of Article 25</w:t>
      </w:r>
    </w:p>
    <w:p>
      <w:pPr>
        <w:pStyle w:val="Heading1"/>
      </w:pPr>
      <w:r>
        <w:t>Document ID DNVR000020151227ebco0000d</w:t>
      </w:r>
    </w:p>
    <w:p>
      <w:r>
        <w:t>KaloBios was running out of money and planning to suspend its research programs and shut down operations in November. That's when Shkreli, the CEO of Turing Pharmaceuticals Inc., swooped in and gained controlling interest of KaloBios stock. Shkreli immediately was named CEO and chairman of the board of the drug developer.</w:t>
        <w:br/>
        <w:br/>
        <w:t>In a statement Wednesday, KaloBios said that Nasdaq wrote that it will be removed from trading on Dec. 30 if KaloBios doesn't appeal. The company has not decided whether it will appeal.</w:t>
        <w:br/>
        <w:br/>
        <w:t>Nasdaq cited reasons for the delisting including the indictment and arrest of Shkreli and an outside attorney for KaloBios, Evan Greebel, plus the company's noncompliance with Nasdaq financial reporting rules.</w:t>
        <w:br/>
        <w:br/>
        <w:t>Shkreli resigned Friday as CEO of Turing, which has offices in New York and Zug, Switzerland.</w:t>
      </w:r>
    </w:p>
    <w:p>
      <w:pPr>
        <w:pStyle w:val="Heading1"/>
      </w:pPr>
      <w:r>
        <w:t>End of Article 25</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7" ma:contentTypeDescription="Create a new document." ma:contentTypeScope="" ma:versionID="e87a22b1668461aaba1cb243e9c1a54a">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50a2de1385131c5aef9d9d9626e0b05"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DF8BA3E-1B96-4310-B908-A8B95CF06790}"/>
</file>

<file path=customXml/itemProps3.xml><?xml version="1.0" encoding="utf-8"?>
<ds:datastoreItem xmlns:ds="http://schemas.openxmlformats.org/officeDocument/2006/customXml" ds:itemID="{398A440E-DC54-466B-88E3-CA8E7AE1E406}"/>
</file>

<file path=customXml/itemProps4.xml><?xml version="1.0" encoding="utf-8"?>
<ds:datastoreItem xmlns:ds="http://schemas.openxmlformats.org/officeDocument/2006/customXml" ds:itemID="{7BDBB4F2-5DF7-4AD2-932E-9BD59CD037A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