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5814001A" wp14:textId="77777777">
      <w:pPr>
        <w:pStyle w:val="Heading1"/>
      </w:pPr>
      <w:r>
        <w:t>Document ID PRESSA0020151008eba8003uy</w:t>
      </w:r>
    </w:p>
    <w:p xmlns:wp14="http://schemas.microsoft.com/office/word/2010/wordml" w14:paraId="15699540" wp14:textId="77777777">
      <w:r>
        <w:t>Brian brings more than 25 years of global commercial experience to Telesta Therapeutics, having held positions in both top-tier and start-up U.S. biopharmaceutical companies. Most recently Brian was the Vice President of Market Access at Horizon Pharma where he played a key leadership role in building Horizon's orphan commercial business capabilities after two major company acquisitions. Prior to Horizon Pharma, Brian helped build the commercial organization at Dendreon in preparation for the launch of Provenge™, successfully securing a positive national coverage decision for the first and only FDA approved immunotherapy for advanced prostate cancer. Brian is a seasoned biotechnology and pharmaceutical industry professional with broad experience in the commercial sector including multiple product launches at Novartis and Merck where he held positions in marketing, managed markets and sales leadership. Brian graduated with a B.S. in physiology and an M.S. in Business and Healthcare Administration from Central Michigan University.</w:t>
      </w:r>
      <w:r>
        <w:br/>
      </w:r>
      <w:r>
        <w:br/>
      </w:r>
      <w:r>
        <w:t>Commenting on this appointment, Dr. Michael Berendt, Chief Executive Officer and Chief Scientist declared "I am very pleased to announce this strategic appointment today.  Brian's engagement as Chief Commercial Officer and his addition to our senior management team is a significant advance in our preparation for the commercial launch of MCNA in the United States.  His unique experience in launch preparation, commercial operations and urology/uro-oncology will permit us to ensure a successful product launch for MCNA which could become the first new therapeutic for the treatment of high risk non-muscle invasive bladder cancer patients in decades."</w:t>
      </w:r>
      <w:r>
        <w:br/>
      </w:r>
      <w:r>
        <w:br/>
      </w:r>
      <w:r>
        <w:t xml:space="preserve">About MCNA </w:t>
      </w:r>
      <w:r>
        <w:br/>
      </w:r>
      <w:r>
        <w:br/>
      </w:r>
      <w:r>
        <w:t>MCNA is a biologic therapy developed to provide high risk non-muscle invasive bladder cancer patients who are refractory to or relapsing from first line therapy with bacillus Calmette-Guérin (BCG), with a therapeutic alternative to surgery. MCNA is derived from the cell wall fractionation of a non-pathogenic bacteria.  Its activity is believed to be through a dual mechanism of immune stimulation and direct anti-cancer effects. MCNA was developed to be delivered as a sterile suspension for intravesical administration by urologists and urology nurses, following the same dosing paradigm as first line BCG therapy, with the advantage that it can be prepared, handled and disposed of easily and safely. The efficacy, duration of response and safety data from MCNA's pivotal Phase 3 trial was recently published in The Journal of Urology.  The FDA has set February 27, 2016 as its review goal date for MCNA's potential approval.</w:t>
      </w:r>
      <w:r>
        <w:br/>
      </w:r>
      <w:r>
        <w:br/>
      </w:r>
      <w:r>
        <w:t>--------------------------------------------------</w:t>
      </w:r>
      <w:r>
        <w:br/>
      </w:r>
      <w:r>
        <w:br/>
      </w:r>
      <w:r>
        <w:t>1. Mycobacterium phlei cell wall-nucleic acid complex</w:t>
      </w:r>
      <w:r>
        <w:br/>
      </w:r>
      <w:r>
        <w:br/>
      </w:r>
      <w:r>
        <w:t>About Telesta Therapeutics Inc.</w:t>
      </w:r>
      <w:r>
        <w:br/>
      </w:r>
      <w:r>
        <w:br/>
      </w:r>
      <w:r>
        <w:t>Telesta Therapeutics Inc. is a late stage therapeutics company with near term commercial potential focused on the manufacturing, marketing and licensing/acquisition of proprietary and innovative therapies for the global health market. The Company's primary goal is to develop and commercialize products that advance human health and increase shareholder value. For more information, please visit http://www.telestatherapeutics.com.</w:t>
      </w:r>
      <w:r>
        <w:br/>
      </w:r>
      <w:r>
        <w:br/>
      </w:r>
      <w:r>
        <w:t xml:space="preserve">Except for historical information, this news release may contain "forward-looking statements" and "forward-looking information" within the meaning of applicable securities laws that reflect the Company's current expectation regarding future events. Forward-looking statements and information are necessarily based upon a number of estimates and assumptions that, while, considered reasonable by management, are inherently subject to significant business, economic and competitive uncertainties and contingencies. Readers are cautioned that any such forward-looking statements and information are not guarantees and there can be no assurance that such statements and information will prove to be accurate, and actual results and future events could differ materially from those anticipated in such statements and information. These forward-looking statements and information involve risk and uncertainties, which may cause, but are not limited to, changing market conditions, the successful and timely completion of clinical studies, the establishment of corporate alliances, the impact of competitive products and pricing, new product development, uncertainties related to the regulatory approval process, and other risks detailed from time to time in the Company's ongoing quarterly and annual reporting. The Company expressly disclaims any intention or obligation to update or revise any forward-looking statements and information whether as a result of new information, future events or otherwise. All written and oral forward-looking statements and information attributable to us or persons acting on our behalf are expressly qualified in their entirety by the foregoing cautionary statements.  </w:t>
      </w:r>
      <w:r>
        <w:br/>
      </w:r>
      <w:r>
        <w:br/>
      </w:r>
      <w:r>
        <w:t>For further information:</w:t>
      </w:r>
      <w:r>
        <w:br/>
      </w:r>
      <w:r>
        <w:br/>
      </w:r>
      <w:r>
        <w:t>Donald Olds, Chief Operating Officer</w:t>
      </w:r>
      <w:r>
        <w:br/>
      </w:r>
      <w:r>
        <w:br/>
      </w:r>
      <w:r>
        <w:t>Telesta Therapeutics Inc.</w:t>
      </w:r>
      <w:r>
        <w:br/>
      </w:r>
      <w:r>
        <w:br/>
      </w:r>
      <w:r>
        <w:t>Telephone: +1(514)394-7921</w:t>
      </w:r>
      <w:r>
        <w:br/>
      </w:r>
      <w:r>
        <w:br/>
      </w:r>
      <w:r>
        <w:t>Donald.Olds@telestatherapeutics.com</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587087C3" wp14:textId="77777777">
      <w:pPr>
        <w:pStyle w:val="Heading1"/>
      </w:pPr>
      <w:r>
        <w:t>Document ID PRESSA0020150504eb54000jh</w:t>
      </w:r>
    </w:p>
    <w:p xmlns:wp14="http://schemas.microsoft.com/office/word/2010/wordml" w14:paraId="3255453B" wp14:textId="77777777">
      <w:r>
        <w:t>SciBase, a Swedish medical technology company that has developed a unique point-of-care device for the accurate detection of malignant melanoma, has signed an exclusive distribution contract with Austrian distributor Intramed Handels Ges.m.b.H. Initial sales effort of SciBase’s product Nevisense will focus on the private dermatologists in Austria.</w:t>
      </w:r>
      <w:r>
        <w:br/>
      </w:r>
      <w:r>
        <w:br/>
      </w:r>
      <w:r>
        <w:t>“We specialize in finding new innovative technologies that improve health care for both patients and physicians. Skin cancer is a growing global health problem and during our evaluation of Nevisense we received excellent feedback about the instrument from the dermatologists we talked to. Nevisense is a perfect fit for us and is complementary to our existing product range”, says Manfred Schartner, CEO at Intramed.</w:t>
      </w:r>
      <w:r>
        <w:br/>
      </w:r>
      <w:r>
        <w:br/>
      </w:r>
      <w:r>
        <w:t>Approximately 40 percent of Austria’s dermatologists are active in the private health sector, which is the primary target group in the first phase of marketing Nevisense. [1]</w:t>
      </w:r>
      <w:r>
        <w:br/>
      </w:r>
      <w:r>
        <w:br/>
      </w:r>
      <w:r>
        <w:t>“This agreement takes us one step further in our global expansion and commercialization. In Austria we are focusing on establishing our method among private dermatologists first as the public sector usually takes longer to adopt new technologies. We see good potential and interest for Nevisense in Austria”, says Simon Grant, CEO at SciBase.</w:t>
      </w:r>
      <w:r>
        <w:br/>
      </w:r>
      <w:r>
        <w:br/>
      </w:r>
      <w:r>
        <w:t>Skin cancer is one of the most common cancers in the world, accounting for nearly half of all cancers. It has been estimated that nearly half of all Americans who live to age 65 will develop skin cancer at least once. Malignant melanoma is the most fatal form of skin cancer causing the majority (75%) of deaths related to skin cancer. Worldwide, doctors diagnose about 230,000 new cases of melanoma yearly. The key to management is early detection, which is a challenge due to lack of objective tools for diagnosis, a problem that Nevisense addresses.</w:t>
      </w:r>
      <w:r>
        <w:br/>
      </w:r>
      <w:r>
        <w:br/>
      </w:r>
      <w:r>
        <w:t>Intramed is based in Vienna but covers all of Austria. They are one of Austria’s leading distributors of innovative health care equipment.</w:t>
      </w:r>
      <w:r>
        <w:br/>
      </w:r>
      <w:r>
        <w:br/>
      </w:r>
      <w:r>
        <w:t>For more information, please contact:</w:t>
      </w:r>
      <w:r>
        <w:br/>
      </w:r>
      <w:r>
        <w:br/>
      </w:r>
      <w:r>
        <w:t>Simon Grant, CEO</w:t>
      </w:r>
      <w:r>
        <w:br/>
      </w:r>
      <w:r>
        <w:br/>
      </w:r>
      <w:r>
        <w:t>Tel: +46 72 887 43 99</w:t>
      </w:r>
      <w:r>
        <w:br/>
      </w:r>
      <w:r>
        <w:br/>
      </w:r>
      <w:r>
        <w:t>Email: simon.grant@scibase.com</w:t>
      </w:r>
      <w:r>
        <w:br/>
      </w:r>
      <w:r>
        <w:br/>
      </w:r>
      <w:r>
        <w:t>About SciBase and Nevisense</w:t>
      </w:r>
      <w:r>
        <w:br/>
      </w:r>
      <w:r>
        <w:br/>
      </w:r>
      <w:r>
        <w:t>SciBase AB is a Swedish medical technology company, headquartered in Stockholm, that has developed a unique point-of-care device for the accurate detection of malignant melanoma. Its product, Nevisense, helps doctors to detect malignant melanoma, the most dangerous type of skin cancer. SciBase was founded by Stig Ollmar, Associate Professor at The Karolinska Institute in Stockholm, Sweden. Nevisense is based on substantial research and has achieved excellent results in the largest clinical study ever conducted on the detection of malignant melanoma. Nevisense is CE marked in Europe, has TGA approval in Australia, and is awaiting FDA clearance in the United States. Nevisense is based on a technology called Electrical Impedance Spectroscopy (EIS), which uses the varying electrical properties of human tissue to categorize cellular structures and thereby detect malignancies. Further is available on www.scibase.com.</w:t>
      </w:r>
      <w:r>
        <w:br/>
      </w:r>
      <w:r>
        <w:br/>
      </w:r>
      <w:r>
        <w:t>[1] Statistics according to Business Sweden.</w:t>
      </w:r>
      <w:r>
        <w:br/>
      </w:r>
      <w:r>
        <w:br/>
      </w:r>
      <w:r>
        <w:t>This information was brought to you by Cision http://news.cision.com</w:t>
      </w:r>
      <w:r>
        <w:br/>
      </w:r>
      <w:r>
        <w:br/>
      </w:r>
      <w:r>
        <w:t>Contact:</w:t>
      </w:r>
      <w:r>
        <w:br/>
      </w:r>
      <w:r>
        <w:br/>
      </w:r>
      <w:r>
        <w:t>SciBase</w:t>
      </w:r>
      <w:r>
        <w:br/>
      </w:r>
      <w:r>
        <w:br/>
      </w:r>
      <w:r>
        <w:t>Simon Grant, +46 72 887 43 99</w:t>
      </w:r>
      <w:r>
        <w:br/>
      </w:r>
      <w:r>
        <w:br/>
      </w:r>
      <w:r>
        <w:t>CEO</w:t>
      </w:r>
      <w:r>
        <w:br/>
      </w:r>
      <w:r>
        <w:br/>
      </w:r>
      <w:r>
        <w:t>simon.grant@scibase.com</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259D4275" wp14:textId="77777777">
      <w:pPr>
        <w:pStyle w:val="Heading1"/>
      </w:pPr>
      <w:r>
        <w:t>Document ID MPRMPR0020150929eb9s0000b</w:t>
      </w:r>
    </w:p>
    <w:p xmlns:wp14="http://schemas.microsoft.com/office/word/2010/wordml" w14:paraId="119ECA39" wp14:textId="77777777">
      <w:r>
        <w:t>The autoinjector will be available for patients taking Betaseron (interferon beta-1b). After preparing Betaserson lyophilized powder, patients may administer the drug using Betaconnect with the specific syringes provided in the packaging. The autoinjector allows customizable injection speed and depth settings for quiet and precise injections. It also offers an optional back-up reminder function to alert patients when it is time for their next injection. The automatic needle insertion and retraction with a visual and audio end-of-dose indication informs patients when the injection is complete.</w:t>
      </w:r>
      <w:r>
        <w:br/>
      </w:r>
      <w:r>
        <w:br/>
      </w:r>
      <w:r>
        <w:t>RELATED: Ocrelizumab: Promising Results for Primary Progressive MS</w:t>
      </w:r>
      <w:r>
        <w:br/>
      </w:r>
      <w:r>
        <w:br/>
      </w:r>
      <w:r>
        <w:t>The immunomodulatory effects of interferon beta-1b include the enhancement of suppressor T cell activity, reduction of proinflammatory cytokine production, down-regulation of antigen presentation, and inhibition of lymphocyte trafficking into the central nervous system.</w:t>
      </w:r>
      <w:r>
        <w:br/>
      </w:r>
      <w:r>
        <w:br/>
      </w:r>
      <w:r>
        <w:t>Betaseron is currently supplied as single-use vials in 5- or 14-count cartons. Betaconnect autoinjector is anticipated to be available starting in early 2016.</w:t>
      </w:r>
      <w:r>
        <w:br/>
      </w:r>
      <w:r>
        <w:br/>
      </w:r>
      <w:r>
        <w:t>For more information call (888) 842-2937 or visit Bayer.com.</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0332C32F" wp14:textId="77777777">
      <w:pPr>
        <w:pStyle w:val="Heading1"/>
      </w:pPr>
      <w:r>
        <w:t>Document ID HTACCF0020150319eb3j000a1</w:t>
      </w:r>
    </w:p>
    <w:p xmlns:wp14="http://schemas.microsoft.com/office/word/2010/wordml" w14:paraId="145D1541" wp14:textId="77777777">
      <w:r>
        <w:t xml:space="preserve"> The company's robust product portfolio is spread over 6 major therapeutic/product areas encompassing Antibiotics, Anti-Retrovirals, CVS, CNS, Gastroenterologicals, and Anti-Allergics, supported by an outstanding R&amp;D set-up.</w:t>
      </w:r>
      <w:r>
        <w:br/>
      </w:r>
      <w:r>
        <w:br/>
      </w:r>
      <w:r>
        <w:t>Published by HT Syndication with permission from Accord Fintech.</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59B6B4F8" wp14:textId="77777777">
      <w:pPr>
        <w:pStyle w:val="Heading1"/>
      </w:pPr>
      <w:r>
        <w:t>Document ID ENPNEW0020150914eb9e00078</w:t>
      </w:r>
    </w:p>
    <w:p xmlns:wp14="http://schemas.microsoft.com/office/word/2010/wordml" w14:paraId="1C1397EF" wp14:textId="77777777">
      <w:r>
        <w:t>DaTscan is the FDA-approved imaging agent which provides an assessment of the integrity of the striatal dopaminergic system via the dopamine transporter to help physicians determine whether patients have essential tremor (ET) or a parkinsonian syndrome (PS) movement disorder such as Parkinson’s disease (PD). The action may help ensure that more healthcare providers and patients with a suspected PS or ET across the United States will have access to imaging with this agent.</w:t>
      </w:r>
      <w:r>
        <w:br/>
      </w:r>
      <w:r>
        <w:br/>
      </w:r>
      <w:r>
        <w:t>DaTscan is a radioactive drug that is injected into the bloodstream to help image areas of the brain using an imaging technique called ‘SPECT’ (single-photon emission computed tomography). For an adult with a suspected PS, a doctor may decide to conduct SPECT imaging with DaTscan, along with other medical tests, to help decide if movement difficulties are due to a PS or a similar condition known as ET. Types of PS include PD, multiple system atrophy, and progressive supranuclear palsy. DaTscan was not designed to differentiate among different forms of PS. The effectiveness of DaTscan as a screening or confirmatory test and for monitoring disease progression or response to therapy has not been established. Movement disorders are primarily diagnosed through clinical examinations. However, clinical exams alone, particularly early in the disease, may be inconclusive and can result in misdiagnosis. The most common side effects of DaTscan are headache, upset stomach, a sensation of motion, dry mouth, and dizziness.</w:t>
      </w:r>
      <w:r>
        <w:br/>
      </w:r>
      <w:r>
        <w:br/>
      </w:r>
      <w:r>
        <w:t>‘We fully support the DEA’s decision to remove ioflupane I 123, the active ingredient in DaTscan, from the Schedules of the Controlled Substances Act,’ said Etienne Montagut, global product leader of neurology and cardiology for GE Healthcare. ‘Because of the DEA’s decision, this important imaging tool will be more widely available to the medical community. Increasing the availability of DaTscan helps us fulfill our commitment to provide innovative, high-quality, and affordable healthcare solutions to patients who need them most.’</w:t>
      </w:r>
      <w:r>
        <w:br/>
      </w:r>
      <w:r>
        <w:br/>
      </w:r>
      <w:r>
        <w:t>‘The Parkinson’s Action Network (PAN) applauds the DEA for descheduling the active ingredient in DaTscan and allowing many more people to have access to this important diagnostic tool,’ said Ted Thompson, JD, chief executive officer of PAN. ‘Having this tool available for people with suspected parkinsonian syndromes and essential tremor may help them to receive appropriate diagnosis and treatment sooner.’</w:t>
      </w:r>
      <w:r>
        <w:br/>
      </w:r>
      <w:r>
        <w:br/>
      </w:r>
      <w:r>
        <w:t>Since the approval of DaTscan in 2011, it has been listed by the DEA as a Schedule II controlled substance. This has restricted its use to only those healthcare professionals and imaging facilities registered with the DEA and able to comply with all of the requirements for the appropriate prescribing, storage, use, and disposal of Schedule II controlled substances. Descheduling has removed these roadblocks, making it easier for imaging specialists to initiate and order DaTscan, as well as to compliantly administer it in their facilities.</w:t>
      </w:r>
      <w:r>
        <w:br/>
      </w:r>
      <w:r>
        <w:br/>
      </w:r>
      <w:r>
        <w:t>GE Healthcare would like to thank the DEA, the US Food and Drug Administration, and the movement disorder community for their collaborative efforts to achieve this important milestone for Parkinson’s patients.</w:t>
      </w:r>
      <w:r>
        <w:br/>
      </w:r>
      <w:r>
        <w:br/>
      </w:r>
      <w:r>
        <w:t>[Editorial queries for this story should be sent to newswire@enpublishing.co.uk]</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094DD530" wp14:textId="77777777">
      <w:pPr>
        <w:pStyle w:val="Heading1"/>
      </w:pPr>
      <w:r>
        <w:t>Document ID NCIW000020150515eb5j00055</w:t>
      </w:r>
    </w:p>
    <w:p xmlns:wp14="http://schemas.microsoft.com/office/word/2010/wordml" w14:paraId="1DFA8277" wp14:textId="77777777">
      <w:r>
        <w:t>The news reporters obtained a quote from the research from GlaxoSmithKline, "REDUCE compared dutasteride vs placebo on prostate cancer risk among men with an elevated PSA level and negative pre-study biopsy and included two on-study biopsies regardless of PSA level at 2 and 4 years. Available data for MetS-like components included data on diabetes, hypertension, hypercholesterolaemia, and body mass index. The association between number of these MetS-like components and prostate cancer risk and low-grade (Gleason sum &lt; 7) or high-grade (Gleason sum &gt; 7) vs no prostate cancer was evaluated using logistic regression. In all, 2171 men (34%) had one MetS-like component, 724 (11%) had two, and 163 (3%) had three or four. Men with more MetS-like components had lower PSA levels (P = 0.029). One vs no MetS-like components was protective for overall prostate cancer (P = 0.041) and low-grade prostate cancer (P = 0.010). Two (P = 0.69) or three to four (P = 0.15) MetS-like components were not significantly related to prostate cancer. While one MetS-like component was unrelated to high-grade prostate cancer (P = 0.97), two (P = 0.059) or three to four MetS-like components (P = 0.02) were associated with increased high-grade prostate cancer risk, although only the latter was significant."</w:t>
      </w:r>
      <w:r>
        <w:br/>
      </w:r>
      <w:r>
        <w:br/>
      </w:r>
      <w:r>
        <w:t>According to the news reporters, the research concluded: "When biopsies are largely PSA level independent, men with an initial elevated PSA level and a previous negative biopsy, and multiple MetS-like components were at an increased risk of high-grade prostate cancer, suggesting the link between MetS-like components and high-grade prostate cancer is unrelated to a lowered PSA level."</w:t>
      </w:r>
      <w:r>
        <w:br/>
      </w:r>
      <w:r>
        <w:br/>
      </w:r>
      <w:r>
        <w:t>For more information on this research see: Metabolic syndrome-like components and prostate cancer risk: results from the Reduction by Dutasteride of Prostate Cancer Events (REDUCE) study. BJU International, 2015;115(5):736-743. BJU International can be contacted at: Wiley-Blackwell, 111 River St, Hoboken 07030-5774, NJ, USA. (Wiley-Blackwell - www.wiley.com/; BJU International - onlinelibrary.wiley.com/journal/10.1111/(ISSN)1464-410X)</w:t>
      </w:r>
      <w:r>
        <w:br/>
      </w:r>
      <w:r>
        <w:br/>
      </w:r>
      <w:r>
        <w:t>Our news correspondents report that additional information may be obtained by contacting K.N. Sourbeer, GlaxoSmithKline, Oncol Res &amp; Dev, Philadelphia, PA, United States. Additional authors for this research include L.E. Howard, G.L. Andriole, D.M. Moreira, R. Castro-Santamaria, S.J. Freedland and A.C. Vidal.</w:t>
      </w:r>
      <w:r>
        <w:br/>
      </w:r>
      <w:r>
        <w:br/>
      </w:r>
      <w:r>
        <w:t>Keywords for this news article include: Oncology, Healthcare, Philadelphia, Pennsylvania, United States, Prostate Cancer, Metabolic Syndrome, Prostatic Neoplasms, Diseases and Conditions, North and Central America, Prostate Specific Antigen</w:t>
      </w:r>
      <w:r>
        <w:br/>
      </w:r>
      <w:r>
        <w:br/>
      </w:r>
      <w:r>
        <w:t>Our reports deliver fact-based news of research and discoveries from around the world. Copyright 2015, NewsRx LLC</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4B82D5B4" wp14:textId="77777777">
      <w:pPr>
        <w:pStyle w:val="Heading1"/>
      </w:pPr>
      <w:r>
        <w:t>Document ID CTRW000020150424eb4r000ga</w:t>
      </w:r>
    </w:p>
    <w:p xmlns:wp14="http://schemas.microsoft.com/office/word/2010/wordml" w14:paraId="4B7D4779" wp14:textId="77777777">
      <w:r>
        <w:t>The news correspondents obtained a quote from the research from McMaster University, "Any patient aged 12 years or older who was scheduled for open appendectomy for acute appendicitis was included. Patients were assigned to two groups. Group 1 (n=52) had the standard five-minute skin preparation with 10% povidone-iodine soap followed by the application of an antimicrobial film incise drape, and group 2 (n=39) had the standard skin preparation alone. Six (11.5%) of the 52 patients who had the antimicrobial film incise drape and two (5.1%) of the 39 patients who did not have the drape developed SSI (p=NS). Of the six patients in the antimicrobial film group with post-operative SSI, three had a perforated appendix, two had a gangrenous appendix, and one had an inflamed appendix. In group 2, one patient had an inflamed appendix and the other had a perforated appendix. The median length of stay in the hospital was two days (range 1-11 days) for both groups. Our study did not support the view that antimicrobial film incise drapes can lower the rate of post-appendectomy SSI."</w:t>
      </w:r>
      <w:r>
        <w:br/>
      </w:r>
      <w:r>
        <w:br/>
      </w:r>
      <w:r>
        <w:t>According to the news reporters, the research concluded: "Moreover, the length of stay was not minimized by the use of these drapes."</w:t>
      </w:r>
      <w:r>
        <w:br/>
      </w:r>
      <w:r>
        <w:br/>
      </w:r>
      <w:r>
        <w:t>For more information on this research see: Post-Appendectomy Surgical Site Infection Rate after Using an Antimicrobial Film Incise Drape: A Prospective Study. Surgical Infections, 2015;16(2):155-158. Surgical Infections can be contacted at: Mary Ann Liebert, Inc, 140 Huguenot Street, 3RD Fl, New Rochelle, NY 10801, USA. (Mary Ann Liebert, Inc. - www.liebertpub.com; Surgical Infections - www.liebertpub.com/overview/surgical-infections/53/)</w:t>
      </w:r>
      <w:r>
        <w:br/>
      </w:r>
      <w:r>
        <w:br/>
      </w:r>
      <w:r>
        <w:t>Our news journalists report that additional information may be obtained by contacting S.M. Al-Qahtani, McMaster University, Dept. of Clin Epidemiol &amp; Biostat, Hamilton, ON, Canada. Additional authors for this research include H.M. Al-Amoudi, S. Al-Jehani, A.S. Ashour, M.R. Abd-Hammad, O.R. Tawfik, M.M. Baslaim and F. Farrokhyar.</w:t>
      </w:r>
      <w:r>
        <w:br/>
      </w:r>
      <w:r>
        <w:br/>
      </w:r>
      <w:r>
        <w:t>Keywords for this news article include: Canada, Ontario, Hamilton, Clinical Research, North and Central America, Clinical Trials and Studies</w:t>
      </w:r>
      <w:r>
        <w:br/>
      </w:r>
      <w:r>
        <w:br/>
      </w:r>
      <w:r>
        <w:t>Our reports deliver fact-based news of research and discoveries from around the world. Copyright 2015, NewsRx LLC</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15FE6A87" wp14:textId="77777777">
      <w:pPr>
        <w:pStyle w:val="Heading1"/>
      </w:pPr>
      <w:r>
        <w:t>Document ID GRAY000020150901eb910002v</w:t>
      </w:r>
    </w:p>
    <w:p xmlns:wp14="http://schemas.microsoft.com/office/word/2010/wordml" w14:paraId="5D03767F" wp14:textId="77777777">
      <w:r>
        <w:t>The combination product is the first new protein therapeutic-based system that FDA has PMA-approved for the U.S. orthopedics market in more than a decade, since recombinant human bone morphogenetic protein was approved with Medtronic's Infuse device in the early 2000s. But the milestone did not come easy.</w:t>
      </w:r>
      <w:r>
        <w:br/>
      </w:r>
      <w:r>
        <w:br/>
      </w:r>
      <w:r>
        <w:t>Wright acquired the platform in its 2012 acquisition of BioMimetic Therapeutics Inc. after the smaller company had been handed a "not approvable" letter for its originally submitted PMA. (See "Wright Medical emAugmentems Ortho Extremities Biz With BioMimetic Purchase" "The Gray Sheet" Nov. 26, 2012.) Since then, Wright ran into delays getting final signoff on its application due to FDA inspection observations at a component supplier for the Augment system. Since FDA granted an "approvable" letter last fall, the agency performed two pre-approval inspections of the supplier, both resulting in Form-483 observations.</w:t>
      </w:r>
      <w:r>
        <w:br/>
      </w:r>
      <w:r>
        <w:br/>
      </w:r>
      <w:r>
        <w:t>As of late July, Wright still was not sure whether a third inspection would be necessary, potentially pushing approval to 2016.</w:t>
      </w:r>
      <w:r>
        <w:br/>
      </w:r>
      <w:r>
        <w:br/>
      </w:r>
      <w:r>
        <w:t>"This approval also underscores the significant effort and perseverance from our clinical trial investigators and Wright’s clinical, regulatory and legal teams to bring the product to market," CEO Robert Palmisano said.</w:t>
      </w:r>
      <w:r>
        <w:br/>
      </w:r>
      <w:r>
        <w:br/>
      </w:r>
      <w:r>
        <w:t>The company says it plans to begin selling the product within the next several weeks and expects to generate $10 million to $12 million in U.S. revenue during the first seven to eight months on the market.</w:t>
      </w:r>
      <w:r>
        <w:br/>
      </w:r>
      <w:r>
        <w:br/>
      </w:r>
      <w:r>
        <w:t>Augment will be significant competitor in the $300 million ankle/hindfoot bone fusion space, but that is only a first step, Wright says. Ultimately, the company is developing the rhPDGF platform for use in soft-tissue procedures such as rotator cuff or tennis elbow repair, which represent a $1 billion-plus opportunity, Wright says.</w:t>
      </w:r>
      <w:r>
        <w:br/>
      </w:r>
      <w:r>
        <w:br/>
      </w:r>
      <w:r>
        <w:t>By David Filmore</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2AC2EEE3" wp14:textId="77777777">
      <w:pPr>
        <w:pStyle w:val="Heading1"/>
      </w:pPr>
      <w:r>
        <w:t>Document ID MPRMPR0020150401eb3v00006</w:t>
      </w:r>
    </w:p>
    <w:p xmlns:wp14="http://schemas.microsoft.com/office/word/2010/wordml" w14:paraId="102716D4" wp14:textId="77777777">
      <w:r>
        <w:t>Movantik is a peripherally acting mu-opioid receptor antagonist (PAMORA). It is designed to block the binding of opioids to the opioid receptors in the gastrointestinal tract without impacting the opioid receptors in the brain. Movantik was developed using Nektar Therapeutics ' oral small molecule polymer conjugate technology.</w:t>
      </w:r>
      <w:r>
        <w:br/>
      </w:r>
      <w:r>
        <w:br/>
      </w:r>
      <w:r>
        <w:t xml:space="preserve">RELATED: Movantik No Longer Controlled Substance, DEA Rules  </w:t>
      </w:r>
      <w:r>
        <w:br/>
      </w:r>
      <w:r>
        <w:br/>
      </w:r>
      <w:r>
        <w:t>Movantik was previously approved in September 2014  as a Schedule CII controlled substance because it is structurally related to noroxymorphone, but the Drug Enforcement Administration (DEA) removed it from the schedules of the Controlled Substances Act (CSA) in February 2014 . This removal was in response to a review of the available data that included scientific and medical evaluation and a recommendation from the Department of Health and Human Services (HHS ).</w:t>
      </w:r>
      <w:r>
        <w:br/>
      </w:r>
      <w:r>
        <w:br/>
      </w:r>
      <w:r>
        <w:t>Movantik is available in 12.5mg and 25mg dosage strengths.</w:t>
      </w:r>
      <w:r>
        <w:br/>
      </w:r>
      <w:r>
        <w:br/>
      </w:r>
      <w:r>
        <w:t>For more information call (800) 236-9933 or visit movantik.com .</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43E40EEB" wp14:textId="77777777">
      <w:pPr>
        <w:pStyle w:val="Heading1"/>
      </w:pPr>
      <w:r>
        <w:t>Document ID AMHL000020150513eb5d00005</w:t>
      </w:r>
    </w:p>
    <w:p xmlns:wp14="http://schemas.microsoft.com/office/word/2010/wordml" w14:paraId="63762087" wp14:textId="77777777">
      <w:r>
        <w:t>In December 2014, President Obama began to restore diplomatic ties with Cuba (Miller, "Morning Mix," Washington Post, 5/12). Obama has lifted some trade restrictions against medical and research equipment. However, Congress would need to lift the trade embargo against Cuba -- which has been in place for 55 years -- in order to increase collaborative research between the two countries, according to Wired.</w:t>
      </w:r>
      <w:r>
        <w:br/>
      </w:r>
      <w:r>
        <w:br/>
      </w:r>
      <w:r>
        <w:t>CDC: Two-Thirds of Individuals With Cancer Live at Least Five Years &gt;</w:t>
      </w:r>
      <w:r>
        <w:br/>
      </w:r>
      <w:r>
        <w:br/>
      </w:r>
      <w:r>
        <w:t>Details of Lung Cancer Vaccine</w:t>
      </w:r>
      <w:r>
        <w:br/>
      </w:r>
      <w:r>
        <w:br/>
      </w:r>
      <w:r>
        <w:t>The lung cancer vaccine, called Cimavax, was developed more than 25 years ago by Cuba's Center for Molecular Immunology. Cuba's Ministry of Health then released it to the public at no cost in 2011, with each shot of the vaccine costing the government about $1 (Wired, 5/11).</w:t>
      </w:r>
      <w:r>
        <w:br/>
      </w:r>
      <w:r>
        <w:br/>
      </w:r>
      <w:r>
        <w:t>Cimavax does not cure or prevent lung cancer ("Morning Mix," Washington Post, 5/12). Rather than combatting tumors directly, it works to keep tumors from metastasizing and growing, which can make a late-stage growth more manageable.</w:t>
      </w:r>
      <w:r>
        <w:br/>
      </w:r>
      <w:r>
        <w:br/>
      </w:r>
      <w:r>
        <w:t>A 2008 Phase II trial of Cimavax found that individuals with lung cancer who received the medication lived four to six months longer on average than those who did not.</w:t>
      </w:r>
      <w:r>
        <w:br/>
      </w:r>
      <w:r>
        <w:br/>
      </w:r>
      <w:r>
        <w:t>Agreement Details</w:t>
      </w:r>
      <w:r>
        <w:br/>
      </w:r>
      <w:r>
        <w:br/>
      </w:r>
      <w:r>
        <w:t>As part of the agreement, CMI agreed to provide Roswell Park with all documentation about Cimavax necessary for an FDA application. Roswell Park CEO Candace Johnson said she would like to receive approval to begin testing the vaccine in the U.S. in the next six to eight months and begin clinical trials in one year.</w:t>
      </w:r>
      <w:r>
        <w:br/>
      </w:r>
      <w:r>
        <w:br/>
      </w:r>
      <w:r>
        <w:t>Roswell Park officials said they intend to evaluate whether the vaccine could be used as a preventive measure. Cuba had not tested Cimavax's preventive capabilities mostly because of financial reasons, according to Wired (Wired, 5/11).</w:t>
      </w:r>
      <w:r>
        <w:br/>
      </w:r>
      <w:r>
        <w:br/>
      </w:r>
      <w:r>
        <w:t>-- compiled by Joshua Zeitlin</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09ADA0E7" wp14:textId="77777777">
      <w:pPr>
        <w:pStyle w:val="Heading1"/>
      </w:pPr>
      <w:r>
        <w:t>Document ID GLOMCP0020150730eb7u004vk</w:t>
      </w:r>
    </w:p>
    <w:p xmlns:wp14="http://schemas.microsoft.com/office/word/2010/wordml" w14:paraId="2405875A" wp14:textId="77777777">
      <w:r>
        <w:t>Joyant Pharmaceuticals (Joyant) is a drug discover company engaged in developing small molecule therapeutics for cancer. Its core competencies include, chemical synthesis biochemistry, cell biology, and pharmacology. Joyant, is focused on developing unique chemical entities that operate by new cellular mechanisms. The company was formed in 2004 with the financial backing of Sanderling Ventures. During 2005, the company has completed licensing of an intellectual property base from the University of Texas Southwestern Medical Center at Dallas. Currently, the company is active in two areas of research, Re-establishing the apoptotic pathway in cancer cells thus allowing them to die via programmed cell death, and development of a synthetic derivative of diazonamide A. The company is headquartered at Dallas in Texas, the US.</w:t>
      </w:r>
      <w:r>
        <w:br/>
      </w:r>
      <w:r>
        <w:br/>
      </w:r>
      <w:r>
        <w:t>Note</w:t>
      </w:r>
      <w:r>
        <w:br/>
      </w:r>
      <w:r>
        <w:br/>
      </w:r>
      <w: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24059C6A" wp14:textId="77777777">
      <w:pPr>
        <w:pStyle w:val="Heading1"/>
      </w:pPr>
      <w:r>
        <w:t>Document ID DRGW000020151127ebbr0002q</w:t>
      </w:r>
    </w:p>
    <w:p xmlns:wp14="http://schemas.microsoft.com/office/word/2010/wordml" w14:paraId="0C247BB5" wp14:textId="77777777">
      <w:r>
        <w:t>According to the news editors, the research concluded: "Certain limitations of commercial nanosuspension products are also reviewed."</w:t>
      </w:r>
      <w:r>
        <w:br/>
      </w:r>
      <w:r>
        <w:br/>
      </w:r>
      <w:r>
        <w:t>For more information on this research see: Nanosuspensions of poorly water-soluble drugs prepared by bottom-up technologies. International Journal of Pharmaceutics, 2015;495(2):738-749. International Journal of Pharmaceutics can be contacted at: Elsevier Science Bv, PO Box 211, 1000 Ae Amsterdam, Netherlands. (Elsevier - www.elsevier.com; International Journal of Pharmaceutics - www.journals.elsevier.com/international-journal-of-pharmaceutics/)</w:t>
      </w:r>
      <w:r>
        <w:br/>
      </w:r>
      <w:r>
        <w:br/>
      </w:r>
      <w:r>
        <w:t>Our news journalists report that additional information may be obtained by contacting J. Du, Shandong Academy Med Sci, Inst Mat Med, Jinan 250062, Shandong, People's Republic of China. Additional authors for this research include X.G. Li, H.X. Zhao, Y.Q. Zhou, L.L. Wang, S.S. Tian and Y.C. Wang.</w:t>
      </w:r>
      <w:r>
        <w:br/>
      </w:r>
      <w:r>
        <w:br/>
      </w:r>
      <w:r>
        <w:t>Keywords for this news article include: Asia, Shandong, Technology, Drugs and Therapies, People's Republic of China</w:t>
      </w:r>
      <w:r>
        <w:br/>
      </w:r>
      <w:r>
        <w:br/>
      </w:r>
      <w:r>
        <w:t>Our reports deliver fact-based news of research and discoveries from around the world. Copyright 2015, NewsRx LLC</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585AD7F1" wp14:textId="77777777">
      <w:pPr>
        <w:pStyle w:val="Heading1"/>
      </w:pPr>
      <w:r>
        <w:t>Document ID ATPHAM0020150627eb6p00093</w:t>
      </w:r>
    </w:p>
    <w:p xmlns:wp14="http://schemas.microsoft.com/office/word/2010/wordml" w14:paraId="4B05B353" wp14:textId="77777777">
      <w:r>
        <w:t>"Illumina and BioMed Realty's commitment to building a new state-of-the art facility in Cambridge is great news for our area," said George Freeman, Parliamentary Under Secretary of State for Life Sciences at the UK Department for Business, Innovation and Skills and the Department of Health. "This is a strong endorsement of the UK's Life Science Industrial Strategy and leadership in driving forward better treatments for people with cancers and rare diseases."</w:t>
      </w:r>
      <w:r>
        <w:br/>
      </w:r>
      <w:r>
        <w:br/>
      </w:r>
      <w:r>
        <w:t>"Illumina is proud of its heritage and presence in the Cambridge area, and welcomes the opportunity to continue our strong investment in the UK," said Marc Stapley, Chief Financial Officer for Illumina. "This new state-of-the-art European Headquarters will provide enhanced collaboration opportunities for our growing employee base, which is so foundational to Illumina's innovation and success."</w:t>
      </w:r>
      <w:r>
        <w:br/>
      </w:r>
      <w:r>
        <w:br/>
      </w:r>
      <w:r>
        <w:t>BioMed Realty owns, manages and operates Granta Park, a scientific research center, located eight miles from Cambridge University and currently comprising 472,200 square feet of laboratory and office space. Last year, the company acquired a 42,400 square foot build-to-suit property in development for Takeda Pharmaceutical Company in the Cambridge Science Park. With today's announcement of Illumina's new building, BioMed Realty's presence in the Cambridge, England market is approaching 700,000 square feet.</w:t>
      </w:r>
      <w:r>
        <w:br/>
      </w:r>
      <w:r>
        <w:br/>
      </w:r>
      <w:r>
        <w:t>"BioMed Realty is delighted to announce that Illumina has selected Granta Park as its European headquarters and to be expanding our relationship with Illumina into Europe," said Alan Gold, Chairman, President and CEO of BioMed Realty. "Cambridge shares key common characteristics with our core U.S. markets which is why we decided to enter the market and why we continue to grow there."</w:t>
      </w:r>
      <w:r>
        <w:br/>
      </w:r>
      <w:r>
        <w:br/>
      </w:r>
      <w:r>
        <w:t>Source: BioMed Realty Trust</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050B124D" wp14:textId="77777777">
      <w:pPr>
        <w:pStyle w:val="Heading1"/>
      </w:pPr>
      <w:r>
        <w:t>Document ID MTPW000020150911eb9a001xj</w:t>
      </w:r>
    </w:p>
    <w:p xmlns:wp14="http://schemas.microsoft.com/office/word/2010/wordml" w14:paraId="34CB5B77" wp14:textId="77777777">
      <w:r>
        <w:t xml:space="preserve"> She will report to IBM Watson Group leader Michael Rhodin.</w:t>
      </w:r>
      <w:r>
        <w:br/>
      </w:r>
      <w:r>
        <w:br/>
      </w:r>
      <w:r>
        <w:t>IBM also expanded its solutions portfolio with the introduction of IBM Watson Health Cloud for Life Sciences Compliance and IBM Watson Care Manager:</w:t>
      </w:r>
      <w:r>
        <w:br/>
      </w:r>
      <w:r>
        <w:br/>
      </w:r>
      <w:r>
        <w:t>* The IBM Watson Health Cloud for Life Sciences Compliance will help biomedical companies bring medical innovations to market more efficiently. This first-in-class solution will help the companies fast-track the deployment of a GxP compliant infrastructure and applications while adhering to stringent requirements for hosting, accessing and sharing regulated data.</w:t>
      </w:r>
      <w:r>
        <w:br/>
      </w:r>
      <w:r>
        <w:br/>
      </w:r>
      <w:r>
        <w:t>* IBM Watson Care Manager is a population health solution that uniquely integrates capabilities from Watson Health, Apple’s HealthKit and ResearchKit, a software framework designed by Apple to make it easy for researchers to conduct studies using an iPhone. It allows medical professionals’ to factor a broad range of determinants into a personalized patient engagement program, with the intent to vastly improve individual health outcomes.</w:t>
      </w:r>
      <w:r>
        <w:br/>
      </w:r>
      <w:r>
        <w:br/>
      </w:r>
      <w:r>
        <w:t>In addition, IBM announced that Boston Children’s Hospital, Columbia University, ICON plc, Sage Bionetworks and Teva Pharmaceuticals will join the roster of industry leaders that are leveraging Watson’s capabilities to transform key aspects of the healthcare ecosystem that include drug discovery and development, personalized medicine, chronic disease management, pediatrics, and digital health. They join CVS Health, Medtronic and Yale University, among others. Teva and Sage both announced the Watson Health Cloud is their organizations’ preferred development platform.</w:t>
      </w:r>
      <w:r>
        <w:br/>
      </w:r>
      <w:r>
        <w:br/>
      </w:r>
      <w:r>
        <w:t>“Watson Health is driving a new era of technology-driven health, enabling entrepreneurs and industry leaders to address diverse needs, spanning the earliest stages of research all the way through to clinical care and population health through to consumer wellness,” said Mike Rhodin, Senior Vice President, IBM Watson Group. “The variety of new partners and use cases underscores the flexibility and scalability of the IBM Watson Health Cloud to help leaders rapidly advance the state of the art in health and wellness. Further, IBM Watson Health is building for scale, with partners, offerings and now a worldwide headquarters designed to help global organizations meet the world’s pressing health needs.”</w:t>
      </w:r>
      <w:r>
        <w:br/>
      </w:r>
      <w:r>
        <w:br/>
      </w:r>
      <w:r>
        <w:t>The opening ceremony also featured demonstrations by health ecosystem partners Best Doctors, Modernizing Medicine, Pathway Genomics, Socrates and Welltok, which showed how Watson is being deployed in solutions such as enabling cost-effective second opinion services, helping optimize physician practice patterns, and supporting consumers’ ability to make informed, cost effective medical choices.</w:t>
      </w:r>
      <w:r>
        <w:br/>
      </w:r>
      <w:r>
        <w:br/>
      </w:r>
      <w:r>
        <w:t>IBM Watson Health Attracts Start-Ups and Established Leaders</w:t>
      </w:r>
      <w:r>
        <w:br/>
      </w:r>
      <w:r>
        <w:br/>
      </w:r>
      <w:r>
        <w:t>IBM Watson Health has achieved significant market momentum since it was introduced five months ago. Hundreds of partners, ecosystem members and customers are working with IBM to address unmet needs across the continuum of life sciences and healthcare. New collaborations announced today include:</w:t>
      </w:r>
      <w:r>
        <w:br/>
      </w:r>
      <w:r>
        <w:br/>
      </w:r>
      <w:r>
        <w:t>Boston Children’s Hospital has been named Watson Health’s foundational pediatrics partner, building on an existing relationship between the two entities. IBM will integrate Watson’s deep and iterative question and answer capability to enhance and scale the OPENPediatrics initiative, a ground-breaking BCH initiative which aims to bring life-saving medical knowledge to pediatric caregivers worldwide. Moving forward, BCH and IBM will jointly develop solutions for commercialization, initially pursuing applications in personalized medicine, heart health and critical care with the potential to leverage Watson Genomic Analytics to assist researchers and clinicians in the treatment of rare pediatric disease; apply Watson’s image analytics capabilities with the intent to help clinicians improve diagnoses for children facing heart heath conditions; and apply streaming analytics to data from patients on ventilation systems, with the intent to help to medical professionals predict patient decline before it occurs.</w:t>
      </w:r>
      <w:r>
        <w:br/>
      </w:r>
      <w:r>
        <w:br/>
      </w:r>
      <w:r>
        <w:t>Columbia University Medical Center’s departments of Pathology &amp; Cell Biology and Systems Biology will collaborate with IBM to test using IBM Watson to help oncologists in the Columbia Herbert Irving Comprehensive Cancer Center translate DNA insights into personalized treatment options for patients. Columbia is the 16th cancer center to test the use Watson Genomic Analytics to bring precision medicine to patients worldwide. As Columbia and other institutions evaluate Watson’s ability to help clinicians in identifying actionable mutations in cancer, Watson’s rationale and insights will continually improve, providing the latest combined wisdom of the world’s leading cancer institutes in a scalable, cloud-based solution.</w:t>
      </w:r>
      <w:r>
        <w:br/>
      </w:r>
      <w:r>
        <w:br/>
      </w:r>
      <w:r>
        <w:t>ICON plc is the first global clinical research organization (CRO) to apply Watson to clinical trial matching, tapping into data in the IBM Watson Health Cloud to help its biomedical customers accelerate medical research and the development of new treatment options for patients. It is estimated that 80 percent of clinical trials fail or are delayed due to inadequate patient enrollment and only 2 percent of eligible patients become trial subjects. ICON will leverage Watson to automate the cumbersome process of identifying patients who meet the criteria for a clinical trial. Watson will also analyze trial protocols against a massive volume of patient data in the Watson Health Cloud to assess trial feasibility and identify optimal trial sites.</w:t>
      </w:r>
      <w:r>
        <w:br/>
      </w:r>
      <w:r>
        <w:br/>
      </w:r>
      <w:r>
        <w:t>Sage Bionetworks’ Open Biomedical Research Platform will be powered by the IBM Watson Health Cloud, with the intent to make the IBM Watson Health Cloud the platform of choice for Sage to aggregate, store, curate, and analyze data collected via apps using ResearchKit. Sage currently has active ResearchKit projects in breast cancer and Parkinson’s Disease. Further, Sage and IBM will collaborate to integrate the IBM Watson Health Cloud with Sage’s BRIDGE server and Synapse, an informatics platform dedicated to supporting the large-scale pooling of data, knowledge, and expertise across institutions to solve some of the most challenging problems in biomedical research. Sage endeavors to engage patients in the scientific discovery process and facilitate global collaboration among researchers working toward a shared goal of advancing and accelerating medical research.</w:t>
      </w:r>
      <w:r>
        <w:br/>
      </w:r>
      <w:r>
        <w:br/>
      </w:r>
      <w:r>
        <w:t>“Successful biomedical research requires active participation and data sharing across a wide variety of stakeholders,” said Stephen H. Friend, MD, PhD, president, co-founder and director, Sage Bionetworks. “The IBM Watson Health Cloud can help us break down barriers that hamper progress in research and accelerate discovery through open collaboration by providing broadly accessible storage with large capacity.”</w:t>
      </w:r>
      <w:r>
        <w:br/>
      </w:r>
      <w:r>
        <w:br/>
      </w:r>
      <w:r>
        <w:t>Teva Pharmaceuticals announced that IBM Watson Health Cloud will serve as Teva’s global technology platform of choice to build solutions designed to help millions of individuals worldwide with complex and chronic conditions such as asthma, pain, and neurodegenerative diseases. Teva expects to introduce its first e-health solution in 2016.</w:t>
      </w:r>
      <w:r>
        <w:br/>
      </w:r>
      <w:r>
        <w:br/>
      </w:r>
      <w:r>
        <w:t>IBM Watson Health Global Headquarters Established in Cambridge Life Science Hub</w:t>
      </w:r>
      <w:r>
        <w:br/>
      </w:r>
      <w:r>
        <w:br/>
      </w:r>
      <w:r>
        <w:t>Unveiled today, Watson Health’s global headquarters are located at 75 Binney Street in Cambridge’s Kendall Square and will serve as a home base for more than 700 IBM employees.</w:t>
      </w:r>
      <w:r>
        <w:br/>
      </w:r>
      <w:r>
        <w:br/>
      </w:r>
      <w:r>
        <w:t>For entrepreneurs and start-ups, Watson Health’s Cambridge headquarters will provide technology, tools and talent to create and launch new products and businesses based on Watson’s cloud-delivered cognitive intelligence. IBM intends to open an interactive Watson Health Experience Center in Cambridge, which will serve as a place for IBM clients to undertake immersive leaning about Watson and how it can help transform their businesses. In addition, IBM Research will establish a dedicated Health Research lab at the headquarters, deepening IBMs decades-long commitment to investigation that informs new IBM offerings.</w:t>
      </w:r>
      <w:r>
        <w:br/>
      </w:r>
      <w:r>
        <w:br/>
      </w:r>
      <w:r>
        <w:t>Cambridge is widely considered the epicenter of the Life Sciences industry, and Massachusetts boasts more than 600 life sciences companies and research organizations employing roughly 60,000 people with a combined payroll topping $7 billion annually, according to the Massachusetts Biotechnology Council. In recent years, Massachusetts has drawn more than 20 percent of all venture capital outlays for biotechnology companies nationally and the majority of grants from the National Institutes of Health.</w:t>
      </w:r>
      <w:r>
        <w:br/>
      </w:r>
      <w:r>
        <w:br/>
      </w:r>
      <w:r>
        <w:t>IBM Watson: Pioneering a New Era of Computing</w:t>
      </w:r>
      <w:r>
        <w:br/>
      </w:r>
      <w:r>
        <w:br/>
      </w:r>
      <w:r>
        <w:t>Watson is the first commercially available cognitive computing capability representing a new era in computing. The system, delivered through the cloud, analyzes high volumes of data, understands complex questions posed in natural language, and proposes evidence-based answers. Watson continuously learns, gaining in value and knowledge over time, from previous interactions. In April 2015, the company launched IBM Watson Health and the Watson Health Cloud platform. The new unit will help improve the ability of doctors, researchers and insurers to innovate by surfacing insights from the massive amount of personal health data being created daily. The Watson Health Cloud allows this information to be de-identified, shared and combined with a dynamic and constantly growing aggregated view of clinical, research and social health data.</w:t>
      </w:r>
      <w:r>
        <w:br/>
      </w:r>
      <w:r>
        <w:br/>
      </w:r>
      <w:r>
        <w:t>For more information on IBM Watson, visit: ibm.com/watson. For more information on IBM Watson Health, visit: http://www.ibm.com/watsonhealth</w:t>
      </w:r>
      <w:r>
        <w:br/>
      </w:r>
      <w:r>
        <w:br/>
      </w:r>
      <w:r>
        <w:t>Check out the IBM Watson press kit at: http://www-03.ibm.com/press/us/en/presskit/27297.wss</w:t>
      </w:r>
      <w:r>
        <w:br/>
      </w:r>
      <w:r>
        <w:br/>
      </w:r>
      <w:r>
        <w:t>Join the conversation at #ibmwatson and #watsonhealth. Follow Watson on Facebook and see Watson on YouTube and Flickr.</w:t>
      </w:r>
      <w:r>
        <w:br/>
      </w:r>
      <w:r>
        <w:br/>
      </w:r>
      <w:r>
        <w:t>Learn more about this story at http://www.asmarterplanet.com/blog/2015/09/taking-new-era-computing-healthcare.html</w:t>
      </w:r>
      <w:r>
        <w:br/>
      </w:r>
      <w:r>
        <w:br/>
      </w:r>
      <w:r>
        <w:t>Learn more about our collaboration with ICON Clinical Research at http://www.asmarterplanet.com/blog/2015/09/using-data-analytics-speed-clinical-drug-trials.html</w:t>
      </w:r>
      <w:r>
        <w:br/>
      </w:r>
      <w:r>
        <w:br/>
      </w:r>
      <w:r>
        <w:t>((M2 Communications disclaims all liability for information provided within M2 PressWIRE. Data supplied by named party/parties. Further information on M2 PressWIRE can be obtained at http://www.m2.com on the world wide web. Inquiries to info@m2.com)).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1B291C48" wp14:textId="77777777">
      <w:pPr>
        <w:pStyle w:val="Heading1"/>
      </w:pPr>
      <w:r>
        <w:t>Document ID ATPHAM0020150521eb5j0003c</w:t>
      </w:r>
    </w:p>
    <w:p xmlns:wp14="http://schemas.microsoft.com/office/word/2010/wordml" w14:paraId="1559D77E" wp14:textId="77777777">
      <w:r>
        <w:t>"Despite recent treatment advances, there remain significant unmet needs to effectively address the burden which hepatitis C inflicts on both patients and society. Janssen is committed to optimizing outcomes and the new collaboration with Achillion offers the potential to develop a new, simplified treatment option for those affected by hepatitis C," said Lawrence M. Blatt, Ph.D., global therapeutic area head, Janssen Infectious Diseases and Vaccines, and president and chief executive officer of Alios BioPharma, Inc.</w:t>
      </w:r>
      <w:r>
        <w:br/>
      </w:r>
      <w:r>
        <w:br/>
      </w:r>
      <w:r>
        <w:t>Under the terms of the agreement, Achillion will grant Janssen an exclusive, worldwide license to develop and, upon regulatory approval, commercialize HCV products and regimens containing one or more of the licensed HCV assets. Achillion will be eligible to receive milestone payments based upon the achievement of specified development, regulatory and sales milestones and tiered royalties on future worldwide sales.</w:t>
      </w:r>
      <w:r>
        <w:br/>
      </w:r>
      <w:r>
        <w:br/>
      </w:r>
      <w:r>
        <w:t>In addition, and separate to the exclusive license and collaboration arrangement, Johnson &amp; Johnson Innovation - JJDC, Inc. will make an equity investment in Achillion.</w:t>
      </w:r>
      <w:r>
        <w:br/>
      </w:r>
      <w:r>
        <w:br/>
      </w:r>
      <w:r>
        <w:t>The transactions are subject to customary closing conditions, including termination or expiration of any applicable waiting periods under the Hart-Scott-Rodino Act.</w:t>
      </w:r>
      <w:r>
        <w:br/>
      </w:r>
      <w:r>
        <w:br/>
      </w:r>
      <w:r>
        <w:t>Source: Janssen Pharmaceuticals</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2A210A5E" wp14:textId="77777777">
      <w:pPr>
        <w:pStyle w:val="Heading1"/>
      </w:pPr>
      <w:r>
        <w:t>Document ID ATPHAM0020150930eb9u000el</w:t>
      </w:r>
    </w:p>
    <w:p xmlns:wp14="http://schemas.microsoft.com/office/word/2010/wordml" w14:paraId="7E8BCE77" wp14:textId="77777777">
      <w:r>
        <w:t>October 7-9, 2015</w:t>
      </w:r>
      <w:r>
        <w:br/>
      </w:r>
      <w:r>
        <w:br/>
      </w:r>
      <w:r>
        <w:t>Las Vegas, Nevada</w:t>
      </w:r>
      <w:r>
        <w:br/>
      </w:r>
      <w:r>
        <w:br/>
      </w:r>
      <w:r>
        <w:t>Brean Capital Life Sciences Summit</w:t>
      </w:r>
      <w:r>
        <w:br/>
      </w:r>
      <w:r>
        <w:br/>
      </w:r>
      <w:r>
        <w:t>One-on-one meetings only</w:t>
      </w:r>
      <w:r>
        <w:br/>
      </w:r>
      <w:r>
        <w:br/>
      </w:r>
      <w:r>
        <w:t>November 16, 2015</w:t>
      </w:r>
      <w:r>
        <w:br/>
      </w:r>
      <w:r>
        <w:br/>
      </w:r>
      <w:r>
        <w:t>New York, NY</w:t>
      </w:r>
      <w:r>
        <w:br/>
      </w:r>
      <w:r>
        <w:br/>
      </w:r>
      <w:r>
        <w:t>Stifel Healthcare Conference</w:t>
      </w:r>
      <w:r>
        <w:br/>
      </w:r>
      <w:r>
        <w:br/>
      </w:r>
      <w:r>
        <w:t>November 17-18, 2015</w:t>
      </w:r>
      <w:r>
        <w:br/>
      </w:r>
      <w:r>
        <w:br/>
      </w:r>
      <w:r>
        <w:t>New York, NY</w:t>
      </w:r>
      <w:r>
        <w:br/>
      </w:r>
      <w:r>
        <w:br/>
      </w:r>
      <w:r>
        <w:t>President and CEO, Dr. J. Joseph Kim, will give a corporate presentation at the Aegis Growth Conference on October 8 at 3:30PM PT. A live and archived version of Dr. Kim's presentation will be made available through the "Webcast" tab on Inovio's home page at www.inovio.com as well as at the following URL: http://wsw.com/webcast/aegis2/ino.</w:t>
      </w:r>
      <w:r>
        <w:br/>
      </w:r>
      <w:r>
        <w:br/>
      </w:r>
      <w:r>
        <w:t>Inovio's COO, Dr. Niranjan Sardesai, will present at the Stifel Healthcare Conference. The time, date and webcast link for the presentation will be made available on Inovio's website two weeks prior to the event.</w:t>
      </w:r>
      <w:r>
        <w:br/>
      </w:r>
      <w:r>
        <w:br/>
      </w:r>
      <w:r>
        <w:t>Source: Inovio Pharmaceuticals</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2FC8023A" wp14:textId="77777777">
      <w:pPr>
        <w:pStyle w:val="Heading1"/>
      </w:pPr>
      <w:r>
        <w:t>Document ID DJDN000020151228ebcs00258</w:t>
      </w:r>
    </w:p>
    <w:p xmlns:wp14="http://schemas.microsoft.com/office/word/2010/wordml" w14:paraId="6C0C4D20" wp14:textId="77777777">
      <w:r>
        <w:t>ALAMEDA, Calif., Dec. 28, 2015</w:t>
      </w:r>
      <w:r>
        <w:br/>
      </w:r>
      <w:r>
        <w:br/>
      </w:r>
      <w:r>
        <w:t xml:space="preserve">ALAMEDA, Calif., Dec. 28, 2015 /PRNewswire/ -- Penumbra, Inc. (NYSE: PEN), a global interventional therapies company, today announced that its management team is scheduled to present at the 34(th) Annual J.P. Morgan 2016 Healthcare Conference in San Francisco, CA at the Westin St. Francis Hotel. </w:t>
      </w:r>
      <w:r>
        <w:br/>
      </w:r>
      <w:r>
        <w:br/>
      </w:r>
      <w:r>
        <w:br/>
      </w:r>
      <w:r>
        <w:t xml:space="preserve"> </w:t>
      </w:r>
      <w:r>
        <w:br/>
      </w:r>
      <w:r>
        <w:t xml:space="preserve">Event:  34(th) Annual J.P. Morgan 2016 Healthcare Conference </w:t>
      </w:r>
      <w:r>
        <w:br/>
      </w:r>
      <w:r>
        <w:t xml:space="preserve">Date:   Tuesday, January 12, 2016 </w:t>
      </w:r>
      <w:r>
        <w:br/>
      </w:r>
      <w:r>
        <w:t xml:space="preserve">Time:   11:00 am PT / 2:00 pm ET </w:t>
      </w:r>
      <w:r>
        <w:br/>
      </w:r>
      <w:r>
        <w:t xml:space="preserve"> </w:t>
      </w:r>
      <w:r>
        <w:br/>
      </w:r>
      <w:r>
        <w:br/>
      </w:r>
      <w:r>
        <w:t>A webcast of the presentation can be accessed on the "Investors" section of the Company's website at: www.penumbrainc.com. The webcast will be available on the Company's website for two weeks following the event.</w:t>
      </w:r>
      <w:r>
        <w:br/>
      </w:r>
      <w:r>
        <w:br/>
      </w:r>
      <w:r>
        <w:t>About Penumbra</w:t>
      </w:r>
      <w:r>
        <w:br/>
      </w:r>
      <w:r>
        <w:br/>
      </w:r>
      <w:r>
        <w:t>Penumbra, Inc., headquartered in Alameda, California is a global interventional therapies company that designs, develops, manufactures and markets innovative medical devices. The company has a broad portfolio of products that address challenging medical conditions and significant clinical needs across two major markets, neuro and peripheral vascular. Penumbra sells its products to hospitals primarily through its direct sales organization in the U.S., most of Europe, Canada and Australia, and through distributors in select international markets. Penumbra and the Penumbra logo are trademarks of Penumbra, Inc.</w:t>
      </w:r>
      <w:r>
        <w:br/>
      </w:r>
      <w:r>
        <w:br/>
      </w:r>
      <w:r>
        <w:t>Sara Thompson</w:t>
      </w:r>
      <w:r>
        <w:br/>
      </w:r>
      <w:r>
        <w:br/>
      </w:r>
      <w:r>
        <w:t>Head of Investor Relations</w:t>
      </w:r>
      <w:r>
        <w:br/>
      </w:r>
      <w:r>
        <w:br/>
      </w:r>
      <w:r>
        <w:t>Penumbra, Inc.</w:t>
      </w:r>
      <w:r>
        <w:br/>
      </w:r>
      <w:r>
        <w:br/>
      </w:r>
      <w:r>
        <w:t>510 995 2455</w:t>
      </w:r>
      <w:r>
        <w:br/>
      </w:r>
      <w:r>
        <w:br/>
      </w:r>
      <w:r>
        <w:t>investors@penumbrainc.com</w:t>
      </w:r>
      <w:r>
        <w:br/>
      </w:r>
      <w:r>
        <w:br/>
      </w:r>
      <w:r>
        <w:t>To view the original version on PR Newswire, visit:http://www.prnewswire.com/news-releases/penumbra-inc-to-present-at-the-34th-annual-jp-morgan-2016-healthcare-conference-300196994.html</w:t>
      </w:r>
      <w:r>
        <w:br/>
      </w:r>
      <w:r>
        <w:br/>
      </w:r>
      <w:r>
        <w:t>SOURCE Penumbra, Inc.</w:t>
      </w:r>
      <w:r>
        <w:br/>
      </w:r>
      <w:r>
        <w:br/>
      </w:r>
      <w:r>
        <w:t>/Web site: http://www.penumbrainc.com</w:t>
      </w:r>
      <w:r>
        <w:br/>
      </w:r>
      <w:r>
        <w:br/>
      </w:r>
      <w:r>
        <w:t>(END) Dow Jones Newswires</w:t>
      </w:r>
      <w:r>
        <w:br/>
      </w:r>
      <w:r>
        <w:br/>
      </w:r>
      <w:r>
        <w:t>December 28, 2015 16:30 ET (21:30 GMT)</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75ABB7E0" wp14:textId="77777777">
      <w:pPr>
        <w:pStyle w:val="Heading1"/>
      </w:pPr>
      <w:r>
        <w:t>Document ID ATPHAM0020150303eb320005r</w:t>
      </w:r>
    </w:p>
    <w:p xmlns:wp14="http://schemas.microsoft.com/office/word/2010/wordml" w14:paraId="65AEA4BF" wp14:textId="77777777">
      <w:r>
        <w:t>"We are reviewing the contents of the CRL and will work actively with the FDA to bring this important new indication to our core and growing business in infiltration," said Dave Stack, president, chief executive officer and chairman of Pacira. "Prescribed opioids in the acute care, postsurgical setting lead to chronic use and abuse in approximately one out of every 15 surgery patients in the United States; we remain committed to providing patients with long-acting, non-opioid analgesic options, like EXPAREL, to treat their pain while minimizing the risk of opioid-related adverse events. We look forward to finding solutions to address this public healthcare problem together with the FDA."</w:t>
      </w:r>
      <w:r>
        <w:br/>
      </w:r>
      <w:r>
        <w:br/>
      </w:r>
      <w:r>
        <w:t>EXPAREL is currently indicated for single-dose infiltration into the surgical site to produce postsurgical analgesia. The product combines bupivacaine with DepoFoam, a proven product delivery technology that delivers medication over a desired time period. EXPAREL represents the first and only multivesicular liposome local anesthetic that can be utilized in the peri- or postsurgical setting. By utilizing the DepoFoam platform, a single dose of EXPAREL delivers bupivacaine over time, providing significant reductions in cumulative pain scores with a 45 percent decrease in opioid consumption; the clinical benefit of the opioid reduction was not demonstrated. Additional information is available at: (www.EXPAREL.com).</w:t>
      </w:r>
      <w:r>
        <w:br/>
      </w:r>
      <w:r>
        <w:br/>
      </w:r>
      <w:r>
        <w:t>Important Safety Information</w:t>
      </w:r>
      <w:r>
        <w:br/>
      </w:r>
      <w:r>
        <w:br/>
      </w:r>
      <w:r>
        <w:t>EXPAREL is contraindicated in obstetrical paracervical block anesthesia. EXPAREL has not been studied for use in patients younger than 18 years of age. Non-bupivacaine-based local anesthetics, including lidocaine, may cause an immediate release of bupivacaine from EXPAREL if administered together locally. The administration of EXPAREL may follow the administration of lidocaine after a delay of 20 minutes or more. Other formulations of bupivacaine should not be administered within 96 hours following administration of EXPAREL. Monitoring of cardiovascular and neurological status, as well as vital signs should be performed during and after injection of EXPAREL as with other local anesthetic products. Because amide-type local anesthetics, such as bupivacaine, are metabolized by the liver, EXPAREL should be used cautiously in patients with hepatic disease. Patients with severe hepatic disease, because of their inability to metabolize local anesthetics normally, are at a greater risk of developing toxic plasma concentrations. In clinical trials, the most common adverse reactions (incidence greater-than or equal to 10%) following EXPAREL administration were nausea, constipation, and vomiting.</w:t>
      </w:r>
      <w:r>
        <w:br/>
      </w:r>
      <w:r>
        <w:br/>
      </w:r>
      <w:r>
        <w:t>Please see the full Prescribing Information for more details available at: (http://www.exparel.com/pdf/EXPAREL)_Prescribing_Information.pdf.</w:t>
      </w:r>
      <w:r>
        <w:br/>
      </w:r>
      <w:r>
        <w:br/>
      </w:r>
      <w:r>
        <w:t>Source: Pacira Pharmaceuticals</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089549DE" wp14:textId="77777777">
      <w:pPr>
        <w:pStyle w:val="Heading1"/>
      </w:pPr>
      <w:r>
        <w:t>Document ID DJDN000020150116eb1g002ak</w:t>
      </w:r>
    </w:p>
    <w:p xmlns:wp14="http://schemas.microsoft.com/office/word/2010/wordml" w14:paraId="26699352" wp14:textId="77777777">
      <w:r>
        <w:t>January 16, 2015 11:06 ET (16:06 GMT)</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6DE56B43" wp14:textId="77777777">
      <w:pPr>
        <w:pStyle w:val="Heading1"/>
      </w:pPr>
      <w:r>
        <w:t>Document ID CTRW000020150501eb54000m3</w:t>
      </w:r>
    </w:p>
    <w:p xmlns:wp14="http://schemas.microsoft.com/office/word/2010/wordml" w14:paraId="6596CE2A" wp14:textId="77777777">
      <w:r>
        <w:t>Reporters obtained the following quote from the background information supplied by the inventors: "Maytansinoids are highly cytotoxic compounds, including maytansinol and C-3 esters of maytansinol (U.S. Pat. No. 4,151,042), as shown below:</w:t>
      </w:r>
      <w:r>
        <w:br/>
      </w:r>
      <w:r>
        <w:br/>
      </w:r>
      <w:r>
        <w:t>"##STR00001##</w:t>
      </w:r>
      <w:r>
        <w:br/>
      </w:r>
      <w:r>
        <w:br/>
      </w:r>
      <w:r>
        <w:t>"The naturally occurring and synthetic C-3 esters of maytansinol can be classified into two groups: (a) Maytansine (2) and its analogs (e.g., DM1 and DM4), which are C-3 esters with N-methyl-L-alanine or derivatives of N-methyl-L-alanine (U.S. Pat. Nos. 4,137,230; 4,260,608; 5,208,020; and Chem. Pharm. Bull. 12:3441 (1984)); (b) Ansamitocins, which are C-3 esters with simple carboxylic acids (U.S. Pat. Nos. 4,248,870; 4,265,814; 4,308,268; 4,308,269; 4,309,428; 4,317,821; 4,322,348; and 4,331,598).</w:t>
      </w:r>
      <w:r>
        <w:br/>
      </w:r>
      <w:r>
        <w:br/>
      </w:r>
      <w:r>
        <w:t>"Maytansine (2), its analogs and each of the ansamitocin species are C3 esters of maytansinol that can be prepared by esterification of maytansinol (1). U.S. Pat. Nos. 7,301,019 and 7,598,375 describe methods of acylating maytansinol (1), with an N-carboxyanhydride of an amino acid (NCA, 5), in the presence of a base to form an amino acid ester of maytansinol (May-AA, 6) as shown below:</w:t>
      </w:r>
      <w:r>
        <w:br/>
      </w:r>
      <w:r>
        <w:br/>
      </w:r>
      <w:r>
        <w:t>"##STR00002##</w:t>
      </w:r>
      <w:r>
        <w:br/>
      </w:r>
      <w:r>
        <w:br/>
      </w:r>
      <w:r>
        <w:t>"Amino acid esters of maytansinol are valuable intermediates that can be coupled to carboxylic acids to provide maytansinoids. For example, reaction of maytansinol with (4S)-3,4-dimethyl-2,5-oxazolidinedione (5a) forms N2'-deacetyl-maytansine (6a), which in turn can be coupled to 3-(methyldithio)propionic acid (7), using N-(3-dimethylaminopropyl)-N'-ethylcarbodiimide hydrochloride (EDAC) to form DM1-SMe (8) as shown below:</w:t>
      </w:r>
      <w:r>
        <w:br/>
      </w:r>
      <w:r>
        <w:br/>
      </w:r>
      <w:r>
        <w:t>"##STR00003##</w:t>
      </w:r>
      <w:r>
        <w:br/>
      </w:r>
      <w:r>
        <w:br/>
      </w:r>
      <w:r>
        <w:t>"A significant disadvantage of the acylation reaction that forms amino acid esters of maytansinol is that it also forms a by-product comprising an extra N-methyl-alanyl moiety in the C3 side chain, referred to as 'extra-NMA' (9). When N2'-deacetyl-maytansine is acylated, extra NMA (9) is also acylated to form extra NMA-DM1-SMe (9a). The structures of extra-NMA (9) and extra-NMA-DM1-SMe (9a) are shown below:</w:t>
      </w:r>
      <w:r>
        <w:br/>
      </w:r>
      <w:r>
        <w:br/>
      </w:r>
      <w:r>
        <w:t>"##STR00004##</w:t>
      </w:r>
      <w:r>
        <w:br/>
      </w:r>
      <w:r>
        <w:br/>
      </w:r>
      <w:r>
        <w:t>"DM1 (3) can be prepared from DM1-SMe (8) by reduction, which also converts any extra-NMA-DM1-SMe (9a) to extra-NMA-DM1 (10) as shown below:</w:t>
      </w:r>
      <w:r>
        <w:br/>
      </w:r>
      <w:r>
        <w:br/>
      </w:r>
      <w:r>
        <w:t>"##STR00005##</w:t>
      </w:r>
      <w:r>
        <w:br/>
      </w:r>
      <w:r>
        <w:br/>
      </w:r>
      <w:r>
        <w:t>"Extra-NMA-DM1 (10) is difficult to remove from DM1 (3) because both compounds have similar polarities and give overlapping peaks in the HPLC trace of purified DM1 (3). DM1 (3) and DM4 (4) are used to prepare antibody conjugates, several of which are currently in clinical trials.</w:t>
      </w:r>
      <w:r>
        <w:br/>
      </w:r>
      <w:r>
        <w:br/>
      </w:r>
      <w:r>
        <w:t>"Thus, there is a need to improve the yield and robustness of the processes to prepare such maytansinoids and to minimize by-products formed during reactions used in their preparation."</w:t>
      </w:r>
      <w:r>
        <w:br/>
      </w:r>
      <w:r>
        <w:br/>
      </w:r>
      <w:r>
        <w:t>In addition to obtaining background information on this patent, NewsRx editors also obtained the inventors' summary information for this patent: "It has now been found that addition of a drying agent to the reaction between maytansinol and an N-carboxyanhydride of an amino acid substantially increases the yield of an amino acid ester of maytansinol, as shown in Examples 1-4. It has also been found that addition of a pre-quenching step with a nucleophile following the reaction of maytansinol and an N-carboxyanhydride of an amino acid substantially reduces formation of undesirable by-products, such as extra-NMA, as shown in Examples 6-8. Based on these discoveries, improved methods of preparing an amino acid ester of maytansinol are disclosed herein.</w:t>
      </w:r>
      <w:r>
        <w:br/>
      </w:r>
      <w:r>
        <w:br/>
      </w:r>
      <w:r>
        <w:t>"A first embodiment of the invention is a method of preparing an amino acid ester of maytansinol represented by Formula (I):</w:t>
      </w:r>
      <w:r>
        <w:br/>
      </w:r>
      <w:r>
        <w:br/>
      </w:r>
      <w:r>
        <w:t>"##STR00006## wherein R.sub.1 is hydrogen, an optionally substituted C1-C10 alkyl group or an amino acid side chain, provided that, if the amino acid side chain has a functional group, the functional group is optionally protected; and R.sub.2 is hydrogen or an optionally substituted C1-C10 alkyl group.</w:t>
      </w:r>
      <w:r>
        <w:br/>
      </w:r>
      <w:r>
        <w:br/>
      </w:r>
      <w:r>
        <w:t>"The method comprises reacting maytansinol with an N-carboxyanhydride in a reaction mixture additionally comprising a base and a drying agent. The N-carboxyanhydride is represented by the following formula:</w:t>
      </w:r>
      <w:r>
        <w:br/>
      </w:r>
      <w:r>
        <w:br/>
      </w:r>
      <w:r>
        <w:t>"##STR00007## All the variables in Formula (II) are as defined in Formula (I).</w:t>
      </w:r>
      <w:r>
        <w:br/>
      </w:r>
      <w:r>
        <w:br/>
      </w:r>
      <w:r>
        <w:t>"A second embodiment of the invention is a method of preparing an amino acid ester of maytaninol represented by Formula (I), comprising: a) reacting maytansinol with an N-carboxyanhydride represented by Formula (II) in a reaction mixture additionally comprising a base; and b) reacting unreacted N-carboxyanhydride from step a) with a nucleophilic reagent. All the variables in Formulas (I) and (II) are as defined in the first embodiment of the invention."</w:t>
      </w:r>
      <w:r>
        <w:br/>
      </w:r>
      <w:r>
        <w:br/>
      </w:r>
      <w:r>
        <w:t>For more information, see this patent: Widdison, Wayne C.; Zhao, Robert Yongxin. Methods for the Acylation of Maytansinol. U.S. Patent Number 9012629, filed September 26, 2013, and published online on April 21, 2015. Patent URL: http://patft.uspto.gov/netacgi/nph-Parser?Sect1=PTO1&amp;Sect2=HITOFF&amp;d=PALL&amp;p=1&amp;u=%2Fnetahtml%2FPTO%2Fsrchnum.htm&amp;r=1&amp;f=G&amp;l=50&amp;s1=9012629.PN.&amp;OS=PN/9012629RS=PN/9012629</w:t>
      </w:r>
      <w:r>
        <w:br/>
      </w:r>
      <w:r>
        <w:br/>
      </w:r>
      <w:r>
        <w:t>Keywords for this news article include: Esters, Peptides, Proteins, Amino Acids, ImmunoGen Inc., Carboxylic Acids.</w:t>
      </w:r>
      <w:r>
        <w:br/>
      </w:r>
      <w:r>
        <w:br/>
      </w:r>
      <w:r>
        <w:t>Our reports deliver fact-based news of research and discoveries from around the world. Copyright 2015, NewsRx LLC</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5BC78295" wp14:textId="77777777">
      <w:pPr>
        <w:pStyle w:val="Heading1"/>
      </w:pPr>
      <w:r>
        <w:t>Document ID GLOMCP0020151105ebb500ky4</w:t>
      </w:r>
    </w:p>
    <w:p xmlns:wp14="http://schemas.microsoft.com/office/word/2010/wordml" w14:paraId="2860368E" wp14:textId="77777777">
      <w:r>
        <w:t>Regulatory Approval : In August, the company received Marketing Authorisation for Unituxin (dinutuximab) from European Commission (EC) to treat high risk neuroblastoma.</w:t>
      </w:r>
      <w:r>
        <w:br/>
      </w:r>
      <w:r>
        <w:br/>
      </w:r>
      <w:r>
        <w:t>Date : 2015</w:t>
      </w:r>
      <w:r>
        <w:br/>
      </w:r>
      <w:r>
        <w:br/>
      </w:r>
      <w:r>
        <w:t>Regulatory Approval : In March, the company received approval from United States Food and Drug Administration for Unituxin injection for the treatment of pediatric high-risk neuroblastoma.</w:t>
      </w:r>
      <w:r>
        <w:br/>
      </w:r>
      <w:r>
        <w:br/>
      </w:r>
      <w:r>
        <w:t>Date : 2014</w:t>
      </w:r>
      <w:r>
        <w:br/>
      </w:r>
      <w:r>
        <w:br/>
      </w:r>
      <w:r>
        <w:t>Contracts/Agreements : IN December, the company entered into an agreement with DEKA Research &amp; Development Corp. for the development of a potential technology breakthrough in the subcutaneous delivery of Remodulin.</w:t>
      </w:r>
      <w:r>
        <w:br/>
      </w:r>
      <w:r>
        <w:br/>
      </w:r>
      <w:r>
        <w:t>Date : 2014</w:t>
      </w:r>
      <w:r>
        <w:br/>
      </w:r>
      <w:r>
        <w:br/>
      </w:r>
      <w:r>
        <w:t>Contracts/Agreements : In May, Lung Biotechnology Inc., a subsidiary of UTC entered into a research and development agreement with Synthetic Genomics Inc. to develop humanized pig organs for transplantation.</w:t>
      </w:r>
      <w:r>
        <w:br/>
      </w:r>
      <w:r>
        <w:br/>
      </w:r>
      <w:r>
        <w:t>Date : 2014</w:t>
      </w:r>
      <w:r>
        <w:br/>
      </w:r>
      <w:r>
        <w:br/>
      </w:r>
      <w:r>
        <w:t>Litigation : In August, the company won the case against Sandoz, Inc. regarding the patent infringement of U.S. Patent No. 6,765,117 related to its Remodulin.</w:t>
      </w:r>
      <w:r>
        <w:br/>
      </w:r>
      <w:r>
        <w:br/>
      </w:r>
      <w:r>
        <w:t>Date : 2014</w:t>
      </w:r>
      <w:r>
        <w:br/>
      </w:r>
      <w:r>
        <w:br/>
      </w:r>
      <w:r>
        <w:t>New Product Approvals : In March, the company’s Remodulin received approval from Japan's Ministry of Health, Labour and Welfare for the treatment of pulmonary arterial hypertension (PAH) by subcutaneous and intravenous administration. Remodulin is to be sold in Japan under the brand name Treprost.</w:t>
      </w:r>
      <w:r>
        <w:br/>
      </w:r>
      <w:r>
        <w:br/>
      </w:r>
      <w:r>
        <w:t>Date : 2013</w:t>
      </w:r>
      <w:r>
        <w:br/>
      </w:r>
      <w:r>
        <w:br/>
      </w:r>
      <w:r>
        <w:t>Litigation : In December, the company received a subpoena from the Office of the Inspector General of the Department of Health and Human Services regarding marketing practices relating to its products including Remodulin (treprostinil) injection, Tyvaso (treprostinil) inhalation solution and Adcirca (tadalafil) tablets.</w:t>
      </w:r>
      <w:r>
        <w:br/>
      </w:r>
      <w:r>
        <w:br/>
      </w:r>
      <w:r>
        <w:t>Date : 2013</w:t>
      </w:r>
      <w:r>
        <w:br/>
      </w:r>
      <w:r>
        <w:br/>
      </w:r>
      <w:r>
        <w:t>New Product Approvals : In December, the company received approval for its Orenitram (treprostinil) Extended-Release Tablets for the treatment of pulmonary arterial hypertension from the US FDA.</w:t>
      </w:r>
      <w:r>
        <w:br/>
      </w:r>
      <w:r>
        <w:br/>
      </w:r>
      <w:r>
        <w:t>Date : 2013</w:t>
      </w:r>
      <w:r>
        <w:br/>
      </w:r>
      <w:r>
        <w:br/>
      </w:r>
      <w:r>
        <w:t>Regulatory Approval : In September, the US FDA accepted the company resubmission of new drug application (NDA) for treprostinil diolamine extended release tablets (oral treprostinil) for the treatment of PAH.</w:t>
      </w:r>
      <w:r>
        <w:br/>
      </w:r>
      <w:r>
        <w:br/>
      </w:r>
      <w:r>
        <w:t>Date : 2012</w:t>
      </w:r>
      <w:r>
        <w:br/>
      </w:r>
      <w:r>
        <w:br/>
      </w:r>
      <w:r>
        <w:t>Litigation : In March, the company filed lawsuit against Sandoz for the infringement of patents related to Remodulin.</w:t>
      </w:r>
      <w:r>
        <w:br/>
      </w:r>
      <w:r>
        <w:br/>
      </w:r>
      <w:r>
        <w:t>Date : 2012</w:t>
      </w:r>
      <w:r>
        <w:br/>
      </w:r>
      <w:r>
        <w:br/>
      </w:r>
      <w:r>
        <w:t>New Product Approvals : In February, the company's treprostinil diethanolamine was approved for review by FDA for new drug application.</w:t>
      </w:r>
      <w:r>
        <w:br/>
      </w:r>
      <w:r>
        <w:br/>
      </w:r>
      <w:r>
        <w:t>Date : 2011</w:t>
      </w:r>
      <w:r>
        <w:br/>
      </w:r>
      <w:r>
        <w:br/>
      </w:r>
      <w:r>
        <w:t>Contracts/Agreements : In October, the company's subsidiary, Unither Virology, LLC entered into a contract with the National Institute of Allergy and Infectious Diseases for supporting glycobiology antiviral platform.</w:t>
      </w:r>
      <w:r>
        <w:br/>
      </w:r>
      <w:r>
        <w:br/>
      </w:r>
      <w:r>
        <w:t>Date : 2011</w:t>
      </w:r>
      <w:r>
        <w:br/>
      </w:r>
      <w:r>
        <w:br/>
      </w:r>
      <w:r>
        <w:t>Official Trials/Tests : In January, the company completed the enrollment of FREEDOM-M registration trial.</w:t>
      </w:r>
      <w:r>
        <w:br/>
      </w:r>
      <w:r>
        <w:br/>
      </w:r>
      <w:r>
        <w:t>Date : 2011</w:t>
      </w:r>
      <w:r>
        <w:br/>
      </w:r>
      <w:r>
        <w:br/>
      </w:r>
      <w:r>
        <w:t>Official Trials/Tests : In June, the company completed FREEDOM-M Phase 3 trial of treprostinil diethanolamine (oral treprostinil).</w:t>
      </w:r>
      <w:r>
        <w:br/>
      </w:r>
      <w:r>
        <w:br/>
      </w:r>
      <w:r>
        <w:t>Date : 2011</w:t>
      </w:r>
      <w:r>
        <w:br/>
      </w:r>
      <w:r>
        <w:br/>
      </w:r>
      <w:r>
        <w:t>Official Trials/Tests : In March, the company completed the enrollment of its FREEDOM-C(2) registration trial.</w:t>
      </w:r>
      <w:r>
        <w:br/>
      </w:r>
      <w:r>
        <w:br/>
      </w:r>
      <w:r>
        <w:t>Date : 2011</w:t>
      </w:r>
      <w:r>
        <w:br/>
      </w:r>
      <w:r>
        <w:br/>
      </w:r>
      <w:r>
        <w:t>Others : In December, the company's Remodulin(treprostinil) was approved for the treatment of pulmonary arterial hypertension by the French regulatory agency Agence Francaise de Securite Sanitaire des Produits de Sante.</w:t>
      </w:r>
      <w:r>
        <w:br/>
      </w:r>
      <w:r>
        <w:br/>
      </w:r>
      <w:r>
        <w:t>Date : 2010</w:t>
      </w:r>
      <w:r>
        <w:br/>
      </w:r>
      <w:r>
        <w:br/>
      </w:r>
      <w:r>
        <w:t>Contracts/Agreements : In February, the company's subsidiary, Lung Rx, LLC entered into an agreement with ImmuneWorks, Inc. to co-develop ImmuneWorks' lead compound, IW001, a purified bovine Type V Collagen oral solution.</w:t>
      </w:r>
      <w:r>
        <w:br/>
      </w:r>
      <w:r>
        <w:br/>
      </w:r>
      <w:r>
        <w:t>Date : 2010</w:t>
      </w:r>
      <w:r>
        <w:br/>
      </w:r>
      <w:r>
        <w:br/>
      </w:r>
      <w:r>
        <w:t>Contracts/Agreements : In July, the company signed a distribution agreement with Lee's Pharmaceutical Holdings Ltd., through which its lead product Remodulin would be marketed by Lee in China.</w:t>
      </w:r>
      <w:r>
        <w:br/>
      </w:r>
      <w:r>
        <w:br/>
      </w:r>
      <w:r>
        <w:t>Date : 2010</w:t>
      </w:r>
      <w:r>
        <w:br/>
      </w:r>
      <w:r>
        <w:br/>
      </w:r>
      <w:r>
        <w:t>Others : In February, the company withdrew the marketing authorization application for Tyvaso (treprostinil sodium) solution, which is for the treatment of pulmonary arterial hypertension in the European Union.</w:t>
      </w:r>
      <w:r>
        <w:br/>
      </w:r>
      <w:r>
        <w:br/>
      </w:r>
      <w:r>
        <w:t>Date : 2009</w:t>
      </w:r>
      <w:r>
        <w:br/>
      </w:r>
      <w:r>
        <w:br/>
      </w:r>
      <w:r>
        <w:t>New Product Approvals : The company received the United States Food and Drug Administration approval for its TYVASO (treprostinil) Inhalation Solution, used for the treatment of pulmonary arterial hypertension.</w:t>
      </w:r>
      <w:r>
        <w:br/>
      </w:r>
      <w:r>
        <w:br/>
      </w:r>
      <w:r>
        <w:t>Date : 2009</w:t>
      </w:r>
      <w:r>
        <w:br/>
      </w:r>
      <w:r>
        <w:br/>
      </w:r>
      <w:r>
        <w:t>New Product Approvals : The company's product ADCIRCA tablets for oral administration approved by the United States Food and Drug Administration, for the treatment of Pulmonary Arterial Hypertension.</w:t>
      </w:r>
      <w:r>
        <w:br/>
      </w:r>
      <w:r>
        <w:br/>
      </w:r>
      <w:r>
        <w:t>Date : 2008</w:t>
      </w:r>
      <w:r>
        <w:br/>
      </w:r>
      <w:r>
        <w:br/>
      </w:r>
      <w:r>
        <w:t>Contracts/Agreements : The company inlicensed the US Rights for Tadalafil PAH Indication from Eli Lilly.</w:t>
      </w:r>
      <w:r>
        <w:br/>
      </w:r>
      <w:r>
        <w:br/>
      </w:r>
      <w:r>
        <w:t>Date : 2007</w:t>
      </w:r>
      <w:r>
        <w:br/>
      </w:r>
      <w:r>
        <w:br/>
      </w:r>
      <w:r>
        <w:t>Contracts/Agreements : In 2007, the company entered into a distributor agreement with Mochida Pharmaceutical Co., Ltd. (Mochida) to market subcutaneous and intravenous Remodulin in Japan.</w:t>
      </w:r>
      <w:r>
        <w:br/>
      </w:r>
      <w:r>
        <w:br/>
      </w:r>
      <w:r>
        <w:t>Date : 2003</w:t>
      </w:r>
      <w:r>
        <w:br/>
      </w:r>
      <w:r>
        <w:br/>
      </w:r>
      <w:r>
        <w:t>Contracts/Agreements : In May, the company entered into a distribution agreement with Caremark Inc for distributing Remodulin in the US.</w:t>
      </w:r>
      <w:r>
        <w:br/>
      </w:r>
      <w:r>
        <w:br/>
      </w:r>
      <w:r>
        <w:t>Date : 2000</w:t>
      </w:r>
      <w:r>
        <w:br/>
      </w:r>
      <w:r>
        <w:br/>
      </w:r>
      <w:r>
        <w:t>Acquisitions/Mergers/Takeovers : United Therapeutics acquired Medicomp, Inc. in December 2000.</w:t>
      </w:r>
      <w:r>
        <w:br/>
      </w:r>
      <w:r>
        <w:br/>
      </w:r>
      <w:r>
        <w:t>Date : 2000</w:t>
      </w:r>
      <w:r>
        <w:br/>
      </w:r>
      <w:r>
        <w:br/>
      </w:r>
      <w:r>
        <w:t>Contracts/Agreements : The company entered into an agreement with Toray Industries, Inc. to develop and market beraprost in the United States and Canada for the treatment of cardiovascular indications.</w:t>
      </w:r>
      <w:r>
        <w:br/>
      </w:r>
      <w:r>
        <w:br/>
      </w:r>
      <w:r>
        <w:t>Date : 2000</w:t>
      </w:r>
      <w:r>
        <w:br/>
      </w:r>
      <w:r>
        <w:br/>
      </w:r>
      <w:r>
        <w:t>Corporate Changes/Expansions : The company formed Northern Therapeutics, Inc. in Canada in December 2000.</w:t>
      </w:r>
      <w:r>
        <w:br/>
      </w:r>
      <w:r>
        <w:br/>
      </w:r>
      <w:r>
        <w:t>Date : 1996</w:t>
      </w:r>
      <w:r>
        <w:br/>
      </w:r>
      <w:r>
        <w:br/>
      </w:r>
      <w:r>
        <w:t>Incorporation/Establishment : In June, the company was incorporated.</w:t>
      </w:r>
      <w:r>
        <w:br/>
      </w:r>
      <w:r>
        <w:br/>
      </w:r>
      <w:r>
        <w:t>Note</w:t>
      </w:r>
      <w:r>
        <w:br/>
      </w:r>
      <w:r>
        <w:br/>
      </w:r>
      <w: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618BC796" wp14:textId="77777777">
      <w:pPr>
        <w:pStyle w:val="Heading1"/>
      </w:pPr>
      <w:r>
        <w:t>Document ID BNZNGA0020150326eb3q0005m</w:t>
      </w:r>
    </w:p>
    <w:p xmlns:wp14="http://schemas.microsoft.com/office/word/2010/wordml" w14:paraId="7265FACC" wp14:textId="77777777">
      <w:r>
        <w:t>About IGI Laboratories, Inc.</w:t>
      </w:r>
      <w:r>
        <w:br/>
      </w:r>
      <w:r>
        <w:br/>
      </w:r>
      <w:r>
        <w:t>IGI Laboratories is a specialty generic pharmaceutical company.  Our mission is to be a leading player in the specialty generic prescription drug market.</w:t>
      </w:r>
      <w:r>
        <w:br/>
      </w:r>
      <w:r>
        <w:br/>
      </w:r>
      <w:r>
        <w:t>Forward-Looking Statements</w:t>
      </w:r>
      <w:r>
        <w:br/>
      </w:r>
      <w:r>
        <w:br/>
      </w:r>
      <w:r>
        <w:t>This press release includes certain "forward-looking statements" within the meaning of the Private Securities Litigation Reform Act of 1995. These forward-looking statements include, but are not limited to, plans, objectives, expectations and intentions, and other statements contained in this</w:t>
      </w:r>
      <w:r>
        <w:br/>
      </w:r>
      <w:r>
        <w:br/>
      </w:r>
      <w:r>
        <w:t>See full press release</w:t>
      </w:r>
      <w:r>
        <w:br/>
      </w:r>
      <w:r>
        <w:br/>
      </w:r>
      <w:r>
        <w:t>© 2015 Benzinga.com. Benzinga does not provide investment advice. All rights reserved.</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7B839C03" wp14:textId="77777777">
      <w:pPr>
        <w:pStyle w:val="Heading1"/>
      </w:pPr>
      <w:r>
        <w:t>Document ID BIOELSE020150930eb9p0000u</w:t>
      </w:r>
    </w:p>
    <w:p xmlns:wp14="http://schemas.microsoft.com/office/word/2010/wordml" w14:paraId="042D0DC7" wp14:textId="77777777">
      <w:r>
        <w:t xml:space="preserve"> NARCAN nasal spray was developed in collaboration with the National Institute on Drug Abuse (NIDA). Original Source: BioSpace.com, 2015. From website: http://www.biospace.com.</w:t>
      </w:r>
      <w:r>
        <w:br/>
      </w:r>
      <w:r>
        <w:br/>
      </w:r>
      <w:r>
        <w:t>BioSpace</w:t>
      </w:r>
      <w:r>
        <w:br/>
      </w:r>
      <w:r>
        <w:br/>
      </w:r>
      <w:r>
        <w:t>Website: http://www.biospace.com</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2C9455D6" wp14:textId="77777777">
      <w:pPr>
        <w:pStyle w:val="Heading1"/>
      </w:pPr>
      <w:r>
        <w:t>Document ID BIWK000020150529eb63000tm</w:t>
      </w:r>
    </w:p>
    <w:p xmlns:wp14="http://schemas.microsoft.com/office/word/2010/wordml" w14:paraId="348B8C53" wp14:textId="77777777">
      <w:r>
        <w:t>The news correspondents obtained a quote from the research from the Western University of Health Sciences, "However, due to inherent limitations such as small sublingual mucosa area for absorption, primarily passive mechanism of transport, short residence time, and potential local irritation, a relatively small number of sublingual products have been successfully developed to date. In this Review, key concepts and technologies for potential improvement of sublingual drug delivery are reviewed."</w:t>
      </w:r>
      <w:r>
        <w:br/>
      </w:r>
      <w:r>
        <w:br/>
      </w:r>
      <w:r>
        <w:t>According to the news reporters, the research concluded: "The optimal application of these concepts and technologies, together with clinical need for non-parenteral delivery, will hopefully broaden the development of sublingual drug delivery in the future."</w:t>
      </w:r>
      <w:r>
        <w:br/>
      </w:r>
      <w:r>
        <w:br/>
      </w:r>
      <w:r>
        <w:t>For more information on this research see: Overview and appraisal of the current concept and technologies for improvement of sublingual drug delivery. Therapeutic Delivery, 2014;5(7):807-16.</w:t>
      </w:r>
      <w:r>
        <w:br/>
      </w:r>
      <w:r>
        <w:br/>
      </w:r>
      <w:r>
        <w:t>Our news journalists report that additional information may be obtained by contacting Z. Wang, Center for Advancement of Drug Research &amp; Evaluation, College of Pharmacy, Western University of Health Sciences, 309 E Second Street, Pomona, CA 91766-91854, United States.</w:t>
      </w:r>
      <w:r>
        <w:br/>
      </w:r>
      <w:r>
        <w:br/>
      </w:r>
      <w:r>
        <w:t>Keywords for this news article include: Pomona, California, Technology, United States, Drugs and Therapies, Drug Delivery Systems, North and Central America.</w:t>
      </w:r>
      <w:r>
        <w:br/>
      </w:r>
      <w:r>
        <w:br/>
      </w:r>
      <w:r>
        <w:t>Our reports deliver fact-based news of research and discoveries from around the world. Copyright 2015, NewsRx LLC</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6BF18C79" wp14:textId="77777777">
      <w:pPr>
        <w:pStyle w:val="Heading1"/>
      </w:pPr>
      <w:r>
        <w:t>Document ID CTRW000020150612eb6f0005v</w:t>
      </w:r>
    </w:p>
    <w:p xmlns:wp14="http://schemas.microsoft.com/office/word/2010/wordml" w14:paraId="25C1BA58" wp14:textId="77777777">
      <w:r>
        <w:t xml:space="preserve"> Long-term safety data on ponatinib indicate that benefit-risk evaluations should guide decisions to initiate and maintain therapy, particularly in patients who may be at increased risk for arterial occlusive events.</w:t>
      </w:r>
      <w:r>
        <w:br/>
      </w:r>
      <w:r>
        <w:br/>
      </w:r>
      <w:r>
        <w:t>These data are included in a poster presentation today at the Annual Meeting of the American Society of Clinical Oncology taking place in Chicago.</w:t>
      </w:r>
      <w:r>
        <w:br/>
      </w:r>
      <w:r>
        <w:br/>
      </w:r>
      <w:r>
        <w:t>"With more than half of the CP-CML patients still on study after a minimum of four years, ponatinib continues to maintain anti-leukemic responses in this heavily pre-treated patient population," stated Moshe Talpaz, M.D., The Alexander J. Trotman Professor of Leukemia Research, Associate Director of Translational Research, Co-Director of Hematologic Malignancies/BMT Program at the University of Michigan Comprehensive Cancer Center. "We are continuing to study the profile of ponatinib and the impact of dose reductions in patients with CML and Ph+ ALL for whom there are limited treatment options and the potential benefit outweighs the risk." Phase 1 Trial Long-Term Data The Phase 1 dose-escalation study of ponatinib (dose range, 2 to 60 mg once daily) enrolled 81 patients with resistant or refractory hematologic cancers, including 43 patients with CP-CML. Sixty percent of CP-CML patients in this study had failed at least three prior tyrosine kinase inhibitors (TKI), and 98 percent received at least two prior TKIs. Twenty-two CP-CML patients (51 percent) remain on study. Data presented at ASCO focus on CP-CML patients and represent follow-up through February 2, 2015.</w:t>
      </w:r>
      <w:r>
        <w:br/>
      </w:r>
      <w:r>
        <w:br/>
      </w:r>
      <w:r>
        <w:t>Median follow-up for CP-CML patients is over 4 years (53.1 months) with a maximum follow-up of six years (69.9 months).</w:t>
      </w:r>
      <w:r>
        <w:br/>
      </w:r>
      <w:r>
        <w:br/>
      </w:r>
      <w:r>
        <w:t>Of 22 ongoing CP-CML patients, 14 are receiving a dose of 15 mg/day ponatinib or less, 5 on 30 mg/day, and 3 on 45 mg/day; the mean current dose is 22.5 mg/day. The median dose intensity for these patients during the course of the study was 33.7 mg/day.</w:t>
      </w:r>
      <w:r>
        <w:br/>
      </w:r>
      <w:r>
        <w:br/>
      </w:r>
      <w:r>
        <w:t>Keywords for this news article include: ARIAD Pharmaceuticals Inc., Genetics, Oncology, Hematology, Chronic Myeloid Leukemia, Clinical Trials and Studies.</w:t>
      </w:r>
      <w:r>
        <w:br/>
      </w:r>
      <w:r>
        <w:br/>
      </w:r>
      <w:r>
        <w:t>Our reports deliver fact-based news of research and discoveries from around the world. Copyright 2015, NewsRx LLC</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a0826d4-e8b3-4923-bfbd-a82bb5143d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807A3E-D5F9-4738-A207-CAEA5C53F33C}"/>
</file>

<file path=customXml/itemProps3.xml><?xml version="1.0" encoding="utf-8"?>
<ds:datastoreItem xmlns:ds="http://schemas.openxmlformats.org/officeDocument/2006/customXml" ds:itemID="{C3F19881-72DE-4692-BEC4-3DBEB5BD4FAE}"/>
</file>

<file path=customXml/itemProps4.xml><?xml version="1.0" encoding="utf-8"?>
<ds:datastoreItem xmlns:ds="http://schemas.openxmlformats.org/officeDocument/2006/customXml" ds:itemID="{47CBFFE5-F0BA-4602-A342-D0D54067BA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