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DEBD1B" w14:textId="77777777" w:rsidR="002C2FBE" w:rsidRDefault="00AC11A8">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December 21, 2014</w:t>
      </w:r>
    </w:p>
    <w:p w14:paraId="5E09831B" w14:textId="77777777" w:rsidR="00AC11A8" w:rsidRDefault="00AC11A8">
      <w:pPr>
        <w:widowControl w:val="0"/>
        <w:pBdr>
          <w:top w:val="nil"/>
          <w:left w:val="nil"/>
          <w:bottom w:val="nil"/>
          <w:right w:val="nil"/>
          <w:between w:val="nil"/>
        </w:pBdr>
        <w:spacing w:line="276" w:lineRule="auto"/>
        <w:rPr>
          <w:rFonts w:ascii="Arial" w:eastAsia="Arial" w:hAnsi="Arial" w:cs="Arial"/>
          <w:color w:val="000000"/>
          <w:sz w:val="22"/>
          <w:szCs w:val="22"/>
        </w:rPr>
      </w:pPr>
      <w:bookmarkStart w:id="0" w:name="_GoBack"/>
      <w:bookmarkEnd w:id="0"/>
    </w:p>
    <w:p w14:paraId="2DF79BE5" w14:textId="77777777" w:rsidR="00AC11A8" w:rsidRDefault="0063233A">
      <w:pPr>
        <w:pBdr>
          <w:top w:val="nil"/>
          <w:left w:val="nil"/>
          <w:bottom w:val="nil"/>
          <w:right w:val="nil"/>
          <w:between w:val="nil"/>
        </w:pBdr>
        <w:tabs>
          <w:tab w:val="right" w:pos="9350"/>
        </w:tabs>
        <w:spacing w:before="120"/>
      </w:pPr>
      <w:r>
        <w:fldChar w:fldCharType="begin"/>
      </w:r>
    </w:p>
    <w:sdt>
      <w:sdtPr>
        <w:id w:val="-2002273076"/>
        <w:docPartObj>
          <w:docPartGallery w:val="Table of Contents"/>
          <w:docPartUnique/>
        </w:docPartObj>
      </w:sdtPr>
      <w:sdtEndPr/>
      <w:sdtContent>
        <w:p w14:paraId="0F24680D" w14:textId="77777777" w:rsidR="002C2FBE" w:rsidRDefault="0063233A">
          <w:pPr>
            <w:pBdr>
              <w:top w:val="nil"/>
              <w:left w:val="nil"/>
              <w:bottom w:val="nil"/>
              <w:right w:val="nil"/>
              <w:between w:val="nil"/>
            </w:pBdr>
            <w:tabs>
              <w:tab w:val="right" w:pos="9350"/>
            </w:tabs>
            <w:spacing w:before="120"/>
            <w:rPr>
              <w:color w:val="000000"/>
            </w:rPr>
          </w:pPr>
          <w:r>
            <w:instrText xml:space="preserve"> TOC \h \u \z </w:instrText>
          </w:r>
          <w:r>
            <w:fldChar w:fldCharType="separate"/>
          </w:r>
          <w:r>
            <w:rPr>
              <w:b/>
              <w:color w:val="000000"/>
            </w:rPr>
            <w:t>What is social cohesion and why should we measure it?</w:t>
          </w:r>
          <w:r>
            <w:rPr>
              <w:b/>
              <w:color w:val="000000"/>
            </w:rPr>
            <w:tab/>
          </w:r>
          <w:r>
            <w:fldChar w:fldCharType="begin"/>
          </w:r>
          <w:r>
            <w:instrText xml:space="preserve"> PAGEREF _30j0zll \h </w:instrText>
          </w:r>
          <w:r>
            <w:fldChar w:fldCharType="separate"/>
          </w:r>
          <w:r>
            <w:rPr>
              <w:b/>
              <w:color w:val="000000"/>
            </w:rPr>
            <w:t>1</w:t>
          </w:r>
          <w:hyperlink w:anchor="_30j0zll" w:history="1"/>
        </w:p>
        <w:p w14:paraId="02B8759F"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Introduction: Social networks matter</w:t>
          </w:r>
          <w:r>
            <w:rPr>
              <w:b/>
              <w:color w:val="000000"/>
              <w:sz w:val="22"/>
              <w:szCs w:val="22"/>
            </w:rPr>
            <w:tab/>
          </w:r>
          <w:r>
            <w:fldChar w:fldCharType="begin"/>
          </w:r>
          <w:r>
            <w:instrText xml:space="preserve"> PAGEREF _1fob9te \h </w:instrText>
          </w:r>
          <w:r>
            <w:fldChar w:fldCharType="separate"/>
          </w:r>
          <w:r>
            <w:rPr>
              <w:b/>
              <w:color w:val="000000"/>
              <w:sz w:val="22"/>
              <w:szCs w:val="22"/>
            </w:rPr>
            <w:t>1</w:t>
          </w:r>
          <w:hyperlink w:anchor="_1fob9te" w:history="1"/>
        </w:p>
        <w:p w14:paraId="7984FF65"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What is social cohesion?</w:t>
          </w:r>
          <w:r>
            <w:rPr>
              <w:b/>
              <w:color w:val="000000"/>
              <w:sz w:val="22"/>
              <w:szCs w:val="22"/>
            </w:rPr>
            <w:tab/>
          </w:r>
          <w:r>
            <w:fldChar w:fldCharType="begin"/>
          </w:r>
          <w:r>
            <w:instrText xml:space="preserve"> PAGEREF _3znysh7 \h </w:instrText>
          </w:r>
          <w:r>
            <w:fldChar w:fldCharType="separate"/>
          </w:r>
          <w:r>
            <w:rPr>
              <w:b/>
              <w:color w:val="000000"/>
              <w:sz w:val="22"/>
              <w:szCs w:val="22"/>
            </w:rPr>
            <w:t>2</w:t>
          </w:r>
          <w:hyperlink w:anchor="_3znysh7" w:history="1"/>
        </w:p>
        <w:p w14:paraId="7E46AD17"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Why measure social cohesion?</w:t>
          </w:r>
          <w:r>
            <w:rPr>
              <w:b/>
              <w:color w:val="000000"/>
              <w:sz w:val="22"/>
              <w:szCs w:val="22"/>
            </w:rPr>
            <w:tab/>
          </w:r>
          <w:r>
            <w:fldChar w:fldCharType="begin"/>
          </w:r>
          <w:r>
            <w:instrText xml:space="preserve"> PAGEREF _2et92p0 \h </w:instrText>
          </w:r>
          <w:r>
            <w:fldChar w:fldCharType="separate"/>
          </w:r>
          <w:r>
            <w:rPr>
              <w:b/>
              <w:color w:val="000000"/>
              <w:sz w:val="22"/>
              <w:szCs w:val="22"/>
            </w:rPr>
            <w:t>3</w:t>
          </w:r>
          <w:hyperlink w:anchor="_2et92p0" w:history="1"/>
        </w:p>
        <w:p w14:paraId="786B55BF"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Resilience to disaster</w:t>
          </w:r>
          <w:r>
            <w:rPr>
              <w:color w:val="000000"/>
              <w:sz w:val="22"/>
              <w:szCs w:val="22"/>
            </w:rPr>
            <w:tab/>
          </w:r>
          <w:r>
            <w:fldChar w:fldCharType="begin"/>
          </w:r>
          <w:r>
            <w:instrText xml:space="preserve"> PAGEREF _tyjcwt \h </w:instrText>
          </w:r>
          <w:r>
            <w:fldChar w:fldCharType="separate"/>
          </w:r>
          <w:r>
            <w:rPr>
              <w:color w:val="000000"/>
              <w:sz w:val="22"/>
              <w:szCs w:val="22"/>
            </w:rPr>
            <w:t>3</w:t>
          </w:r>
          <w:hyperlink w:anchor="_tyjcwt" w:history="1"/>
        </w:p>
        <w:p w14:paraId="48C56D1C"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Other kinds of resilience</w:t>
          </w:r>
          <w:r>
            <w:rPr>
              <w:color w:val="000000"/>
              <w:sz w:val="22"/>
              <w:szCs w:val="22"/>
            </w:rPr>
            <w:tab/>
          </w:r>
          <w:r>
            <w:fldChar w:fldCharType="begin"/>
          </w:r>
          <w:r>
            <w:instrText xml:space="preserve"> PAGEREF _3dy6vkm \h </w:instrText>
          </w:r>
          <w:r>
            <w:fldChar w:fldCharType="separate"/>
          </w:r>
          <w:r>
            <w:rPr>
              <w:color w:val="000000"/>
              <w:sz w:val="22"/>
              <w:szCs w:val="22"/>
            </w:rPr>
            <w:t>5</w:t>
          </w:r>
          <w:hyperlink w:anchor="_3dy6vkm" w:history="1"/>
        </w:p>
        <w:bookmarkStart w:id="1" w:name="_gjdgxs" w:colFirst="0" w:colLast="0"/>
        <w:bookmarkEnd w:id="1"/>
        <w:p w14:paraId="58F7943A"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The downsides of social cohesion</w:t>
          </w:r>
          <w:r>
            <w:rPr>
              <w:color w:val="000000"/>
              <w:sz w:val="22"/>
              <w:szCs w:val="22"/>
            </w:rPr>
            <w:tab/>
          </w:r>
          <w:r>
            <w:fldChar w:fldCharType="begin"/>
          </w:r>
          <w:r>
            <w:instrText xml:space="preserve"> PAGEREF _1t3h5sf \h </w:instrText>
          </w:r>
          <w:r>
            <w:fldChar w:fldCharType="separate"/>
          </w:r>
          <w:r>
            <w:rPr>
              <w:color w:val="000000"/>
              <w:sz w:val="22"/>
              <w:szCs w:val="22"/>
            </w:rPr>
            <w:t>6</w:t>
          </w:r>
          <w:hyperlink w:anchor="_1t3h5sf" w:history="1"/>
        </w:p>
        <w:p w14:paraId="2CFE52BB"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Cohesion on a neighborhood level</w:t>
          </w:r>
          <w:r>
            <w:rPr>
              <w:b/>
              <w:color w:val="000000"/>
              <w:sz w:val="22"/>
              <w:szCs w:val="22"/>
            </w:rPr>
            <w:tab/>
          </w:r>
          <w:r>
            <w:fldChar w:fldCharType="begin"/>
          </w:r>
          <w:r>
            <w:instrText xml:space="preserve"> PAGEREF _4d34og8 \h </w:instrText>
          </w:r>
          <w:r>
            <w:fldChar w:fldCharType="separate"/>
          </w:r>
          <w:r>
            <w:rPr>
              <w:b/>
              <w:color w:val="000000"/>
              <w:sz w:val="22"/>
              <w:szCs w:val="22"/>
            </w:rPr>
            <w:t>7</w:t>
          </w:r>
          <w:hyperlink w:anchor="_4d34og8" w:history="1"/>
        </w:p>
        <w:p w14:paraId="33B8ABB9" w14:textId="77777777" w:rsidR="002C2FBE" w:rsidRDefault="0063233A">
          <w:pPr>
            <w:pBdr>
              <w:top w:val="nil"/>
              <w:left w:val="nil"/>
              <w:bottom w:val="nil"/>
              <w:right w:val="nil"/>
              <w:between w:val="nil"/>
            </w:pBdr>
            <w:tabs>
              <w:tab w:val="right" w:pos="9350"/>
            </w:tabs>
            <w:spacing w:before="120"/>
            <w:rPr>
              <w:color w:val="000000"/>
            </w:rPr>
          </w:pPr>
          <w:r>
            <w:fldChar w:fldCharType="end"/>
          </w:r>
          <w:r>
            <w:rPr>
              <w:b/>
              <w:color w:val="000000"/>
            </w:rPr>
            <w:t>Current method for meas</w:t>
          </w:r>
          <w:r>
            <w:rPr>
              <w:b/>
              <w:color w:val="000000"/>
            </w:rPr>
            <w:t>uring cohesion: surveys</w:t>
          </w:r>
          <w:r>
            <w:rPr>
              <w:b/>
              <w:color w:val="000000"/>
            </w:rPr>
            <w:tab/>
          </w:r>
          <w:r>
            <w:fldChar w:fldCharType="begin"/>
          </w:r>
          <w:r>
            <w:instrText xml:space="preserve"> PAGEREF _2s8eyo1 \h </w:instrText>
          </w:r>
          <w:r>
            <w:fldChar w:fldCharType="separate"/>
          </w:r>
          <w:r>
            <w:rPr>
              <w:b/>
              <w:color w:val="000000"/>
            </w:rPr>
            <w:t>8</w:t>
          </w:r>
          <w:hyperlink w:anchor="_2s8eyo1" w:history="1"/>
        </w:p>
        <w:p w14:paraId="4EA09F3D"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Survey instruments</w:t>
          </w:r>
          <w:r>
            <w:rPr>
              <w:b/>
              <w:color w:val="000000"/>
              <w:sz w:val="22"/>
              <w:szCs w:val="22"/>
            </w:rPr>
            <w:tab/>
          </w:r>
          <w:r>
            <w:fldChar w:fldCharType="begin"/>
          </w:r>
          <w:r>
            <w:instrText xml:space="preserve"> PAGEREF _17dp8vu \h </w:instrText>
          </w:r>
          <w:r>
            <w:fldChar w:fldCharType="separate"/>
          </w:r>
          <w:r>
            <w:rPr>
              <w:b/>
              <w:color w:val="000000"/>
              <w:sz w:val="22"/>
              <w:szCs w:val="22"/>
            </w:rPr>
            <w:t>8</w:t>
          </w:r>
          <w:hyperlink w:anchor="_17dp8vu" w:history="1"/>
        </w:p>
        <w:p w14:paraId="0309C87F"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Proxies for cohesion</w:t>
          </w:r>
          <w:r>
            <w:rPr>
              <w:b/>
              <w:color w:val="000000"/>
              <w:sz w:val="22"/>
              <w:szCs w:val="22"/>
            </w:rPr>
            <w:tab/>
          </w:r>
          <w:r>
            <w:fldChar w:fldCharType="begin"/>
          </w:r>
          <w:r>
            <w:instrText xml:space="preserve"> PAGEREF _3rdcrjn \h </w:instrText>
          </w:r>
          <w:r>
            <w:fldChar w:fldCharType="separate"/>
          </w:r>
          <w:r>
            <w:rPr>
              <w:b/>
              <w:color w:val="000000"/>
              <w:sz w:val="22"/>
              <w:szCs w:val="22"/>
            </w:rPr>
            <w:t>10</w:t>
          </w:r>
          <w:hyperlink w:anchor="_3rdcrjn" w:history="1"/>
        </w:p>
        <w:p w14:paraId="295D61BE"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I. Connectivity and informal networks</w:t>
          </w:r>
          <w:r>
            <w:rPr>
              <w:b/>
              <w:color w:val="000000"/>
              <w:sz w:val="22"/>
              <w:szCs w:val="22"/>
            </w:rPr>
            <w:tab/>
          </w:r>
          <w:r>
            <w:fldChar w:fldCharType="begin"/>
          </w:r>
          <w:r>
            <w:instrText xml:space="preserve"> PAGEREF _26in1rg \h </w:instrText>
          </w:r>
          <w:r>
            <w:fldChar w:fldCharType="separate"/>
          </w:r>
          <w:r>
            <w:rPr>
              <w:b/>
              <w:color w:val="000000"/>
              <w:sz w:val="22"/>
              <w:szCs w:val="22"/>
            </w:rPr>
            <w:t>11</w:t>
          </w:r>
          <w:hyperlink w:anchor="_26in1rg" w:history="1"/>
        </w:p>
        <w:p w14:paraId="7E7B72F0"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II. Attitudes of trust</w:t>
          </w:r>
          <w:r>
            <w:rPr>
              <w:b/>
              <w:color w:val="000000"/>
              <w:sz w:val="22"/>
              <w:szCs w:val="22"/>
            </w:rPr>
            <w:tab/>
          </w:r>
          <w:r>
            <w:fldChar w:fldCharType="begin"/>
          </w:r>
          <w:r>
            <w:instrText xml:space="preserve"> PAGEREF _lnxbz9 \h </w:instrText>
          </w:r>
          <w:r>
            <w:fldChar w:fldCharType="separate"/>
          </w:r>
          <w:r>
            <w:rPr>
              <w:b/>
              <w:color w:val="000000"/>
              <w:sz w:val="22"/>
              <w:szCs w:val="22"/>
            </w:rPr>
            <w:t>13</w:t>
          </w:r>
          <w:hyperlink w:anchor="_lnxbz9" w:history="1"/>
        </w:p>
        <w:p w14:paraId="60F56BE1"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III. Civic engagement:</w:t>
          </w:r>
          <w:r>
            <w:rPr>
              <w:b/>
              <w:color w:val="000000"/>
              <w:sz w:val="22"/>
              <w:szCs w:val="22"/>
            </w:rPr>
            <w:tab/>
          </w:r>
          <w:r>
            <w:fldChar w:fldCharType="begin"/>
          </w:r>
          <w:r>
            <w:instrText xml:space="preserve"> PAGEREF _3</w:instrText>
          </w:r>
          <w:r>
            <w:instrText xml:space="preserve">5nkun2 \h </w:instrText>
          </w:r>
          <w:r>
            <w:fldChar w:fldCharType="separate"/>
          </w:r>
          <w:r>
            <w:rPr>
              <w:b/>
              <w:color w:val="000000"/>
              <w:sz w:val="22"/>
              <w:szCs w:val="22"/>
            </w:rPr>
            <w:t>14</w:t>
          </w:r>
          <w:hyperlink w:anchor="_35nkun2" w:history="1"/>
        </w:p>
        <w:p w14:paraId="423878F8" w14:textId="77777777" w:rsidR="002C2FBE" w:rsidRDefault="0063233A">
          <w:pPr>
            <w:pBdr>
              <w:top w:val="nil"/>
              <w:left w:val="nil"/>
              <w:bottom w:val="nil"/>
              <w:right w:val="nil"/>
              <w:between w:val="nil"/>
            </w:pBdr>
            <w:tabs>
              <w:tab w:val="right" w:pos="9350"/>
            </w:tabs>
            <w:spacing w:before="120"/>
            <w:rPr>
              <w:color w:val="000000"/>
            </w:rPr>
          </w:pPr>
          <w:r>
            <w:fldChar w:fldCharType="end"/>
          </w:r>
          <w:r>
            <w:rPr>
              <w:b/>
              <w:color w:val="000000"/>
            </w:rPr>
            <w:t>Alternative data sources for measuring social cohesion</w:t>
          </w:r>
          <w:r>
            <w:rPr>
              <w:b/>
              <w:color w:val="000000"/>
            </w:rPr>
            <w:tab/>
          </w:r>
          <w:r>
            <w:fldChar w:fldCharType="begin"/>
          </w:r>
          <w:r>
            <w:instrText xml:space="preserve"> PAGEREF _1ksv4uv \h </w:instrText>
          </w:r>
          <w:r>
            <w:fldChar w:fldCharType="separate"/>
          </w:r>
          <w:r>
            <w:rPr>
              <w:b/>
              <w:color w:val="000000"/>
            </w:rPr>
            <w:t>16</w:t>
          </w:r>
          <w:hyperlink w:anchor="_1ksv4uv" w:history="1"/>
        </w:p>
        <w:p w14:paraId="0B85A0F5"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How alternative data can help</w:t>
          </w:r>
          <w:r>
            <w:rPr>
              <w:b/>
              <w:color w:val="000000"/>
              <w:sz w:val="22"/>
              <w:szCs w:val="22"/>
            </w:rPr>
            <w:tab/>
          </w:r>
          <w:r>
            <w:fldChar w:fldCharType="begin"/>
          </w:r>
          <w:r>
            <w:instrText xml:space="preserve"> PAGEREF _44sinio \h </w:instrText>
          </w:r>
          <w:r>
            <w:fldChar w:fldCharType="separate"/>
          </w:r>
          <w:r>
            <w:rPr>
              <w:b/>
              <w:color w:val="000000"/>
              <w:sz w:val="22"/>
              <w:szCs w:val="22"/>
            </w:rPr>
            <w:t>16</w:t>
          </w:r>
          <w:hyperlink w:anchor="_44sinio" w:history="1"/>
        </w:p>
        <w:p w14:paraId="207C88D5"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More reliable behavioral information</w:t>
          </w:r>
          <w:r>
            <w:rPr>
              <w:color w:val="000000"/>
              <w:sz w:val="22"/>
              <w:szCs w:val="22"/>
            </w:rPr>
            <w:tab/>
          </w:r>
          <w:r>
            <w:fldChar w:fldCharType="begin"/>
          </w:r>
          <w:r>
            <w:instrText xml:space="preserve"> PAGEREF _2jxsxqh \h </w:instrText>
          </w:r>
          <w:r>
            <w:fldChar w:fldCharType="separate"/>
          </w:r>
          <w:r>
            <w:rPr>
              <w:color w:val="000000"/>
              <w:sz w:val="22"/>
              <w:szCs w:val="22"/>
            </w:rPr>
            <w:t>16</w:t>
          </w:r>
          <w:hyperlink w:anchor="_2jxsxqh" w:history="1"/>
        </w:p>
        <w:p w14:paraId="649A2533"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Wider scope and lower cost</w:t>
          </w:r>
          <w:r>
            <w:rPr>
              <w:color w:val="000000"/>
              <w:sz w:val="22"/>
              <w:szCs w:val="22"/>
            </w:rPr>
            <w:tab/>
          </w:r>
          <w:r>
            <w:fldChar w:fldCharType="begin"/>
          </w:r>
          <w:r>
            <w:instrText xml:space="preserve"> PAGEREF _z337ya \h </w:instrText>
          </w:r>
          <w:r>
            <w:fldChar w:fldCharType="separate"/>
          </w:r>
          <w:r>
            <w:rPr>
              <w:color w:val="000000"/>
              <w:sz w:val="22"/>
              <w:szCs w:val="22"/>
            </w:rPr>
            <w:t>17</w:t>
          </w:r>
          <w:hyperlink w:anchor="_z337ya" w:history="1"/>
        </w:p>
        <w:p w14:paraId="0891FCDB"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Potential sources of data</w:t>
          </w:r>
          <w:r>
            <w:rPr>
              <w:b/>
              <w:color w:val="000000"/>
              <w:sz w:val="22"/>
              <w:szCs w:val="22"/>
            </w:rPr>
            <w:tab/>
          </w:r>
          <w:r>
            <w:fldChar w:fldCharType="begin"/>
          </w:r>
          <w:r>
            <w:instrText xml:space="preserve"> PAGEREF _3j2qqm3 \h </w:instrText>
          </w:r>
          <w:r>
            <w:fldChar w:fldCharType="separate"/>
          </w:r>
          <w:r>
            <w:rPr>
              <w:b/>
              <w:color w:val="000000"/>
              <w:sz w:val="22"/>
              <w:szCs w:val="22"/>
            </w:rPr>
            <w:t>17</w:t>
          </w:r>
          <w:hyperlink w:anchor="_3j2qqm3" w:history="1"/>
        </w:p>
        <w:p w14:paraId="639E238A" w14:textId="77777777" w:rsidR="002C2FBE" w:rsidRDefault="0063233A">
          <w:pPr>
            <w:pBdr>
              <w:top w:val="nil"/>
              <w:left w:val="nil"/>
              <w:bottom w:val="nil"/>
              <w:right w:val="nil"/>
              <w:between w:val="nil"/>
            </w:pBdr>
            <w:tabs>
              <w:tab w:val="right" w:pos="9350"/>
            </w:tabs>
            <w:ind w:left="240" w:hanging="240"/>
            <w:rPr>
              <w:color w:val="000000"/>
            </w:rPr>
          </w:pPr>
          <w:r>
            <w:fldChar w:fldCharType="end"/>
          </w:r>
          <w:r>
            <w:rPr>
              <w:b/>
              <w:color w:val="000000"/>
              <w:sz w:val="22"/>
              <w:szCs w:val="22"/>
            </w:rPr>
            <w:t>Shortcomings of alternative data</w:t>
          </w:r>
          <w:r>
            <w:rPr>
              <w:b/>
              <w:color w:val="000000"/>
              <w:sz w:val="22"/>
              <w:szCs w:val="22"/>
            </w:rPr>
            <w:tab/>
          </w:r>
          <w:r>
            <w:fldChar w:fldCharType="begin"/>
          </w:r>
          <w:r>
            <w:instrText xml:space="preserve"> PAGEREF _1y810tw \h </w:instrText>
          </w:r>
          <w:r>
            <w:fldChar w:fldCharType="separate"/>
          </w:r>
          <w:r>
            <w:rPr>
              <w:b/>
              <w:color w:val="000000"/>
              <w:sz w:val="22"/>
              <w:szCs w:val="22"/>
            </w:rPr>
            <w:t>19</w:t>
          </w:r>
          <w:hyperlink w:anchor="_1y810tw" w:history="1"/>
        </w:p>
        <w:p w14:paraId="44C657FF"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The problem of data linking</w:t>
          </w:r>
          <w:r>
            <w:rPr>
              <w:color w:val="000000"/>
              <w:sz w:val="22"/>
              <w:szCs w:val="22"/>
            </w:rPr>
            <w:tab/>
          </w:r>
          <w:r>
            <w:fldChar w:fldCharType="begin"/>
          </w:r>
          <w:r>
            <w:instrText xml:space="preserve"> PAGEREF _4i7ojhp \h </w:instrText>
          </w:r>
          <w:r>
            <w:fldChar w:fldCharType="separate"/>
          </w:r>
          <w:r>
            <w:rPr>
              <w:color w:val="000000"/>
              <w:sz w:val="22"/>
              <w:szCs w:val="22"/>
            </w:rPr>
            <w:t>19</w:t>
          </w:r>
          <w:hyperlink w:anchor="_4i7ojhp" w:history="1"/>
        </w:p>
        <w:p w14:paraId="082ABCF0" w14:textId="77777777" w:rsidR="002C2FBE" w:rsidRDefault="0063233A">
          <w:pPr>
            <w:pBdr>
              <w:top w:val="nil"/>
              <w:left w:val="nil"/>
              <w:bottom w:val="nil"/>
              <w:right w:val="nil"/>
              <w:between w:val="nil"/>
            </w:pBdr>
            <w:tabs>
              <w:tab w:val="right" w:pos="9350"/>
            </w:tabs>
            <w:ind w:left="480" w:hanging="480"/>
            <w:rPr>
              <w:color w:val="000000"/>
            </w:rPr>
          </w:pPr>
          <w:r>
            <w:fldChar w:fldCharType="end"/>
          </w:r>
          <w:r>
            <w:rPr>
              <w:color w:val="000000"/>
              <w:sz w:val="22"/>
              <w:szCs w:val="22"/>
            </w:rPr>
            <w:t>Privacy concerns</w:t>
          </w:r>
          <w:r>
            <w:rPr>
              <w:color w:val="000000"/>
              <w:sz w:val="22"/>
              <w:szCs w:val="22"/>
            </w:rPr>
            <w:tab/>
          </w:r>
          <w:r>
            <w:fldChar w:fldCharType="begin"/>
          </w:r>
          <w:r>
            <w:instrText xml:space="preserve"> PAGEREF _2xcytpi \h </w:instrText>
          </w:r>
          <w:r>
            <w:fldChar w:fldCharType="separate"/>
          </w:r>
          <w:r>
            <w:rPr>
              <w:color w:val="000000"/>
              <w:sz w:val="22"/>
              <w:szCs w:val="22"/>
            </w:rPr>
            <w:t>20</w:t>
          </w:r>
          <w:hyperlink w:anchor="_2xcytpi" w:history="1"/>
          <w:r>
            <w:fldChar w:fldCharType="end"/>
          </w:r>
        </w:p>
      </w:sdtContent>
    </w:sdt>
    <w:p w14:paraId="6A9EFADB" w14:textId="77777777" w:rsidR="002C2FBE" w:rsidRDefault="0063233A">
      <w:pPr>
        <w:pStyle w:val="Heading1"/>
      </w:pPr>
      <w:r>
        <w:fldChar w:fldCharType="end"/>
      </w:r>
      <w:r>
        <w:rPr>
          <w:rFonts w:ascii="Cambria" w:eastAsia="Cambria" w:hAnsi="Cambria" w:cs="Cambria"/>
          <w:smallCaps/>
          <w:color w:val="000000"/>
          <w:sz w:val="24"/>
          <w:szCs w:val="24"/>
        </w:rPr>
        <w:t xml:space="preserve"> SOCIAL COHESION AND RESILIENCE</w:t>
      </w:r>
      <w:r>
        <w:rPr>
          <w:rFonts w:ascii="Cambria" w:eastAsia="Cambria" w:hAnsi="Cambria" w:cs="Cambria"/>
          <w:smallCaps/>
          <w:color w:val="000000"/>
          <w:sz w:val="24"/>
          <w:szCs w:val="24"/>
        </w:rPr>
        <w:t xml:space="preserve"> - </w:t>
      </w:r>
      <w:r>
        <w:t>What is social cohesion and why should we measure it?</w:t>
      </w:r>
      <w:bookmarkStart w:id="2" w:name="_30j0zll" w:colFirst="0" w:colLast="0"/>
      <w:bookmarkEnd w:id="2"/>
    </w:p>
    <w:p w14:paraId="700AA22F" w14:textId="77777777" w:rsidR="002C2FBE" w:rsidRDefault="002C2FBE"/>
    <w:p w14:paraId="62FCE43A" w14:textId="77777777" w:rsidR="002C2FBE" w:rsidRDefault="0063233A">
      <w:r>
        <w:t xml:space="preserve">Social cohesion is an important trait of resilience. This literature review provides an overview of the many ways that social cohesion is measured, primarily through surveys that are static and expensive to replicate or keep updated.  Our initial focus is </w:t>
      </w:r>
      <w:r>
        <w:t>on social cohesion during and after a disaster yet our premise is that socially cohesive communities are also more resilient during times of more subtle shocks or chronic disruptions.  This review of the literature describes why social networks matter, and</w:t>
      </w:r>
      <w:r>
        <w:t xml:space="preserve"> presents definitions of and proxies for measuring social cohesion.  Alternative data sources for measuring social cohesion are then discussed.  The paper concludes with our analysis of the literature and ideas for measuring social cohesion using new sourc</w:t>
      </w:r>
      <w:r>
        <w:t>es of data.</w:t>
      </w:r>
    </w:p>
    <w:p w14:paraId="1ACC685A" w14:textId="77777777" w:rsidR="002C2FBE" w:rsidRDefault="002C2FBE" w:rsidP="00AC11A8"/>
    <w:p w14:paraId="2ECC1206" w14:textId="77777777" w:rsidR="002C2FBE" w:rsidRDefault="0063233A">
      <w:pPr>
        <w:pStyle w:val="Heading2"/>
      </w:pPr>
      <w:bookmarkStart w:id="3" w:name="_1fob9te" w:colFirst="0" w:colLast="0"/>
      <w:bookmarkEnd w:id="3"/>
      <w:r>
        <w:t>Introduction: Social networks matter</w:t>
      </w:r>
    </w:p>
    <w:p w14:paraId="65DC3509" w14:textId="77777777" w:rsidR="002C2FBE" w:rsidRDefault="002C2FBE"/>
    <w:p w14:paraId="4BEB97B3" w14:textId="77777777" w:rsidR="002C2FBE" w:rsidRDefault="0063233A">
      <w:commentRangeStart w:id="4"/>
      <w:r>
        <w:t xml:space="preserve">In </w:t>
      </w:r>
      <w:commentRangeEnd w:id="4"/>
      <w:r>
        <w:commentReference w:id="4"/>
      </w:r>
      <w:r>
        <w:t>August 2005, Hurricane Katrina, one of the most devastating natural disasters in U.S. history, struck the Gulf Coast with a terrible fury, flooding thousands of homes and businesses under a storm sur</w:t>
      </w:r>
      <w:r>
        <w:t xml:space="preserve">ge that reached 11 feet and obliterating entire coastal communities. At least 1,833 people were killed and damages reached over 100 billion </w:t>
      </w:r>
      <w:r>
        <w:lastRenderedPageBreak/>
        <w:t>dollars, making it the costliest natural disaster and the third deadliest hurricane in the history of the United Sta</w:t>
      </w:r>
      <w:r>
        <w:t xml:space="preserve">tes </w:t>
      </w:r>
      <w:commentRangeStart w:id="5"/>
      <w:r>
        <w:t>(</w:t>
      </w:r>
      <w:proofErr w:type="spellStart"/>
      <w:r>
        <w:fldChar w:fldCharType="begin"/>
      </w:r>
      <w:r>
        <w:instrText xml:space="preserve"> HYPERLINK \l "_qsh70q" \h </w:instrText>
      </w:r>
      <w:r>
        <w:fldChar w:fldCharType="separate"/>
      </w:r>
      <w:r>
        <w:t>Knabb</w:t>
      </w:r>
      <w:proofErr w:type="spellEnd"/>
      <w:r>
        <w:t xml:space="preserve"> et al., 2005</w:t>
      </w:r>
      <w:r>
        <w:fldChar w:fldCharType="end"/>
      </w:r>
      <w:r>
        <w:t>)</w:t>
      </w:r>
      <w:commentRangeEnd w:id="5"/>
      <w:r>
        <w:commentReference w:id="5"/>
      </w:r>
      <w:r>
        <w:t xml:space="preserve">.  Among the affected areas, by far the worst damage was sustained by the city of New Orleans, where the storm surge breached 53 different levees and submerged 80% of the city.  </w:t>
      </w:r>
    </w:p>
    <w:p w14:paraId="28278A6A" w14:textId="77777777" w:rsidR="002C2FBE" w:rsidRDefault="002C2FBE"/>
    <w:p w14:paraId="0FF5DCED" w14:textId="77777777" w:rsidR="002C2FBE" w:rsidRDefault="0063233A">
      <w:r>
        <w:t>Within New Orleans’</w:t>
      </w:r>
      <w:r>
        <w:t xml:space="preserve"> northeastern Village de </w:t>
      </w:r>
      <w:proofErr w:type="spellStart"/>
      <w:r>
        <w:t>L’Est</w:t>
      </w:r>
      <w:proofErr w:type="spellEnd"/>
      <w:r>
        <w:t xml:space="preserve"> lies the neighborhood of Mary Queen of Vietnam, home to a tight-knit community of Vietnamese Americans.  Two years after Katrina, while less than 35 percent of the Ninth Ward and only 50% of the rest of Village </w:t>
      </w:r>
      <w:proofErr w:type="spellStart"/>
      <w:r>
        <w:t>L’Est</w:t>
      </w:r>
      <w:proofErr w:type="spellEnd"/>
      <w:r>
        <w:t xml:space="preserve"> had retu</w:t>
      </w:r>
      <w:r>
        <w:t>rned to their homes, over 90% of the Vietnamese community had returned, and its homes and businesses rebuilt (</w:t>
      </w:r>
      <w:hyperlink w:anchor="_3whwml4">
        <w:r>
          <w:t>Aldrich, 2012</w:t>
        </w:r>
      </w:hyperlink>
      <w:r>
        <w:t xml:space="preserve">; </w:t>
      </w:r>
      <w:hyperlink w:anchor="_2bn6wsx">
        <w:proofErr w:type="spellStart"/>
        <w:r>
          <w:t>Chamlee</w:t>
        </w:r>
        <w:proofErr w:type="spellEnd"/>
        <w:r>
          <w:t>-Wright, 2010</w:t>
        </w:r>
      </w:hyperlink>
      <w:r>
        <w:t xml:space="preserve">; </w:t>
      </w:r>
      <w:hyperlink w:anchor="_3as4poj">
        <w:r>
          <w:t>Leong et al., 2007</w:t>
        </w:r>
      </w:hyperlink>
      <w:r>
        <w:t xml:space="preserve">).  What was different about this community that gave it such remarkable resilience?  The answer is not economic development or government aid; poverty rates in Village </w:t>
      </w:r>
      <w:proofErr w:type="spellStart"/>
      <w:r>
        <w:t>L’Est</w:t>
      </w:r>
      <w:proofErr w:type="spellEnd"/>
      <w:r>
        <w:t xml:space="preserve"> are comparable to the surrounding community, and there is no ev</w:t>
      </w:r>
      <w:r>
        <w:t>idence that any government agencies provided additional assistance to these particular residents after the flooding (</w:t>
      </w:r>
      <w:hyperlink w:anchor="_3whwml4">
        <w:r>
          <w:t>Aldrich, 2012</w:t>
        </w:r>
      </w:hyperlink>
      <w:r>
        <w:t xml:space="preserve">).  There was, however, one resource that Village </w:t>
      </w:r>
      <w:proofErr w:type="spellStart"/>
      <w:r>
        <w:t>L’Est</w:t>
      </w:r>
      <w:proofErr w:type="spellEnd"/>
      <w:r>
        <w:t xml:space="preserve"> had in abundance: social cohesion.  The</w:t>
      </w:r>
      <w:r>
        <w:t xml:space="preserve"> Vietnamese-American community was very tight-knit, and it may have been these high levels of trust and dense community networks that enabled Village </w:t>
      </w:r>
      <w:proofErr w:type="spellStart"/>
      <w:r>
        <w:t>L’Est</w:t>
      </w:r>
      <w:proofErr w:type="spellEnd"/>
      <w:r>
        <w:t xml:space="preserve"> to recover quickly, while other neighborhoods lacking these characteristics stagnated (</w:t>
      </w:r>
      <w:hyperlink w:anchor="_1ci93xb">
        <w:r>
          <w:t>Aldrich, 2010</w:t>
        </w:r>
      </w:hyperlink>
      <w:r>
        <w:t xml:space="preserve">; </w:t>
      </w:r>
      <w:hyperlink w:anchor="_2bn6wsx">
        <w:proofErr w:type="spellStart"/>
        <w:r>
          <w:t>Chamlee</w:t>
        </w:r>
        <w:proofErr w:type="spellEnd"/>
        <w:r>
          <w:t>-Wright, 2010</w:t>
        </w:r>
      </w:hyperlink>
      <w:r>
        <w:t>).  The community was resilient because it was cohesive.</w:t>
      </w:r>
    </w:p>
    <w:p w14:paraId="66293076" w14:textId="77777777" w:rsidR="002C2FBE" w:rsidRDefault="002C2FBE"/>
    <w:p w14:paraId="5534F9D4" w14:textId="77777777" w:rsidR="002C2FBE" w:rsidRDefault="0063233A">
      <w:r>
        <w:t xml:space="preserve">We might think that the case of Village </w:t>
      </w:r>
      <w:proofErr w:type="spellStart"/>
      <w:r>
        <w:t>L’Est</w:t>
      </w:r>
      <w:proofErr w:type="spellEnd"/>
      <w:r>
        <w:t xml:space="preserve"> was unique, or that this kind of cohesion may be a result of the dis</w:t>
      </w:r>
      <w:r>
        <w:t xml:space="preserve">tinct Vietnamese-American culture found there.  However, the case of Village </w:t>
      </w:r>
      <w:proofErr w:type="spellStart"/>
      <w:r>
        <w:t>L’Est</w:t>
      </w:r>
      <w:proofErr w:type="spellEnd"/>
      <w:r>
        <w:t xml:space="preserve"> is just one example among many of the community resilience created by social cohesion.  In his book </w:t>
      </w:r>
      <w:r>
        <w:rPr>
          <w:i/>
        </w:rPr>
        <w:t>Building Resilience</w:t>
      </w:r>
      <w:r>
        <w:t>, Aldrich catalogues many cases, from the 1995 Kobe, J</w:t>
      </w:r>
      <w:r>
        <w:t>apan earthquake to the 2004 Indian Ocean Tsunami, showing that in all of them, “social resources, at least as much as material ones, prove to be the foundation for resilience and recovery” (</w:t>
      </w:r>
      <w:hyperlink w:anchor="_3whwml4">
        <w:r>
          <w:t>Aldrich, 2012</w:t>
        </w:r>
      </w:hyperlink>
      <w:r>
        <w:t>).    Similarly, Dynes</w:t>
      </w:r>
      <w:r>
        <w:t xml:space="preserve"> (2005) &lt;&lt;&gt;&gt; finds that social capital works as “the primary basis of resilience. “</w:t>
      </w:r>
    </w:p>
    <w:p w14:paraId="6C61277C" w14:textId="77777777" w:rsidR="002C2FBE" w:rsidRDefault="002C2FBE"/>
    <w:p w14:paraId="6634A858" w14:textId="77777777" w:rsidR="002C2FBE" w:rsidRDefault="0063233A">
      <w:r>
        <w:t>While disaster resilience may be the most visible benefit of high social cohesion, it is not the only benefit.  High levels of trust and high density are associated with h</w:t>
      </w:r>
      <w:r>
        <w:t xml:space="preserve">igher life satisfaction &lt;&lt;Stiglitz 2009, Gaia </w:t>
      </w:r>
      <w:proofErr w:type="spellStart"/>
      <w:r>
        <w:t>marcus</w:t>
      </w:r>
      <w:proofErr w:type="spellEnd"/>
      <w:r>
        <w:t>&gt;&gt; and overall health &lt;&lt;Dobbs 2013, Putnam 2000&gt;&gt;, and may thus be important to the long-term health of communities.</w:t>
      </w:r>
    </w:p>
    <w:p w14:paraId="0D2B322E" w14:textId="77777777" w:rsidR="002C2FBE" w:rsidRDefault="002C2FBE"/>
    <w:p w14:paraId="4D30CC00" w14:textId="77777777" w:rsidR="002C2FBE" w:rsidRDefault="0063233A">
      <w:r>
        <w:t>Here we will review the literature on social cohesion, beginning with definitions, the</w:t>
      </w:r>
      <w:r>
        <w:t xml:space="preserve"> causes, benefits, and drawbacks of cohesion.  We will argue that even in a world where technology allows social ties to be maintained independent of geography, the concept of a geographic </w:t>
      </w:r>
      <w:r>
        <w:rPr>
          <w:i/>
        </w:rPr>
        <w:t>neighborhood</w:t>
      </w:r>
      <w:r>
        <w:t xml:space="preserve"> remains relevant and is the appropriate level at which</w:t>
      </w:r>
      <w:r>
        <w:t xml:space="preserve"> to measure social cohesion as it applies to social and disaster resilience.  We will review the current, predominantly survey-based, measurement methods and argue for the integration of alternative, largely unstructured data resources.</w:t>
      </w:r>
    </w:p>
    <w:p w14:paraId="640F0C2A" w14:textId="77777777" w:rsidR="002C2FBE" w:rsidRDefault="002C2FBE"/>
    <w:p w14:paraId="3052A43D" w14:textId="77777777" w:rsidR="002C2FBE" w:rsidRDefault="0063233A">
      <w:pPr>
        <w:pStyle w:val="Heading2"/>
      </w:pPr>
      <w:bookmarkStart w:id="6" w:name="_3znysh7" w:colFirst="0" w:colLast="0"/>
      <w:bookmarkEnd w:id="6"/>
      <w:r>
        <w:t>What is social coh</w:t>
      </w:r>
      <w:r>
        <w:t>esion?</w:t>
      </w:r>
    </w:p>
    <w:p w14:paraId="6D739119" w14:textId="77777777" w:rsidR="002C2FBE" w:rsidRDefault="002C2FBE"/>
    <w:p w14:paraId="05925D3A" w14:textId="77777777" w:rsidR="002C2FBE" w:rsidRDefault="0063233A">
      <w:r>
        <w:lastRenderedPageBreak/>
        <w:t xml:space="preserve">In this review, we will consider social </w:t>
      </w:r>
      <w:r>
        <w:rPr>
          <w:i/>
        </w:rPr>
        <w:t>cohesion</w:t>
      </w:r>
      <w:r>
        <w:t xml:space="preserve"> in the context of the broader concept of social </w:t>
      </w:r>
      <w:r>
        <w:rPr>
          <w:i/>
        </w:rPr>
        <w:t xml:space="preserve">capital, </w:t>
      </w:r>
      <w:r>
        <w:t>and so it will be useful to consider the latter term first. Social capital is, in the words of Stiglitz &lt;1999&gt;, “a concept with a short and al</w:t>
      </w:r>
      <w:r>
        <w:t>ready confused history.”  Only relatively recently recognized alongside physical capital and human capital, social capital is, like other forms of capital, a resource that can be possessed and mobilized.  But unlike the others, social capital is either onl</w:t>
      </w:r>
      <w:r>
        <w:t>y made available through networks of interpersonal connections or consists of the connections themselves &lt;&lt;</w:t>
      </w:r>
      <w:proofErr w:type="spellStart"/>
      <w:r>
        <w:t>Pennar</w:t>
      </w:r>
      <w:proofErr w:type="spellEnd"/>
      <w:r>
        <w:t xml:space="preserve"> 1997, </w:t>
      </w:r>
      <w:proofErr w:type="spellStart"/>
      <w:r>
        <w:t>Boxman</w:t>
      </w:r>
      <w:proofErr w:type="spellEnd"/>
      <w:r>
        <w:t xml:space="preserve"> 1991&gt;&gt;. Some consider social capital at the level of individual ties &lt;&lt;Coleman 1988&gt;&gt;, as when, for instance, a person receives i</w:t>
      </w:r>
      <w:r>
        <w:t xml:space="preserve">nformation about a job opportunity through a friend. Others see social capital </w:t>
      </w:r>
      <w:r>
        <w:t>at a group or community level &lt;&lt;</w:t>
      </w:r>
      <w:proofErr w:type="spellStart"/>
      <w:r>
        <w:t>portes</w:t>
      </w:r>
      <w:proofErr w:type="spellEnd"/>
      <w:r>
        <w:t xml:space="preserve"> 1993&gt;&gt;, as when a community jointly upholds norms of trust that facilitate transactions &lt;&lt;Woolcock 1998&gt;&gt;.</w:t>
      </w:r>
    </w:p>
    <w:p w14:paraId="5B0F3856" w14:textId="77777777" w:rsidR="002C2FBE" w:rsidRDefault="002C2FBE"/>
    <w:p w14:paraId="71F112E8" w14:textId="77777777" w:rsidR="002C2FBE" w:rsidRDefault="0063233A">
      <w:r>
        <w:t>Following Putnam (2003) and</w:t>
      </w:r>
      <w:r>
        <w:t xml:space="preserve"> </w:t>
      </w:r>
      <w:proofErr w:type="spellStart"/>
      <w:r>
        <w:t>Granovetter</w:t>
      </w:r>
      <w:proofErr w:type="spellEnd"/>
      <w:r>
        <w:t xml:space="preserve"> &lt;&lt;1973&gt;&gt;, social capital is often thought to come in two forms</w:t>
      </w:r>
      <w:r>
        <w:rPr>
          <w:i/>
        </w:rPr>
        <w:t>: bonding capital</w:t>
      </w:r>
      <w:r>
        <w:t xml:space="preserve"> through “strong ties” with close friends and family in tight-knit, often homogenous communities, and </w:t>
      </w:r>
      <w:r>
        <w:rPr>
          <w:i/>
        </w:rPr>
        <w:t>bridging capital</w:t>
      </w:r>
      <w:r>
        <w:t xml:space="preserve"> through “weak ties” with voluntary associatio</w:t>
      </w:r>
      <w:r>
        <w:t xml:space="preserve">ns and horizontal ties based on common interests or business interactions which often transcend cultural and geographic borders.  </w:t>
      </w:r>
    </w:p>
    <w:p w14:paraId="486F3C0D" w14:textId="77777777" w:rsidR="002C2FBE" w:rsidRDefault="002C2FBE"/>
    <w:p w14:paraId="6E5F9C9B" w14:textId="77777777" w:rsidR="002C2FBE" w:rsidRDefault="0063233A">
      <w:r>
        <w:t xml:space="preserve">Perhaps the most influential concept of social capital—at least from a measurement perspective—considers four aspects: 1) </w:t>
      </w:r>
      <w:r>
        <w:rPr>
          <w:i/>
        </w:rPr>
        <w:t>en</w:t>
      </w:r>
      <w:r>
        <w:rPr>
          <w:i/>
        </w:rPr>
        <w:t>gagement</w:t>
      </w:r>
      <w:r>
        <w:t xml:space="preserve"> in civic, political, and community organizations, 2) </w:t>
      </w:r>
      <w:r>
        <w:rPr>
          <w:i/>
        </w:rPr>
        <w:t>connectivity</w:t>
      </w:r>
      <w:r>
        <w:t xml:space="preserve"> with friends, family and neighbors and 3) </w:t>
      </w:r>
      <w:r>
        <w:rPr>
          <w:i/>
        </w:rPr>
        <w:t>attitudes</w:t>
      </w:r>
      <w:r>
        <w:t xml:space="preserve"> of trust and goodwill with the community and 4) empowerment and self-efficacy &lt;&lt;Putnam 1993, 2000, UK Office of National Statisti</w:t>
      </w:r>
      <w:r>
        <w:t xml:space="preserve">cs&gt;&gt;. An alternative way of viewing capital, and one which we will favor in this review, is to consider social capital broadly divided into </w:t>
      </w:r>
      <w:r>
        <w:rPr>
          <w:i/>
        </w:rPr>
        <w:t>engagement</w:t>
      </w:r>
      <w:r>
        <w:t xml:space="preserve">, or the set of formal and informal institutions and activities that promote collective efficacy, and </w:t>
      </w:r>
      <w:r>
        <w:rPr>
          <w:i/>
        </w:rPr>
        <w:t>soci</w:t>
      </w:r>
      <w:r>
        <w:rPr>
          <w:i/>
        </w:rPr>
        <w:t>al</w:t>
      </w:r>
      <w:r>
        <w:t xml:space="preserve"> </w:t>
      </w:r>
      <w:r>
        <w:rPr>
          <w:i/>
        </w:rPr>
        <w:t>cohesion</w:t>
      </w:r>
      <w:r>
        <w:t xml:space="preserve">, or norms of trust, acceptance, and willingness to participate &lt;&lt;Prewitt&gt;&gt;. </w:t>
      </w:r>
      <w:commentRangeStart w:id="7"/>
      <w:r>
        <w:t xml:space="preserve"> </w:t>
      </w:r>
      <w:commentRangeEnd w:id="7"/>
      <w:r>
        <w:commentReference w:id="7"/>
      </w:r>
    </w:p>
    <w:p w14:paraId="6507D700" w14:textId="77777777" w:rsidR="002C2FBE" w:rsidRDefault="002C2FBE"/>
    <w:p w14:paraId="78CFFC07" w14:textId="77777777" w:rsidR="002C2FBE" w:rsidRDefault="0063233A">
      <w:r>
        <w:t xml:space="preserve">The term </w:t>
      </w:r>
      <w:r>
        <w:rPr>
          <w:i/>
        </w:rPr>
        <w:t>social cohesion</w:t>
      </w:r>
      <w:r>
        <w:t xml:space="preserve"> can be thought of the part of social capital that deals with connectivity, unity, and inclusion within social groups, though as Bernard &lt;</w:t>
      </w:r>
      <w:r>
        <w:t>1999&gt; observes, it is often more of a “quasi concept” or “concept of convenience” that is “flexible enough to allow the meanderings and necessities of political action from day to day” &lt;&lt;Bernard 1999&gt;&gt;.  If the goal is to measure and evaluate cohesion, how</w:t>
      </w:r>
      <w:r>
        <w:t xml:space="preserve">ever, it must be clearly defined.  To this end, Chan et al. (2006) define it as “a state of affairs concerning both the vertical and the horizontal interactions among members of society as characterized by a set of attitudes and norms that includes trust, </w:t>
      </w:r>
      <w:r>
        <w:t xml:space="preserve">sense of belongingness and the willingness to participate and help as well as their behavioral manifestations.”  Jensen (1998) identifies five dimensions of social cohesion: (1) belonging versus isolation, (2) inclusion versus exclusion, (3) participation </w:t>
      </w:r>
      <w:r>
        <w:t>versus noninvolvement, (4) recognition versus rejection, and (5) legitimacy versus illegitimacy, while Bernard’s&lt;1999&gt; typology adds to that a 6</w:t>
      </w:r>
      <w:r>
        <w:rPr>
          <w:vertAlign w:val="superscript"/>
        </w:rPr>
        <w:t>th</w:t>
      </w:r>
      <w:r>
        <w:t xml:space="preserve"> dimension: equality vs inequality.  Attempts to measure social cohesion—such as the </w:t>
      </w:r>
      <w:commentRangeStart w:id="8"/>
      <w:r>
        <w:t>European Values Study’s V</w:t>
      </w:r>
      <w:r>
        <w:t>ALCOS index</w:t>
      </w:r>
      <w:commentRangeEnd w:id="8"/>
      <w:r>
        <w:commentReference w:id="8"/>
      </w:r>
      <w:r>
        <w:t>, generally base their surveys on the above typologies &lt;&lt;</w:t>
      </w:r>
      <w:proofErr w:type="spellStart"/>
      <w:r>
        <w:t>Acket</w:t>
      </w:r>
      <w:proofErr w:type="spellEnd"/>
      <w:r>
        <w:t xml:space="preserve"> 2001&gt;&gt;. </w:t>
      </w:r>
    </w:p>
    <w:p w14:paraId="5E04A15C" w14:textId="77777777" w:rsidR="002C2FBE" w:rsidRDefault="002C2FBE"/>
    <w:p w14:paraId="72AF3A55" w14:textId="77777777" w:rsidR="002C2FBE" w:rsidRDefault="0063233A">
      <w:r>
        <w:t xml:space="preserve">Because of the fluidity of the terms social capital and social cohesion, measurements of the two concepts overlap considerably, and are sometimes indistinguishable.  For the purposes </w:t>
      </w:r>
      <w:r>
        <w:lastRenderedPageBreak/>
        <w:t>of this review, however, we will consider social cohesion to be the subse</w:t>
      </w:r>
      <w:r>
        <w:t>t of social capital that deals with norms of trust, communication, involvement and collective efficacy within communities.</w:t>
      </w:r>
    </w:p>
    <w:p w14:paraId="475DCF02" w14:textId="77777777" w:rsidR="002C2FBE" w:rsidRDefault="002C2FBE"/>
    <w:p w14:paraId="74DB4A94" w14:textId="77777777" w:rsidR="002C2FBE" w:rsidRDefault="0063233A">
      <w:pPr>
        <w:pStyle w:val="Heading2"/>
      </w:pPr>
      <w:bookmarkStart w:id="9" w:name="_2et92p0" w:colFirst="0" w:colLast="0"/>
      <w:bookmarkEnd w:id="9"/>
      <w:r>
        <w:t>Why measure social cohesion?</w:t>
      </w:r>
    </w:p>
    <w:p w14:paraId="1BC8FB37" w14:textId="77777777" w:rsidR="002C2FBE" w:rsidRDefault="002C2FBE"/>
    <w:p w14:paraId="085A32BE" w14:textId="77777777" w:rsidR="002C2FBE" w:rsidRDefault="0063233A">
      <w:pPr>
        <w:pStyle w:val="Heading3"/>
      </w:pPr>
      <w:bookmarkStart w:id="10" w:name="_tyjcwt" w:colFirst="0" w:colLast="0"/>
      <w:bookmarkEnd w:id="10"/>
      <w:r>
        <w:t>Resilience to disaster</w:t>
      </w:r>
    </w:p>
    <w:p w14:paraId="07595AA0" w14:textId="77777777" w:rsidR="002C2FBE" w:rsidRDefault="0063233A">
      <w:r>
        <w:t xml:space="preserve">One reason we might be interested in measuring the social cohesion of neighborhoods is that, in retrospective case studies of disasters like the case of Village </w:t>
      </w:r>
      <w:proofErr w:type="spellStart"/>
      <w:r>
        <w:t>L’Est</w:t>
      </w:r>
      <w:proofErr w:type="spellEnd"/>
      <w:r>
        <w:t xml:space="preserve">, there is a surprisingly high variation in resilience from neighborhood to neighborhood, </w:t>
      </w:r>
      <w:r>
        <w:t xml:space="preserve">even given similar socioeconomic levels and government aid &lt;&lt;Aldrich 2012&gt;&gt;.   (The term </w:t>
      </w:r>
      <w:r>
        <w:rPr>
          <w:i/>
        </w:rPr>
        <w:t>resilience</w:t>
      </w:r>
      <w:r>
        <w:t xml:space="preserve"> can mean several things, but in the context of neighborhoods, we will define it as the ease with which a community can return to a stable state after a pert</w:t>
      </w:r>
      <w:r>
        <w:t>urbation.)  Hurricane Katrina is not the only example.  Ten years after the 1995 earthquake in Kobe, Japan left 310,000 people homeless, Aldrich &lt;&lt;2010&gt;&gt; found a large variation in the levels of population recovery among Kobe’s nine wards.  Controlling for</w:t>
      </w:r>
      <w:r>
        <w:t xml:space="preserve"> damage, population density, economic conditions, inequality and other variables, he concluded that the degree of social cohesion (as proxied by the number of neighborhood volunteer organizations) “proves to be the strongest and most robust predictor of po</w:t>
      </w:r>
      <w:r>
        <w:t xml:space="preserve">pulation recovery.” </w:t>
      </w:r>
    </w:p>
    <w:p w14:paraId="09F65710" w14:textId="77777777" w:rsidR="002C2FBE" w:rsidRDefault="002C2FBE"/>
    <w:p w14:paraId="4A76B75C" w14:textId="77777777" w:rsidR="002C2FBE" w:rsidRDefault="0063233A">
      <w:r>
        <w:t xml:space="preserve">Other examples abound.  In Chicago, heat-related deaths during summer months are negatively associated with levels of social capital &lt;&lt;Browning et al, </w:t>
      </w:r>
      <w:proofErr w:type="spellStart"/>
      <w:r>
        <w:t>klinenburg</w:t>
      </w:r>
      <w:proofErr w:type="spellEnd"/>
      <w:r>
        <w:t>&gt;&gt;.  In low-income Mexican American communities in coastal Texas, percept</w:t>
      </w:r>
      <w:r>
        <w:t>ions of trust and fairness were associated with higher degree of disaster preparedness &lt;</w:t>
      </w:r>
      <w:proofErr w:type="spellStart"/>
      <w:r>
        <w:t>Reininger</w:t>
      </w:r>
      <w:proofErr w:type="spellEnd"/>
      <w:r>
        <w:t>&gt;&gt;.  Trust and communication also determined the performance of relief partnerships in post-earthquake Haiti.  &lt;&lt;Nolte&gt;&gt; After Hurricane Andrew, people who wer</w:t>
      </w:r>
      <w:r>
        <w:t>e embedded in tighter-knit social networks reported receiving more help from their friends and family than those in lower-density networks &lt;&lt;</w:t>
      </w:r>
      <w:proofErr w:type="spellStart"/>
      <w:r>
        <w:t>Hurlbert</w:t>
      </w:r>
      <w:proofErr w:type="spellEnd"/>
      <w:r>
        <w:t>&gt;&gt;, and after the Indian Tsunami of 2004, recovery of Tamil villages was associated more with the existence</w:t>
      </w:r>
      <w:r>
        <w:t xml:space="preserve"> of local parish and caste councils than it was with the degree of damage sustained &lt;&lt;Aldrich 2011 Externalities&gt;&gt;.  These examples highlight the power of social cohesion to provide disaster resilience to communities. In contrast, empirical studies have fa</w:t>
      </w:r>
      <w:r>
        <w:t>iled to find a causal link between aid expenditure and enhanced recovery &lt;&lt;see Aldrich 2012 for review&gt;&gt;.</w:t>
      </w:r>
    </w:p>
    <w:p w14:paraId="47652741" w14:textId="77777777" w:rsidR="002C2FBE" w:rsidRDefault="002C2FBE"/>
    <w:p w14:paraId="0E9FB27F" w14:textId="77777777" w:rsidR="002C2FBE" w:rsidRDefault="0063233A">
      <w:r>
        <w:t>The strong correlation between the cohesion and resilience of populations is likely due to the fact that, despite the high levels of aid often provid</w:t>
      </w:r>
      <w:r>
        <w:t>ed through nonprofits, aid organizations, and local, state and federal government agencies, the burden of aiding victims immediately after a disaster still falls largely on the shoulders of individuals in the community</w:t>
      </w:r>
      <w:commentRangeStart w:id="11"/>
      <w:r>
        <w:t xml:space="preserve">. </w:t>
      </w:r>
      <w:commentRangeEnd w:id="11"/>
      <w:r>
        <w:commentReference w:id="11"/>
      </w:r>
      <w:r>
        <w:t xml:space="preserve"> These, rather than trained emerg</w:t>
      </w:r>
      <w:r>
        <w:t>ency personnel, are often the real first responders on the scene&lt;&lt;</w:t>
      </w:r>
      <w:proofErr w:type="spellStart"/>
      <w:r>
        <w:t>Perrow</w:t>
      </w:r>
      <w:proofErr w:type="spellEnd"/>
      <w:r>
        <w:t xml:space="preserve">  2007&gt;&gt;.  During the critical hours and days following a catastrophe, neighbors may be the first or even the only resources that victims can draw on for help; a geographically distant</w:t>
      </w:r>
      <w:r>
        <w:t xml:space="preserve"> network of social connections may be of little help when major transportation and communication lines are down.  A survey of victims living in the areas most damaged by 2012’s Superstorm Sandy showed that people more commonly </w:t>
      </w:r>
      <w:r>
        <w:lastRenderedPageBreak/>
        <w:t>sought and received help from</w:t>
      </w:r>
      <w:r>
        <w:t xml:space="preserve"> “friends, family, and neighbors within 1 mile” than any other group, including first responders, insurance agencies, utility companies, and relief organizations</w:t>
      </w:r>
      <w:r>
        <w:t xml:space="preserve"> &lt;&lt;</w:t>
      </w:r>
      <w:proofErr w:type="spellStart"/>
      <w:r>
        <w:t>Tompson</w:t>
      </w:r>
      <w:proofErr w:type="spellEnd"/>
      <w:r>
        <w:t xml:space="preserve"> et al 2013&gt;&gt;</w:t>
      </w:r>
      <w:r>
        <w:t xml:space="preserve">  </w:t>
      </w:r>
      <w:r>
        <w:t xml:space="preserve"> </w:t>
      </w:r>
      <w:r>
        <w:t xml:space="preserve">During Hurricane Katrina, 84% of evacuees received help from friends </w:t>
      </w:r>
      <w:r>
        <w:t xml:space="preserve">and family &lt;&lt;Roberto 2009&gt;&gt;, and after the 1987 Edmonton tornado, the injured victim’s decisions to seek medical attention and their transportation to medical facilities were as often facilitated by friends and family as by trained professionals &lt;&lt;Scanlon </w:t>
      </w:r>
      <w:r>
        <w:t xml:space="preserve">1990&gt;&gt;.   </w:t>
      </w:r>
      <w:proofErr w:type="spellStart"/>
      <w:r>
        <w:t>Chamlee</w:t>
      </w:r>
      <w:proofErr w:type="spellEnd"/>
      <w:r>
        <w:t>-Wright reports that after Hurricane Katrina, homeowners were often much less interested in hearing official status updates from government than they were in learning whether their neighbors intended to return &lt;&lt;</w:t>
      </w:r>
      <w:proofErr w:type="spellStart"/>
      <w:r>
        <w:t>Chamlee</w:t>
      </w:r>
      <w:proofErr w:type="spellEnd"/>
      <w:r>
        <w:t>-Wright 2010&gt;&gt;.  Giv</w:t>
      </w:r>
      <w:r>
        <w:t>en these factors, it should not be surprising that to a large degree the ability for communities to rebound after a disaster depends largely on the structure and norms of the local social network.</w:t>
      </w:r>
    </w:p>
    <w:p w14:paraId="1F8F695C" w14:textId="77777777" w:rsidR="002C2FBE" w:rsidRDefault="002C2FBE"/>
    <w:p w14:paraId="5BC9C33D" w14:textId="77777777" w:rsidR="002C2FBE" w:rsidRDefault="0063233A">
      <w:pPr>
        <w:pStyle w:val="Heading3"/>
      </w:pPr>
      <w:bookmarkStart w:id="12" w:name="_3dy6vkm" w:colFirst="0" w:colLast="0"/>
      <w:bookmarkEnd w:id="12"/>
      <w:r>
        <w:t>Other kinds of resilience</w:t>
      </w:r>
    </w:p>
    <w:p w14:paraId="6653ECAD" w14:textId="77777777" w:rsidR="002C2FBE" w:rsidRDefault="0063233A">
      <w:r>
        <w:t>The effects of social cohesion a</w:t>
      </w:r>
      <w:r>
        <w:t>re not limited to times of disaster.  Cohesion can play a role in resilience to less catastrophic shocks such as economic decline, rapid demographic changes, congestion, and infrastructure degeneration. There is even evidence that higher trust and collecti</w:t>
      </w:r>
      <w:r>
        <w:t>ve action can improve economic, health, and well-being in everyday life.  A study in rural Tanzania, for instance, found that a one standard-deviation increase in village social capital increases household income 20-30% —an effect equal to “an equivalent i</w:t>
      </w:r>
      <w:r>
        <w:t>ncrease in non-farming assets or tripling the level of education.”  &lt;&lt;Narayan 1999&gt;&gt;. The authors found that higher social capital resulted in better publicly provided services, greater use of agricultural inputs, more community activity, and greater use o</w:t>
      </w:r>
      <w:r>
        <w:t xml:space="preserve">f credit. </w:t>
      </w:r>
    </w:p>
    <w:p w14:paraId="3CAB89CE" w14:textId="77777777" w:rsidR="002C2FBE" w:rsidRDefault="002C2FBE"/>
    <w:p w14:paraId="1BD27F53" w14:textId="77777777" w:rsidR="002C2FBE" w:rsidRDefault="0063233A">
      <w:r>
        <w:t>One mechanism by which social cohesion produces greater economic outcomes is through sharing of information.  It is common, for instance, for information about job opportunities &lt;&lt;</w:t>
      </w:r>
      <w:proofErr w:type="spellStart"/>
      <w:r>
        <w:t>Granovetter</w:t>
      </w:r>
      <w:proofErr w:type="spellEnd"/>
      <w:r>
        <w:t xml:space="preserve"> 1974&gt;&gt; or new house listings &lt;&lt;Pittman 2008&gt;&gt; to be </w:t>
      </w:r>
      <w:r>
        <w:t>circulated among friends and family before going public.  Another mechanism is through sharing of economic risk, which is particularly valuable in low-income or developing communities where formal insurance may be expensive or unavailable, and where job un</w:t>
      </w:r>
      <w:r>
        <w:t xml:space="preserve">certainty is higher.  The ability to rely on friends and family for support if things go wrong may act as a kind of “informal insurance” that can facilitate higher risk, higher reward economic decisions &lt;&lt;Morduch 1995&gt;&gt;. </w:t>
      </w:r>
    </w:p>
    <w:p w14:paraId="756B64AC" w14:textId="77777777" w:rsidR="002C2FBE" w:rsidRDefault="002C2FBE"/>
    <w:p w14:paraId="34020C4D" w14:textId="77777777" w:rsidR="002C2FBE" w:rsidRDefault="0063233A">
      <w:r>
        <w:t xml:space="preserve">Social cohesion also facilitates </w:t>
      </w:r>
      <w:r>
        <w:t>political power through collective efficacy.  In his study of variations in civic involvement in different regions of Italy, Putnam (1993) finds that higher levels of trust and civic involvement in communities is associated with more effective administrati</w:t>
      </w:r>
      <w:r>
        <w:t>on, perhaps through more effective monitoring of government. According to Dow &lt;&lt;1999&gt;&gt;, "greater levels of social capital share information</w:t>
      </w:r>
      <w:r>
        <w:rPr>
          <w:b/>
        </w:rPr>
        <w:t xml:space="preserve"> </w:t>
      </w:r>
      <w:r>
        <w:t xml:space="preserve">about bureaucratic procedures and upcoming deadlines, monitor public space to prevent dumping, and deter looting in </w:t>
      </w:r>
      <w:r>
        <w:t>their community."  Local solidarity can also provide neighborhoods with a higher degree of political power.  For example, a review of highly controversial building sites in Japan found that "state agencies choose localities judged weakest in local civil so</w:t>
      </w:r>
      <w:r>
        <w:t>ciety as host communities for controversial projects. &lt;&lt;Aldrich&gt;&gt;</w:t>
      </w:r>
    </w:p>
    <w:p w14:paraId="4D9EBC84" w14:textId="77777777" w:rsidR="002C2FBE" w:rsidRDefault="002C2FBE"/>
    <w:p w14:paraId="5DB2E5EC" w14:textId="77777777" w:rsidR="002C2FBE" w:rsidRDefault="0063233A">
      <w:r>
        <w:t>In addition to economic and political resilience, cohesion within social networks can also have large positive effects on health and well-being.  People with more friendships are both happi</w:t>
      </w:r>
      <w:r>
        <w:t>er  &lt;&lt;&gt;&gt; and live longer. &lt;&lt;Holt-</w:t>
      </w:r>
      <w:proofErr w:type="spellStart"/>
      <w:r>
        <w:t>Lunstad</w:t>
      </w:r>
      <w:proofErr w:type="spellEnd"/>
      <w:r>
        <w:t xml:space="preserve"> 2012&gt;&gt; than more socially isolated people.  The effects are not small. Social connections are among the most robust predictors of </w:t>
      </w:r>
      <w:commentRangeStart w:id="13"/>
      <w:r>
        <w:t>subjective measures of life satisfaction</w:t>
      </w:r>
      <w:r>
        <w:rPr>
          <w:b/>
        </w:rPr>
        <w:t xml:space="preserve"> </w:t>
      </w:r>
      <w:r>
        <w:t>&lt;</w:t>
      </w:r>
      <w:commentRangeEnd w:id="13"/>
      <w:r>
        <w:commentReference w:id="13"/>
      </w:r>
      <w:r>
        <w:t>&lt;</w:t>
      </w:r>
      <w:proofErr w:type="spellStart"/>
      <w:r>
        <w:t>stiglitz</w:t>
      </w:r>
      <w:proofErr w:type="spellEnd"/>
      <w:r>
        <w:t xml:space="preserve"> 2009&gt;&gt;</w:t>
      </w:r>
      <w:r>
        <w:rPr>
          <w:b/>
        </w:rPr>
        <w:t xml:space="preserve">, </w:t>
      </w:r>
      <w:r>
        <w:t>and social isolation i</w:t>
      </w:r>
      <w:r>
        <w:t>s as strong a predictor of mortality as traditional risk factors such as smoking and hypertension &lt;&lt;</w:t>
      </w:r>
      <w:proofErr w:type="spellStart"/>
      <w:r>
        <w:t>Pantell</w:t>
      </w:r>
      <w:proofErr w:type="spellEnd"/>
      <w:r>
        <w:t xml:space="preserve"> 2013&gt;&gt;.</w:t>
      </w:r>
      <w:r>
        <w:rPr>
          <w:b/>
        </w:rPr>
        <w:t xml:space="preserve"> </w:t>
      </w:r>
      <w:r>
        <w:t xml:space="preserve"> Administrators in government and industry who are interested in measuring and promoting health and </w:t>
      </w:r>
      <w:proofErr w:type="spellStart"/>
      <w:r>
        <w:t>well being</w:t>
      </w:r>
      <w:proofErr w:type="spellEnd"/>
      <w:r>
        <w:t xml:space="preserve"> of their communities will rec</w:t>
      </w:r>
      <w:r>
        <w:t>ognize the importance of including measurements of social cohesion in their studies.</w:t>
      </w:r>
    </w:p>
    <w:p w14:paraId="332B8400" w14:textId="77777777" w:rsidR="002C2FBE" w:rsidRDefault="002C2FBE"/>
    <w:p w14:paraId="2773B1BE" w14:textId="77777777" w:rsidR="002C2FBE" w:rsidRDefault="0063233A">
      <w:pPr>
        <w:pStyle w:val="Heading3"/>
      </w:pPr>
      <w:bookmarkStart w:id="14" w:name="_1t3h5sf" w:colFirst="0" w:colLast="0"/>
      <w:bookmarkEnd w:id="14"/>
      <w:r>
        <w:t>The downsides of social cohesion</w:t>
      </w:r>
    </w:p>
    <w:p w14:paraId="1C769347" w14:textId="77777777" w:rsidR="002C2FBE" w:rsidRDefault="0063233A">
      <w:r>
        <w:t>We have hitherto examined social cohesion as a form of social capital: a positive resource.  We should note, however, that the term cohes</w:t>
      </w:r>
      <w:r>
        <w:t>ion refers only to a characteristic of social networks (</w:t>
      </w:r>
      <w:proofErr w:type="spellStart"/>
      <w:r>
        <w:t>ie</w:t>
      </w:r>
      <w:proofErr w:type="spellEnd"/>
      <w:r>
        <w:t xml:space="preserve"> high densities of connections, many of “mutual friends,” and high levels of trust and cooperation), but these characteristics may not necessarily produce desirable outcomes.  For example, as </w:t>
      </w:r>
      <w:proofErr w:type="spellStart"/>
      <w:r>
        <w:t>Rowson</w:t>
      </w:r>
      <w:proofErr w:type="spellEnd"/>
      <w:r>
        <w:t xml:space="preserve"> and Colleagues observe: being embedded in a cohesive network “is good for receiving information and being happy, but bad for avoiding infectious diseases.” Nor does cohesion necessarily translate into positive resources.  Considering social networks in so</w:t>
      </w:r>
      <w:r>
        <w:t xml:space="preserve">me inner cities, for example, de </w:t>
      </w:r>
      <w:proofErr w:type="spellStart"/>
      <w:r>
        <w:t>Filippis</w:t>
      </w:r>
      <w:proofErr w:type="spellEnd"/>
      <w:r>
        <w:t xml:space="preserve"> &lt;&lt;2001&gt;&gt; argues that they are actually fairly cohesive, but that this provides little help to their residents. The problem, he argues, “. . .is not that there is a lack of trust-based social networks and mutual sup</w:t>
      </w:r>
      <w:r>
        <w:t>port, but rather that these network and support are unable to generate capital.” Problems may arise when networks become too heavily skewed towards local connections; some evidence indicates that high-density networks that lack diversity can become insulat</w:t>
      </w:r>
      <w:r>
        <w:t xml:space="preserve">ed and isolated from a broader community and end up associated with worse, rather than better, economic outcomes (Eagle et al. </w:t>
      </w:r>
      <w:proofErr w:type="spellStart"/>
      <w:r>
        <w:t>Granovetter</w:t>
      </w:r>
      <w:proofErr w:type="spellEnd"/>
      <w:r>
        <w:t xml:space="preserve"> 1973). </w:t>
      </w:r>
    </w:p>
    <w:p w14:paraId="0BFCC8B0" w14:textId="77777777" w:rsidR="002C2FBE" w:rsidRDefault="002C2FBE"/>
    <w:p w14:paraId="7BABBCC2" w14:textId="77777777" w:rsidR="002C2FBE" w:rsidRDefault="0063233A">
      <w:pPr>
        <w:rPr>
          <w:rFonts w:ascii="Calibri" w:eastAsia="Calibri" w:hAnsi="Calibri" w:cs="Calibri"/>
        </w:rPr>
      </w:pPr>
      <w:r>
        <w:t>High cohesion can have negative social and political effects as well.  Part of this comes from the principle</w:t>
      </w:r>
      <w:r>
        <w:t xml:space="preserve"> of </w:t>
      </w:r>
      <w:r>
        <w:rPr>
          <w:i/>
        </w:rPr>
        <w:t>homophily</w:t>
      </w:r>
      <w:r>
        <w:t>: people tend to aggregate with others who are more similar to themselves.  Social cohesion is facilitated in some cases by cultural or ethnic homogeneity &lt;&lt;</w:t>
      </w:r>
      <w:proofErr w:type="spellStart"/>
      <w:r>
        <w:t>Ajuha</w:t>
      </w:r>
      <w:proofErr w:type="spellEnd"/>
      <w:r>
        <w:t xml:space="preserve">, &gt;&gt;, as is likely in the example of New Orleans’ Village </w:t>
      </w:r>
      <w:proofErr w:type="spellStart"/>
      <w:r>
        <w:t>L’Est</w:t>
      </w:r>
      <w:proofErr w:type="spellEnd"/>
      <w:r>
        <w:t>.  But such homoge</w:t>
      </w:r>
      <w:r>
        <w:t xml:space="preserve">neity can lead to the exclusion of minority groups.   As Waldinger notes, </w:t>
      </w:r>
      <w:r>
        <w:rPr>
          <w:rFonts w:ascii="Calibri" w:eastAsia="Calibri" w:hAnsi="Calibri" w:cs="Calibri"/>
        </w:rPr>
        <w:t xml:space="preserve">``the same social relations that ... enhance the ease and efficiency of economic exchange among community members implicitly restrict outsiders,' &lt;&lt;cited in </w:t>
      </w:r>
      <w:proofErr w:type="spellStart"/>
      <w:r>
        <w:rPr>
          <w:rFonts w:ascii="Calibri" w:eastAsia="Calibri" w:hAnsi="Calibri" w:cs="Calibri"/>
        </w:rPr>
        <w:t>Portes</w:t>
      </w:r>
      <w:proofErr w:type="spellEnd"/>
      <w:r>
        <w:rPr>
          <w:rFonts w:ascii="Calibri" w:eastAsia="Calibri" w:hAnsi="Calibri" w:cs="Calibri"/>
        </w:rPr>
        <w:t xml:space="preserve"> and </w:t>
      </w:r>
      <w:proofErr w:type="spellStart"/>
      <w:r>
        <w:rPr>
          <w:rFonts w:ascii="Calibri" w:eastAsia="Calibri" w:hAnsi="Calibri" w:cs="Calibri"/>
        </w:rPr>
        <w:t>Landolt</w:t>
      </w:r>
      <w:proofErr w:type="spellEnd"/>
      <w:r>
        <w:rPr>
          <w:rFonts w:ascii="Calibri" w:eastAsia="Calibri" w:hAnsi="Calibri" w:cs="Calibri"/>
        </w:rPr>
        <w:t xml:space="preserve">  1996&gt;</w:t>
      </w:r>
      <w:r>
        <w:rPr>
          <w:rFonts w:ascii="Calibri" w:eastAsia="Calibri" w:hAnsi="Calibri" w:cs="Calibri"/>
        </w:rPr>
        <w:t>&gt;.  Often, cohesive ethnic or cultural groups come to dominate specific trades or occupations to the exclusion of all others.  Such “exclusionary closure” &lt;&lt;Parkin 1979&gt;&gt; of economic power into cohesive networks may be either intentional or merely a natura</w:t>
      </w:r>
      <w:r>
        <w:rPr>
          <w:rFonts w:ascii="Calibri" w:eastAsia="Calibri" w:hAnsi="Calibri" w:cs="Calibri"/>
        </w:rPr>
        <w:t>l byproduct of the kinds of preferential access to opportunity and information that constitutes one of the most powerful advantages of social capital.</w:t>
      </w:r>
    </w:p>
    <w:p w14:paraId="067560DB" w14:textId="77777777" w:rsidR="002C2FBE" w:rsidRDefault="002C2FBE"/>
    <w:p w14:paraId="60116721" w14:textId="77777777" w:rsidR="002C2FBE" w:rsidRDefault="0063233A">
      <w:r>
        <w:t>On a geographical level, the twin values of social cohesion and diversity can come into conflict.  Viole</w:t>
      </w:r>
      <w:r>
        <w:t xml:space="preserve">nce between groups is more likely to happen when communities are poorly integrated or when one group can dominate the other &lt;&lt;Lim&gt;&gt;, and social cohesion within </w:t>
      </w:r>
      <w:r>
        <w:lastRenderedPageBreak/>
        <w:t>a group may be a driving force for poor integration or domination. Indeed, desegregation efforts</w:t>
      </w:r>
      <w:r>
        <w:t xml:space="preserve"> (like busing of schoolchildren) have sometimes been vehemently protested on grounds that such efforts erode neighborhood cohesion &lt;&lt;Buell 1980&gt;&gt;. Cohesion on one scale can conflict with cohesion on another as well: societies with highly cohesive neighborh</w:t>
      </w:r>
      <w:r>
        <w:t>oods can become fragmented along lines of local loyalties, reducing the cohesion of a broader region</w:t>
      </w:r>
      <w:commentRangeStart w:id="15"/>
      <w:r>
        <w:t xml:space="preserve">.  As Forrest and Kearns &lt;&lt; &gt;&gt; observe, “a society in which citizens had a strong sense of place attachment and loyalty to their respective cities could be </w:t>
      </w:r>
      <w:r>
        <w:t xml:space="preserve">in conflict with any sense of common national purpose, or macro-cohesion.”  </w:t>
      </w:r>
      <w:commentRangeEnd w:id="15"/>
      <w:r>
        <w:commentReference w:id="15"/>
      </w:r>
    </w:p>
    <w:p w14:paraId="16AE5853" w14:textId="77777777" w:rsidR="002C2FBE" w:rsidRDefault="002C2FBE"/>
    <w:p w14:paraId="397F1AE1" w14:textId="77777777" w:rsidR="002C2FBE" w:rsidRDefault="0063233A">
      <w:r>
        <w:t xml:space="preserve">Though there are downsides, on balance the benefits of social cohesion are thought to outweigh the costs, and most efforts to modify the cohesion of communities are still attempts to build it rather than break it down. To know what </w:t>
      </w:r>
      <w:proofErr w:type="gramStart"/>
      <w:r>
        <w:t>factors</w:t>
      </w:r>
      <w:proofErr w:type="gramEnd"/>
      <w:r>
        <w:t xml:space="preserve"> promote or inhib</w:t>
      </w:r>
      <w:r>
        <w:t>it cohesion, however, we must first define the scope of cohesion, especially given that—as we noted previously—higher cohesion on one scale may actually be associated with lower cohesion on another.  Given that we are primarily concerned with social cohesi</w:t>
      </w:r>
      <w:r>
        <w:t>on as it relates to community resilience, for the purposes of this review we will consider social cohesion on the level of a geographic neighborhood.</w:t>
      </w:r>
    </w:p>
    <w:p w14:paraId="5C370274" w14:textId="77777777" w:rsidR="002C2FBE" w:rsidRDefault="002C2FBE"/>
    <w:p w14:paraId="4565F861" w14:textId="77777777" w:rsidR="002C2FBE" w:rsidRDefault="0063233A">
      <w:pPr>
        <w:pStyle w:val="Heading2"/>
      </w:pPr>
      <w:bookmarkStart w:id="16" w:name="_4d34og8" w:colFirst="0" w:colLast="0"/>
      <w:bookmarkEnd w:id="16"/>
      <w:r>
        <w:t>Cohesion on a neighborhood level</w:t>
      </w:r>
    </w:p>
    <w:p w14:paraId="73F66BB7" w14:textId="77777777" w:rsidR="002C2FBE" w:rsidRDefault="002C2FBE"/>
    <w:p w14:paraId="4F8F3A73" w14:textId="77777777" w:rsidR="002C2FBE" w:rsidRDefault="0063233A">
      <w:r>
        <w:t>For over a century, people have claimed (and lamented) that modern indu</w:t>
      </w:r>
      <w:r>
        <w:t xml:space="preserve">stry and technology have eroded traditional community structures.  Most famously, </w:t>
      </w:r>
      <w:proofErr w:type="spellStart"/>
      <w:r>
        <w:t>Tonnies</w:t>
      </w:r>
      <w:proofErr w:type="spellEnd"/>
      <w:r>
        <w:t xml:space="preserve"> &lt;1887&gt; observed that communities in preindustrial societies were built around close ties with local friends and family whereas the advent of industrialism with its hu</w:t>
      </w:r>
      <w:r>
        <w:t xml:space="preserve">ge cities and higher mobility, had built social ties around impersonal and formal roles. He termed these pre- and post-industrial communities </w:t>
      </w:r>
      <w:proofErr w:type="spellStart"/>
      <w:r>
        <w:rPr>
          <w:i/>
        </w:rPr>
        <w:t>Geimenschaft</w:t>
      </w:r>
      <w:proofErr w:type="spellEnd"/>
      <w:r>
        <w:t xml:space="preserve"> and </w:t>
      </w:r>
      <w:proofErr w:type="spellStart"/>
      <w:r>
        <w:rPr>
          <w:i/>
        </w:rPr>
        <w:t>Geselleschaft</w:t>
      </w:r>
      <w:proofErr w:type="spellEnd"/>
      <w:r>
        <w:t>, respectively. More than a century later, concern over the relevance of geographica</w:t>
      </w:r>
      <w:r>
        <w:t>lly local communities remains. If nineteenth-century industrialism eroded connections with place and kin, have the sweeping advances in mobility and communication in the last century obliterated them entirely?  What is a “neighborhood” in the age of the In</w:t>
      </w:r>
      <w:r>
        <w:t>ternet and social media?</w:t>
      </w:r>
    </w:p>
    <w:p w14:paraId="44C22811" w14:textId="77777777" w:rsidR="002C2FBE" w:rsidRDefault="002C2FBE"/>
    <w:p w14:paraId="6787E94B" w14:textId="77777777" w:rsidR="002C2FBE" w:rsidRDefault="0063233A">
      <w:r>
        <w:t>The extent to which social networks have become independent of geography is an open question. According to some, technology has made distance meaningless.  Observing that the twenty-first century is dominated by the relative cheap</w:t>
      </w:r>
      <w:r>
        <w:t xml:space="preserve">ness of transporting ideas, </w:t>
      </w:r>
      <w:proofErr w:type="spellStart"/>
      <w:r>
        <w:t>Cairncross</w:t>
      </w:r>
      <w:proofErr w:type="spellEnd"/>
      <w:r>
        <w:t xml:space="preserve"> (2001) proclaimed “the death of distance”.  Similarly, according to Steven Bates (1995), “New information technologies…trivialize geography.”  Whereas in 1950, friendships in the U.S. were so closely correlated with g</w:t>
      </w:r>
      <w:r>
        <w:t xml:space="preserve">eography that people living in corner units of housing projects were more likely to be socially isolated than those living in the center &lt;&lt;Festinger 1950&gt;&gt;, the effects of propinquity may have weakened since then.  According to one study, in 1973 a higher </w:t>
      </w:r>
      <w:r>
        <w:t>percentage of “socially close friends” lived over a hundred miles away than within a mile of each other (33% and 22%, respectively)  &lt;&lt;</w:t>
      </w:r>
      <w:proofErr w:type="spellStart"/>
      <w:r>
        <w:t>mok</w:t>
      </w:r>
      <w:proofErr w:type="spellEnd"/>
      <w:r>
        <w:t xml:space="preserve"> 2007b&gt;&gt;, and the U.S. General Social Survey (GSS) indicates that between 1974 and 1996 there was “a linear trend towa</w:t>
      </w:r>
      <w:r>
        <w:t xml:space="preserve">rd less socializing within the neighborhood and more outside it” &lt;&lt;guest 1999&gt;&gt;.  Putnam (1993, 2000), too, finds a disturbing trend away from engagement with others at a neighborhood level.  </w:t>
      </w:r>
    </w:p>
    <w:p w14:paraId="640DC945" w14:textId="77777777" w:rsidR="002C2FBE" w:rsidRDefault="002C2FBE"/>
    <w:p w14:paraId="7FEF52E6" w14:textId="77777777" w:rsidR="002C2FBE" w:rsidRDefault="0063233A">
      <w:r>
        <w:t>On the other hand, there is also evidence that even in the age</w:t>
      </w:r>
      <w:r>
        <w:t xml:space="preserve"> of cell phones and Facebook, geographic neighborhoods remain relevant. Cellular data, for example, indicate that the communication patterns within cities are roughly described by a geographic rank-based model of friendship where the probability of connect</w:t>
      </w:r>
      <w:r>
        <w:t xml:space="preserve">ing with any person is inversely correlated with how many people are geographically between them. &lt;&lt;Calabrese, Pan and Pentland&gt;&gt;. An analysis of links between blogs in LiveJournal blogging found the same rank-based relation for about two thirds of social </w:t>
      </w:r>
      <w:r>
        <w:t>connections, with the remaining third being entirely independent of distance &lt;&lt;</w:t>
      </w:r>
      <w:proofErr w:type="spellStart"/>
      <w:r>
        <w:t>liben-nowell</w:t>
      </w:r>
      <w:proofErr w:type="spellEnd"/>
      <w:r>
        <w:t xml:space="preserve"> &gt;&gt;.  Perhaps unsurprisingly, face-to-face contact is even more sensitive to distance.  </w:t>
      </w:r>
      <w:proofErr w:type="spellStart"/>
      <w:r>
        <w:t>Mok</w:t>
      </w:r>
      <w:proofErr w:type="spellEnd"/>
      <w:r>
        <w:t xml:space="preserve"> and </w:t>
      </w:r>
      <w:proofErr w:type="spellStart"/>
      <w:r>
        <w:t>wellman</w:t>
      </w:r>
      <w:proofErr w:type="spellEnd"/>
      <w:r>
        <w:t>&lt;&lt;&gt;&gt; find steady declines in the frequency of face-to-face con</w:t>
      </w:r>
      <w:r>
        <w:t>tact as friendship distance increases, with sharp declines at 5 miles (within-city) and 100 miles. It seems, then, that at least at the scale of cities, counties, and states, that distance is still a very relevant factor in the formation of social networks</w:t>
      </w:r>
      <w:r>
        <w:t>.  Whether that relationship holds at a more granular level of geographic detail remains more of an open question.</w:t>
      </w:r>
    </w:p>
    <w:p w14:paraId="1B4C44E8" w14:textId="77777777" w:rsidR="002C2FBE" w:rsidRDefault="002C2FBE"/>
    <w:p w14:paraId="57FC3BCA" w14:textId="77777777" w:rsidR="002C2FBE" w:rsidRDefault="0063233A">
      <w:r>
        <w:t>Social scientists have yet to find a definitive answer to the question of whether localized neighborhoods remain a relevant model of the way</w:t>
      </w:r>
      <w:r>
        <w:t xml:space="preserve"> people connect in the digital age. However, recent pushes towards promoting resilient communities indicate that social scientists, urban planners, and government leaders remain invested in building and maintaining </w:t>
      </w:r>
      <w:proofErr w:type="spellStart"/>
      <w:r>
        <w:rPr>
          <w:i/>
        </w:rPr>
        <w:t>geimenschaft</w:t>
      </w:r>
      <w:proofErr w:type="spellEnd"/>
      <w:r>
        <w:t xml:space="preserve"> at the neighborhood level. A</w:t>
      </w:r>
      <w:r>
        <w:t xml:space="preserve">s they move forward to promote resilience through social cohesion, it will be increasingly important to find reliable methods of measuring and evaluating the neighborhood cohesion they seek to promote. </w:t>
      </w:r>
    </w:p>
    <w:p w14:paraId="028EA77A" w14:textId="77777777" w:rsidR="002C2FBE" w:rsidRDefault="0063233A">
      <w:pPr>
        <w:pStyle w:val="Heading1"/>
      </w:pPr>
      <w:bookmarkStart w:id="17" w:name="_2s8eyo1" w:colFirst="0" w:colLast="0"/>
      <w:bookmarkEnd w:id="17"/>
      <w:r>
        <w:t>Current method for measuring cohesion: surveys</w:t>
      </w:r>
    </w:p>
    <w:p w14:paraId="35BBA6CC" w14:textId="77777777" w:rsidR="002C2FBE" w:rsidRDefault="0063233A">
      <w:r>
        <w:t xml:space="preserve"> </w:t>
      </w:r>
    </w:p>
    <w:p w14:paraId="7AFAB1C8" w14:textId="77777777" w:rsidR="002C2FBE" w:rsidRDefault="0063233A">
      <w:pPr>
        <w:pStyle w:val="Heading2"/>
      </w:pPr>
      <w:bookmarkStart w:id="18" w:name="_17dp8vu" w:colFirst="0" w:colLast="0"/>
      <w:bookmarkEnd w:id="18"/>
      <w:r>
        <w:t>Survey instruments</w:t>
      </w:r>
    </w:p>
    <w:p w14:paraId="7E83360C" w14:textId="77777777" w:rsidR="002C2FBE" w:rsidRDefault="0063233A">
      <w:r>
        <w:t>As discussed above, the benefits (and pitfalls) of high social cohesion have been studied for decades. However, early studies tended to be academic and conducted on a fairly limited case-by-case basis. Broader interest in measuring socia</w:t>
      </w:r>
      <w:r>
        <w:t xml:space="preserve">l capital from a policy perspective was not widely adopted until Robert Putnam published his popular and controversial book </w:t>
      </w:r>
      <w:r>
        <w:rPr>
          <w:i/>
        </w:rPr>
        <w:t xml:space="preserve">Bowling Alone: the Collapse and Revival of American Community </w:t>
      </w:r>
      <w:r>
        <w:t>(2000). Using evidence of reduced involvement in religious, civic, and</w:t>
      </w:r>
      <w:r>
        <w:t xml:space="preserve"> political groups, Putnam argued that America’s social and civic engagement had been in steady decline for decades, and that if it continued, this decline would undermine strong democracy, education, physical health, safety and happiness. The popularity of</w:t>
      </w:r>
      <w:r>
        <w:t xml:space="preserve"> Putnam’s book brought the mostly academic idea of social capital to the forefront in the minds of government and policy institutes. Consequently, government agencies and policy institutes began attempting to measure social capital to assess and promote th</w:t>
      </w:r>
      <w:r>
        <w:t xml:space="preserve">e health of communities across the nation. </w:t>
      </w:r>
    </w:p>
    <w:p w14:paraId="0ABD55E3" w14:textId="77777777" w:rsidR="002C2FBE" w:rsidRDefault="002C2FBE"/>
    <w:p w14:paraId="1C948BC1" w14:textId="77777777" w:rsidR="002C2FBE" w:rsidRDefault="0063233A">
      <w:pPr>
        <w:rPr>
          <w:rFonts w:ascii="Calibri" w:eastAsia="Calibri" w:hAnsi="Calibri" w:cs="Calibri"/>
        </w:rPr>
      </w:pPr>
      <w:r>
        <w:t>Surveys have emerged as the primary instruments for gathering data on social capital and cohesion.  To be sure, government has long kept administrative data that bears on the safety and well-being of communities</w:t>
      </w:r>
      <w:r>
        <w:t xml:space="preserve">. However, surveys offer a more granular look. In the words of a National Academies of Science Report: “If all one is interested in is total voter </w:t>
      </w:r>
      <w:r>
        <w:lastRenderedPageBreak/>
        <w:t>turnout, newspaper circulation in a media market, or total membership in associations, there are administrati</w:t>
      </w:r>
      <w:r>
        <w:t>ve and other kinds of data sources. But if one is interested in the attributes of individuals engaged in various behaviors or with specific attitudes, microdata obtained from individual respondents are essential. (</w:t>
      </w:r>
      <w:proofErr w:type="spellStart"/>
      <w:r>
        <w:t>prewitt</w:t>
      </w:r>
      <w:proofErr w:type="spellEnd"/>
      <w:r>
        <w:t>).” The first nationwide social cap</w:t>
      </w:r>
      <w:r>
        <w:t>ital survey appeared in 2000; in the decade and a half since then, measurement of social capital, civic engagement</w:t>
      </w:r>
      <w:r>
        <w:rPr>
          <w:rFonts w:ascii="Calibri" w:eastAsia="Calibri" w:hAnsi="Calibri" w:cs="Calibri"/>
        </w:rPr>
        <w:t>, and social cohesion have been increasingly integrated into surveys at the national level.</w:t>
      </w:r>
    </w:p>
    <w:p w14:paraId="09C23DFD" w14:textId="77777777" w:rsidR="002C2FBE" w:rsidRDefault="002C2FBE"/>
    <w:p w14:paraId="7BD0C256" w14:textId="77777777" w:rsidR="002C2FBE" w:rsidRDefault="0063233A">
      <w:r>
        <w:t>The first survey focused primarily on social capi</w:t>
      </w:r>
      <w:r>
        <w:t xml:space="preserve">tal was the 2000 Social Capital Community Benchmark Survey (SCCB), conducted by Harvard Kennedy School’s Saguaro Seminar and funded by over three dozen community foundations&lt;&lt;&gt;&gt;. Primarily following Putnam’s definition of social capital, the survey sought </w:t>
      </w:r>
      <w:r>
        <w:t>to measure connectivity, trust, and civic and political engagement across the nation, surveying nearly 30,000 Americans in 40 representative communities. The survey focused on attitudes of trust, ethnic diversity, and participation in religious, political,</w:t>
      </w:r>
      <w:r>
        <w:t xml:space="preserve"> and community organizations. This focus has largely guided subsequent measurements of social capital in the United States.  </w:t>
      </w:r>
    </w:p>
    <w:p w14:paraId="12BC5CA0" w14:textId="77777777" w:rsidR="002C2FBE" w:rsidRDefault="002C2FBE"/>
    <w:p w14:paraId="5F3A1182" w14:textId="77777777" w:rsidR="002C2FBE" w:rsidRDefault="0063233A">
      <w:r>
        <w:t>U.S. government agencies have recently added supplements to long-standing survey instruments in order track aspects of social cap</w:t>
      </w:r>
      <w:r>
        <w:t>ital. Since 2008, the Current Population Survey (CPS, sponsored jointly by U.S. Census Bureau and Bureau of Labor Statistics) has contained a Civic Engagement Supplement that contains a broad set of social-capital related measures similar to the SCCB.  The</w:t>
      </w:r>
      <w:r>
        <w:t xml:space="preserve"> department of Housing and Urban Development (HUD) added a Neighborhood Social Capital module to their American Housing Survey (AHS) 2013 which, drawing on the research of Robert Sampson, includes 21 questions intending to measure the “extent of social coh</w:t>
      </w:r>
      <w:r>
        <w:t xml:space="preserve">esion among residents and their willingness to intervene on behalf of the common good ["collective efficacy"].” &lt;&lt;Sampson 2013&gt;&gt;.  </w:t>
      </w:r>
    </w:p>
    <w:p w14:paraId="51BE8895" w14:textId="77777777" w:rsidR="002C2FBE" w:rsidRDefault="002C2FBE"/>
    <w:p w14:paraId="158AAC99" w14:textId="77777777" w:rsidR="002C2FBE" w:rsidRDefault="0063233A">
      <w:pPr>
        <w:rPr>
          <w:color w:val="FF0000"/>
        </w:rPr>
      </w:pPr>
      <w:r>
        <w:t>These two supplements are focused on social capital and cohesion; their questions thus contain a wide range of proxies.  Ho</w:t>
      </w:r>
      <w:r>
        <w:t>wever, information on a more limited set of proxies also be gleaned from other national surveys. The long-running General Social Survey (GSS), for example, contains information about membership in voluntary groups &lt;&lt;GSS Codebook&gt;&gt;. Data on volunteering can</w:t>
      </w:r>
      <w:r>
        <w:t xml:space="preserve"> be gained from the American Time Use Data Survey (ATUS), the CPS Volunteering Supplement, and Independent Sector’s Giving and Volunteering in the United States; data on voting is also readily available through multiple national surveys. </w:t>
      </w:r>
      <w:r>
        <w:rPr>
          <w:rFonts w:ascii="Calibri" w:eastAsia="Calibri" w:hAnsi="Calibri" w:cs="Calibri"/>
          <w:color w:val="1F497D"/>
        </w:rPr>
        <w:t>The Panel Study of</w:t>
      </w:r>
      <w:r>
        <w:rPr>
          <w:rFonts w:ascii="Calibri" w:eastAsia="Calibri" w:hAnsi="Calibri" w:cs="Calibri"/>
          <w:color w:val="1F497D"/>
        </w:rPr>
        <w:t xml:space="preserve"> Income Dynamics asks about organizational memberships and contacts in the context of caregiving and well-being. The National Longitudinal Survey of Youth asks about volunteerism, religious affiliation, political attitude in the context of education and wo</w:t>
      </w:r>
      <w:r>
        <w:rPr>
          <w:rFonts w:ascii="Calibri" w:eastAsia="Calibri" w:hAnsi="Calibri" w:cs="Calibri"/>
          <w:color w:val="1F497D"/>
        </w:rPr>
        <w:t>rk. The Health and Retirement Study and the English Longitudinal Study of Ageing each include a series of questions about connectedness with one’s children or grandchildren which are useful for supporting research examining the effects of interpersonal rel</w:t>
      </w:r>
      <w:r>
        <w:rPr>
          <w:rFonts w:ascii="Calibri" w:eastAsia="Calibri" w:hAnsi="Calibri" w:cs="Calibri"/>
          <w:color w:val="1F497D"/>
        </w:rPr>
        <w:t>ationships on the health, longevity, and happiness of older people &lt;&lt;this blue part was lifted verbatim from the Prewitt NAS report.&gt;&gt;</w:t>
      </w:r>
      <w:r>
        <w:rPr>
          <w:rFonts w:ascii="Calibri" w:eastAsia="Calibri" w:hAnsi="Calibri" w:cs="Calibri"/>
          <w:color w:val="000000"/>
        </w:rPr>
        <w:t xml:space="preserve"> </w:t>
      </w:r>
    </w:p>
    <w:p w14:paraId="040C35B7" w14:textId="77777777" w:rsidR="002C2FBE" w:rsidRDefault="002C2FBE"/>
    <w:p w14:paraId="63754F92" w14:textId="77777777" w:rsidR="002C2FBE" w:rsidRDefault="0063233A">
      <w:r>
        <w:t>Government-sponsored surveys are playing an increasing role in measuring social cohesion in the United States. Such sur</w:t>
      </w:r>
      <w:r>
        <w:t xml:space="preserve">veys (like the Current Population Survey and the American </w:t>
      </w:r>
      <w:r>
        <w:lastRenderedPageBreak/>
        <w:t>Housing Survey) have the benefit of large scales, sophisticated sampling, and existing surveys to which social capital modules can be appended. A downside to these surveys is that the government can</w:t>
      </w:r>
      <w:r>
        <w:t xml:space="preserve"> be limited in the scope of questions—questions regarding trust of political organizations or specific ethnic groups, for example, may be considered by some to be inappropriate for government to ask &lt;&lt;Prewitt&gt;&gt;. Because of this, there may also be a potenti</w:t>
      </w:r>
      <w:r>
        <w:t xml:space="preserve">al space for commercial and nonprofit survey </w:t>
      </w:r>
      <w:commentRangeStart w:id="19"/>
      <w:r>
        <w:t>companies like Pew and Gallup to play a larger role in measuring social cohesion.</w:t>
      </w:r>
      <w:commentRangeEnd w:id="19"/>
      <w:r>
        <w:commentReference w:id="19"/>
      </w:r>
      <w:r>
        <w:t xml:space="preserve"> For the time being, however, measurement of social capital and cohesion will likely continue to rely on the federal government</w:t>
      </w:r>
      <w:r>
        <w:t>’s survey instruments.</w:t>
      </w:r>
    </w:p>
    <w:p w14:paraId="267A86AE" w14:textId="77777777" w:rsidR="002C2FBE" w:rsidRDefault="002C2FBE"/>
    <w:p w14:paraId="458D979A" w14:textId="77777777" w:rsidR="002C2FBE" w:rsidRDefault="0063233A">
      <w:commentRangeStart w:id="20"/>
      <w:r>
        <w:t>Table 1.  Ongoing survey-based measures of Social Cohesion in the U.S.</w:t>
      </w:r>
      <w:r>
        <w:t xml:space="preserve"> </w:t>
      </w:r>
      <w:commentRangeEnd w:id="20"/>
      <w:r>
        <w:commentReference w:id="20"/>
      </w:r>
    </w:p>
    <w:tbl>
      <w:tblPr>
        <w:tblStyle w:val="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7"/>
        <w:gridCol w:w="2434"/>
        <w:gridCol w:w="2279"/>
        <w:gridCol w:w="1856"/>
      </w:tblGrid>
      <w:tr w:rsidR="002C2FBE" w14:paraId="6CC80657" w14:textId="77777777">
        <w:trPr>
          <w:trHeight w:val="520"/>
        </w:trPr>
        <w:tc>
          <w:tcPr>
            <w:tcW w:w="2287" w:type="dxa"/>
          </w:tcPr>
          <w:p w14:paraId="63FDD957" w14:textId="77777777" w:rsidR="002C2FBE" w:rsidRDefault="0063233A">
            <w:pPr>
              <w:rPr>
                <w:b/>
              </w:rPr>
            </w:pPr>
            <w:r>
              <w:rPr>
                <w:b/>
              </w:rPr>
              <w:t>Survey</w:t>
            </w:r>
          </w:p>
        </w:tc>
        <w:tc>
          <w:tcPr>
            <w:tcW w:w="2434" w:type="dxa"/>
          </w:tcPr>
          <w:p w14:paraId="1C87DC1D" w14:textId="77777777" w:rsidR="002C2FBE" w:rsidRDefault="0063233A">
            <w:pPr>
              <w:rPr>
                <w:b/>
              </w:rPr>
            </w:pPr>
            <w:r>
              <w:rPr>
                <w:b/>
              </w:rPr>
              <w:t>Organization</w:t>
            </w:r>
          </w:p>
        </w:tc>
        <w:tc>
          <w:tcPr>
            <w:tcW w:w="2279" w:type="dxa"/>
          </w:tcPr>
          <w:p w14:paraId="23140187" w14:textId="77777777" w:rsidR="002C2FBE" w:rsidRDefault="0063233A">
            <w:pPr>
              <w:rPr>
                <w:b/>
              </w:rPr>
            </w:pPr>
            <w:r>
              <w:rPr>
                <w:b/>
              </w:rPr>
              <w:t>Methods</w:t>
            </w:r>
          </w:p>
        </w:tc>
        <w:tc>
          <w:tcPr>
            <w:tcW w:w="1856" w:type="dxa"/>
          </w:tcPr>
          <w:p w14:paraId="518B6C56" w14:textId="77777777" w:rsidR="002C2FBE" w:rsidRDefault="0063233A">
            <w:pPr>
              <w:rPr>
                <w:b/>
              </w:rPr>
            </w:pPr>
            <w:r>
              <w:rPr>
                <w:b/>
              </w:rPr>
              <w:t>Scope</w:t>
            </w:r>
          </w:p>
        </w:tc>
      </w:tr>
      <w:tr w:rsidR="002C2FBE" w14:paraId="20AF8C17" w14:textId="77777777">
        <w:trPr>
          <w:trHeight w:val="520"/>
        </w:trPr>
        <w:tc>
          <w:tcPr>
            <w:tcW w:w="2287" w:type="dxa"/>
          </w:tcPr>
          <w:p w14:paraId="50A83569" w14:textId="77777777" w:rsidR="002C2FBE" w:rsidRDefault="0063233A">
            <w:r>
              <w:t>Social Capital Community Benchmark Survey (SCCB)</w:t>
            </w:r>
          </w:p>
        </w:tc>
        <w:tc>
          <w:tcPr>
            <w:tcW w:w="2434" w:type="dxa"/>
          </w:tcPr>
          <w:p w14:paraId="6015D615" w14:textId="77777777" w:rsidR="002C2FBE" w:rsidRDefault="0063233A">
            <w:r>
              <w:t>Harvard Kennedy School’s Saguaro Seminar</w:t>
            </w:r>
          </w:p>
        </w:tc>
        <w:tc>
          <w:tcPr>
            <w:tcW w:w="2279" w:type="dxa"/>
          </w:tcPr>
          <w:p w14:paraId="40C2D4C5" w14:textId="77777777" w:rsidR="002C2FBE" w:rsidRDefault="002C2FBE"/>
        </w:tc>
        <w:tc>
          <w:tcPr>
            <w:tcW w:w="1856" w:type="dxa"/>
          </w:tcPr>
          <w:p w14:paraId="0D696E0C" w14:textId="77777777" w:rsidR="002C2FBE" w:rsidRDefault="002C2FBE"/>
        </w:tc>
      </w:tr>
      <w:tr w:rsidR="002C2FBE" w14:paraId="666CD355" w14:textId="77777777">
        <w:trPr>
          <w:trHeight w:val="520"/>
        </w:trPr>
        <w:tc>
          <w:tcPr>
            <w:tcW w:w="2287" w:type="dxa"/>
          </w:tcPr>
          <w:p w14:paraId="099E1E02" w14:textId="77777777" w:rsidR="002C2FBE" w:rsidRDefault="0063233A">
            <w:r>
              <w:t>Community Population Survey (CPS) Civic Engagement, Volunteer, and Voting and Registration Supplements</w:t>
            </w:r>
          </w:p>
        </w:tc>
        <w:tc>
          <w:tcPr>
            <w:tcW w:w="2434" w:type="dxa"/>
          </w:tcPr>
          <w:p w14:paraId="11F1E96D" w14:textId="77777777" w:rsidR="002C2FBE" w:rsidRDefault="002C2FBE"/>
        </w:tc>
        <w:tc>
          <w:tcPr>
            <w:tcW w:w="2279" w:type="dxa"/>
          </w:tcPr>
          <w:p w14:paraId="0894C501" w14:textId="77777777" w:rsidR="002C2FBE" w:rsidRDefault="002C2FBE"/>
        </w:tc>
        <w:tc>
          <w:tcPr>
            <w:tcW w:w="1856" w:type="dxa"/>
          </w:tcPr>
          <w:p w14:paraId="4E567900" w14:textId="77777777" w:rsidR="002C2FBE" w:rsidRDefault="002C2FBE"/>
        </w:tc>
      </w:tr>
      <w:tr w:rsidR="002C2FBE" w14:paraId="2B604E32" w14:textId="77777777">
        <w:trPr>
          <w:trHeight w:val="520"/>
        </w:trPr>
        <w:tc>
          <w:tcPr>
            <w:tcW w:w="2287" w:type="dxa"/>
          </w:tcPr>
          <w:p w14:paraId="77F45804" w14:textId="77777777" w:rsidR="002C2FBE" w:rsidRDefault="0063233A">
            <w:r>
              <w:t>American Time Use Data Survey (ATUS)</w:t>
            </w:r>
          </w:p>
        </w:tc>
        <w:tc>
          <w:tcPr>
            <w:tcW w:w="2434" w:type="dxa"/>
          </w:tcPr>
          <w:p w14:paraId="73E1801F" w14:textId="77777777" w:rsidR="002C2FBE" w:rsidRDefault="002C2FBE"/>
        </w:tc>
        <w:tc>
          <w:tcPr>
            <w:tcW w:w="2279" w:type="dxa"/>
          </w:tcPr>
          <w:p w14:paraId="2CFD0A0B" w14:textId="77777777" w:rsidR="002C2FBE" w:rsidRDefault="002C2FBE"/>
        </w:tc>
        <w:tc>
          <w:tcPr>
            <w:tcW w:w="1856" w:type="dxa"/>
          </w:tcPr>
          <w:p w14:paraId="02770751" w14:textId="77777777" w:rsidR="002C2FBE" w:rsidRDefault="002C2FBE"/>
        </w:tc>
      </w:tr>
      <w:tr w:rsidR="002C2FBE" w14:paraId="12F3ADB8" w14:textId="77777777">
        <w:trPr>
          <w:trHeight w:val="500"/>
        </w:trPr>
        <w:tc>
          <w:tcPr>
            <w:tcW w:w="2287" w:type="dxa"/>
          </w:tcPr>
          <w:p w14:paraId="28A4AE9B" w14:textId="77777777" w:rsidR="002C2FBE" w:rsidRDefault="0063233A">
            <w:r>
              <w:t>American Housing Survey—Social Capital Module</w:t>
            </w:r>
          </w:p>
        </w:tc>
        <w:tc>
          <w:tcPr>
            <w:tcW w:w="2434" w:type="dxa"/>
          </w:tcPr>
          <w:p w14:paraId="50CB4401" w14:textId="77777777" w:rsidR="002C2FBE" w:rsidRDefault="0063233A">
            <w:r>
              <w:t>Sponsored by U.S. Department of Housing and Urban Development (HUD), conducted by Census Bureau</w:t>
            </w:r>
          </w:p>
        </w:tc>
        <w:tc>
          <w:tcPr>
            <w:tcW w:w="2279" w:type="dxa"/>
          </w:tcPr>
          <w:p w14:paraId="20FCB015" w14:textId="77777777" w:rsidR="002C2FBE" w:rsidRDefault="0063233A">
            <w:r>
              <w:t xml:space="preserve">21 questions about attitudes: levels of trust, values of neighbors, willingness to help or intervene </w:t>
            </w:r>
          </w:p>
        </w:tc>
        <w:tc>
          <w:tcPr>
            <w:tcW w:w="1856" w:type="dxa"/>
          </w:tcPr>
          <w:p w14:paraId="18FBE7AE" w14:textId="77777777" w:rsidR="002C2FBE" w:rsidRDefault="002C2FBE"/>
        </w:tc>
      </w:tr>
      <w:tr w:rsidR="002C2FBE" w14:paraId="57E8DAE6" w14:textId="77777777">
        <w:trPr>
          <w:trHeight w:val="520"/>
        </w:trPr>
        <w:tc>
          <w:tcPr>
            <w:tcW w:w="2287" w:type="dxa"/>
          </w:tcPr>
          <w:p w14:paraId="295C2577" w14:textId="77777777" w:rsidR="002C2FBE" w:rsidRDefault="0063233A">
            <w:r>
              <w:t>Social Network Index?</w:t>
            </w:r>
          </w:p>
        </w:tc>
        <w:tc>
          <w:tcPr>
            <w:tcW w:w="2434" w:type="dxa"/>
          </w:tcPr>
          <w:p w14:paraId="4F1613DB" w14:textId="77777777" w:rsidR="002C2FBE" w:rsidRDefault="002C2FBE"/>
        </w:tc>
        <w:tc>
          <w:tcPr>
            <w:tcW w:w="2279" w:type="dxa"/>
          </w:tcPr>
          <w:p w14:paraId="1D04994B" w14:textId="77777777" w:rsidR="002C2FBE" w:rsidRDefault="002C2FBE"/>
        </w:tc>
        <w:tc>
          <w:tcPr>
            <w:tcW w:w="1856" w:type="dxa"/>
          </w:tcPr>
          <w:p w14:paraId="547998D4" w14:textId="77777777" w:rsidR="002C2FBE" w:rsidRDefault="002C2FBE"/>
        </w:tc>
      </w:tr>
      <w:tr w:rsidR="002C2FBE" w14:paraId="271FCEB4" w14:textId="77777777">
        <w:trPr>
          <w:trHeight w:val="520"/>
        </w:trPr>
        <w:tc>
          <w:tcPr>
            <w:tcW w:w="2287" w:type="dxa"/>
          </w:tcPr>
          <w:p w14:paraId="1B229A40" w14:textId="77777777" w:rsidR="002C2FBE" w:rsidRDefault="0063233A">
            <w:r>
              <w:t>Health and Retirement Study</w:t>
            </w:r>
          </w:p>
        </w:tc>
        <w:tc>
          <w:tcPr>
            <w:tcW w:w="2434" w:type="dxa"/>
          </w:tcPr>
          <w:p w14:paraId="198443EC" w14:textId="77777777" w:rsidR="002C2FBE" w:rsidRDefault="002C2FBE"/>
        </w:tc>
        <w:tc>
          <w:tcPr>
            <w:tcW w:w="2279" w:type="dxa"/>
          </w:tcPr>
          <w:p w14:paraId="022E70D5" w14:textId="77777777" w:rsidR="002C2FBE" w:rsidRDefault="002C2FBE"/>
        </w:tc>
        <w:tc>
          <w:tcPr>
            <w:tcW w:w="1856" w:type="dxa"/>
          </w:tcPr>
          <w:p w14:paraId="4AAB426B" w14:textId="77777777" w:rsidR="002C2FBE" w:rsidRDefault="002C2FBE"/>
        </w:tc>
      </w:tr>
      <w:tr w:rsidR="002C2FBE" w14:paraId="45D45846" w14:textId="77777777">
        <w:trPr>
          <w:trHeight w:val="520"/>
        </w:trPr>
        <w:tc>
          <w:tcPr>
            <w:tcW w:w="2287" w:type="dxa"/>
          </w:tcPr>
          <w:p w14:paraId="0A4992FB" w14:textId="77777777" w:rsidR="002C2FBE" w:rsidRDefault="0063233A">
            <w:r>
              <w:t>Panel Study of Income Dynamics</w:t>
            </w:r>
          </w:p>
        </w:tc>
        <w:tc>
          <w:tcPr>
            <w:tcW w:w="2434" w:type="dxa"/>
          </w:tcPr>
          <w:p w14:paraId="43985484" w14:textId="77777777" w:rsidR="002C2FBE" w:rsidRDefault="002C2FBE"/>
        </w:tc>
        <w:tc>
          <w:tcPr>
            <w:tcW w:w="2279" w:type="dxa"/>
          </w:tcPr>
          <w:p w14:paraId="45EF21AC" w14:textId="77777777" w:rsidR="002C2FBE" w:rsidRDefault="002C2FBE"/>
        </w:tc>
        <w:tc>
          <w:tcPr>
            <w:tcW w:w="1856" w:type="dxa"/>
          </w:tcPr>
          <w:p w14:paraId="01EB9589" w14:textId="77777777" w:rsidR="002C2FBE" w:rsidRDefault="002C2FBE"/>
        </w:tc>
      </w:tr>
    </w:tbl>
    <w:p w14:paraId="7E4B5569" w14:textId="77777777" w:rsidR="002C2FBE" w:rsidRDefault="002C2FBE"/>
    <w:p w14:paraId="2B18A823" w14:textId="77777777" w:rsidR="002C2FBE" w:rsidRDefault="0063233A">
      <w:commentRangeStart w:id="21"/>
      <w:r>
        <w:t>Table 2. Intermittent or One-time Survey Measures of Social Cohesion</w:t>
      </w:r>
      <w:commentRangeEnd w:id="21"/>
      <w:r>
        <w:commentReference w:id="21"/>
      </w:r>
    </w:p>
    <w:tbl>
      <w:tblPr>
        <w:tblStyle w:val="a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7"/>
        <w:gridCol w:w="2434"/>
        <w:gridCol w:w="2279"/>
        <w:gridCol w:w="1856"/>
      </w:tblGrid>
      <w:tr w:rsidR="002C2FBE" w14:paraId="7EE46114" w14:textId="77777777">
        <w:trPr>
          <w:trHeight w:val="520"/>
        </w:trPr>
        <w:tc>
          <w:tcPr>
            <w:tcW w:w="2287" w:type="dxa"/>
          </w:tcPr>
          <w:p w14:paraId="6BF71E74" w14:textId="77777777" w:rsidR="002C2FBE" w:rsidRDefault="0063233A">
            <w:pPr>
              <w:rPr>
                <w:b/>
              </w:rPr>
            </w:pPr>
            <w:r>
              <w:rPr>
                <w:b/>
              </w:rPr>
              <w:t>Survey</w:t>
            </w:r>
          </w:p>
        </w:tc>
        <w:tc>
          <w:tcPr>
            <w:tcW w:w="2434" w:type="dxa"/>
          </w:tcPr>
          <w:p w14:paraId="02583CE2" w14:textId="77777777" w:rsidR="002C2FBE" w:rsidRDefault="0063233A">
            <w:pPr>
              <w:rPr>
                <w:b/>
              </w:rPr>
            </w:pPr>
            <w:r>
              <w:rPr>
                <w:b/>
              </w:rPr>
              <w:t>Organization</w:t>
            </w:r>
          </w:p>
        </w:tc>
        <w:tc>
          <w:tcPr>
            <w:tcW w:w="2279" w:type="dxa"/>
          </w:tcPr>
          <w:p w14:paraId="0E245D95" w14:textId="77777777" w:rsidR="002C2FBE" w:rsidRDefault="0063233A">
            <w:pPr>
              <w:rPr>
                <w:b/>
              </w:rPr>
            </w:pPr>
            <w:r>
              <w:rPr>
                <w:b/>
              </w:rPr>
              <w:t>Methods</w:t>
            </w:r>
          </w:p>
        </w:tc>
        <w:tc>
          <w:tcPr>
            <w:tcW w:w="1856" w:type="dxa"/>
          </w:tcPr>
          <w:p w14:paraId="2426C871" w14:textId="77777777" w:rsidR="002C2FBE" w:rsidRDefault="0063233A">
            <w:pPr>
              <w:rPr>
                <w:b/>
              </w:rPr>
            </w:pPr>
            <w:r>
              <w:rPr>
                <w:b/>
              </w:rPr>
              <w:t>Scope</w:t>
            </w:r>
          </w:p>
        </w:tc>
      </w:tr>
      <w:tr w:rsidR="002C2FBE" w14:paraId="0FBB1308" w14:textId="77777777">
        <w:trPr>
          <w:trHeight w:val="520"/>
        </w:trPr>
        <w:tc>
          <w:tcPr>
            <w:tcW w:w="2287" w:type="dxa"/>
          </w:tcPr>
          <w:p w14:paraId="1A6D27CA" w14:textId="77777777" w:rsidR="002C2FBE" w:rsidRDefault="0063233A">
            <w:r>
              <w:t xml:space="preserve">Associated Press/NORC </w:t>
            </w:r>
          </w:p>
        </w:tc>
        <w:tc>
          <w:tcPr>
            <w:tcW w:w="2434" w:type="dxa"/>
          </w:tcPr>
          <w:p w14:paraId="689C3D08" w14:textId="77777777" w:rsidR="002C2FBE" w:rsidRDefault="002C2FBE"/>
        </w:tc>
        <w:tc>
          <w:tcPr>
            <w:tcW w:w="2279" w:type="dxa"/>
          </w:tcPr>
          <w:p w14:paraId="4CDE5524" w14:textId="77777777" w:rsidR="002C2FBE" w:rsidRDefault="002C2FBE"/>
        </w:tc>
        <w:tc>
          <w:tcPr>
            <w:tcW w:w="1856" w:type="dxa"/>
          </w:tcPr>
          <w:p w14:paraId="08751BE0" w14:textId="77777777" w:rsidR="002C2FBE" w:rsidRDefault="002C2FBE"/>
        </w:tc>
      </w:tr>
    </w:tbl>
    <w:p w14:paraId="16D5C54B" w14:textId="77777777" w:rsidR="002C2FBE" w:rsidRDefault="002C2FBE"/>
    <w:p w14:paraId="21FE883E" w14:textId="77777777" w:rsidR="002C2FBE" w:rsidRDefault="002C2FBE"/>
    <w:p w14:paraId="3CBD7CA1" w14:textId="77777777" w:rsidR="002C2FBE" w:rsidRDefault="0063233A">
      <w:pPr>
        <w:spacing w:after="200"/>
        <w:rPr>
          <w:rFonts w:ascii="Times New Roman" w:eastAsia="Times New Roman" w:hAnsi="Times New Roman" w:cs="Times New Roman"/>
          <w:sz w:val="22"/>
          <w:szCs w:val="22"/>
        </w:rPr>
      </w:pPr>
      <w:r>
        <w:rPr>
          <w:rFonts w:ascii="Times New Roman" w:eastAsia="Times New Roman" w:hAnsi="Times New Roman" w:cs="Times New Roman"/>
          <w:sz w:val="22"/>
          <w:szCs w:val="22"/>
        </w:rPr>
        <w:t>local social structure (</w:t>
      </w:r>
      <w:proofErr w:type="spellStart"/>
      <w:r>
        <w:rPr>
          <w:rFonts w:ascii="Times New Roman" w:eastAsia="Times New Roman" w:hAnsi="Times New Roman" w:cs="Times New Roman"/>
          <w:sz w:val="22"/>
          <w:szCs w:val="22"/>
        </w:rPr>
        <w:t>Rowson</w:t>
      </w:r>
      <w:proofErr w:type="spellEnd"/>
      <w:r>
        <w:rPr>
          <w:rFonts w:ascii="Times New Roman" w:eastAsia="Times New Roman" w:hAnsi="Times New Roman" w:cs="Times New Roman"/>
          <w:sz w:val="22"/>
          <w:szCs w:val="22"/>
        </w:rPr>
        <w:t xml:space="preserve"> 2010).</w:t>
      </w:r>
    </w:p>
    <w:p w14:paraId="4C62F89D" w14:textId="77777777" w:rsidR="002C2FBE" w:rsidRDefault="0063233A">
      <w:pPr>
        <w:spacing w:after="20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Table 2. Selected Studies, Data Collection Method, and Sample Size</w:t>
      </w:r>
    </w:p>
    <w:tbl>
      <w:tblPr>
        <w:tblStyle w:val="a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1"/>
        <w:gridCol w:w="3275"/>
        <w:gridCol w:w="3400"/>
      </w:tblGrid>
      <w:tr w:rsidR="002C2FBE" w14:paraId="6C3E50D3" w14:textId="77777777">
        <w:tc>
          <w:tcPr>
            <w:tcW w:w="2181" w:type="dxa"/>
          </w:tcPr>
          <w:p w14:paraId="0BE88DDC" w14:textId="77777777" w:rsidR="002C2FBE" w:rsidRDefault="0063233A">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Author(s)</w:t>
            </w:r>
          </w:p>
        </w:tc>
        <w:tc>
          <w:tcPr>
            <w:tcW w:w="3275" w:type="dxa"/>
          </w:tcPr>
          <w:p w14:paraId="7396D6D5" w14:textId="77777777" w:rsidR="002C2FBE" w:rsidRDefault="0063233A">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Study focus</w:t>
            </w:r>
          </w:p>
        </w:tc>
        <w:tc>
          <w:tcPr>
            <w:tcW w:w="3400" w:type="dxa"/>
          </w:tcPr>
          <w:p w14:paraId="7CBCA622" w14:textId="77777777" w:rsidR="002C2FBE" w:rsidRDefault="0063233A">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Type of data collection/sample size</w:t>
            </w:r>
          </w:p>
        </w:tc>
      </w:tr>
      <w:tr w:rsidR="002C2FBE" w14:paraId="72A7EBB6" w14:textId="77777777">
        <w:tc>
          <w:tcPr>
            <w:tcW w:w="2181" w:type="dxa"/>
          </w:tcPr>
          <w:p w14:paraId="2DAF8CD7"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Tobin et al (2014)</w:t>
            </w:r>
          </w:p>
        </w:tc>
        <w:tc>
          <w:tcPr>
            <w:tcW w:w="3275" w:type="dxa"/>
          </w:tcPr>
          <w:p w14:paraId="42BAD405"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Ecuador and Mexico around two active volcanoes and a landslide/flood area.</w:t>
            </w:r>
          </w:p>
        </w:tc>
        <w:tc>
          <w:tcPr>
            <w:tcW w:w="3400" w:type="dxa"/>
          </w:tcPr>
          <w:p w14:paraId="14649B56" w14:textId="77777777" w:rsidR="002C2FBE" w:rsidRDefault="0063233A">
            <w:pPr>
              <w:widowControl w:val="0"/>
              <w:tabs>
                <w:tab w:val="left" w:pos="220"/>
                <w:tab w:val="left" w:pos="720"/>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Three surveys+ in-depth interviews (~50 to 150 participants in each survey)</w:t>
            </w:r>
          </w:p>
        </w:tc>
      </w:tr>
      <w:tr w:rsidR="002C2FBE" w14:paraId="511C4945" w14:textId="77777777">
        <w:tc>
          <w:tcPr>
            <w:tcW w:w="2181" w:type="dxa"/>
          </w:tcPr>
          <w:p w14:paraId="2F0A8B2C" w14:textId="77777777" w:rsidR="002C2FBE" w:rsidRDefault="0063233A">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Tompson</w:t>
            </w:r>
            <w:proofErr w:type="spellEnd"/>
            <w:r>
              <w:rPr>
                <w:rFonts w:ascii="Times New Roman" w:eastAsia="Times New Roman" w:hAnsi="Times New Roman" w:cs="Times New Roman"/>
                <w:sz w:val="22"/>
                <w:szCs w:val="22"/>
              </w:rPr>
              <w:t xml:space="preserve"> et al (2013)</w:t>
            </w:r>
          </w:p>
          <w:p w14:paraId="4289D9BF" w14:textId="77777777" w:rsidR="002C2FBE" w:rsidRDefault="0063233A">
            <w:pPr>
              <w:jc w:val="center"/>
              <w:rPr>
                <w:rFonts w:ascii="Times New Roman" w:eastAsia="Times New Roman" w:hAnsi="Times New Roman" w:cs="Times New Roman"/>
                <w:sz w:val="22"/>
                <w:szCs w:val="22"/>
              </w:rPr>
            </w:pPr>
            <w:r>
              <w:t>Associated Press/NORC</w:t>
            </w:r>
          </w:p>
        </w:tc>
        <w:tc>
          <w:tcPr>
            <w:tcW w:w="3275" w:type="dxa"/>
          </w:tcPr>
          <w:p w14:paraId="3D734828"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Resilience in the wake of Superstorm Sandy</w:t>
            </w:r>
          </w:p>
        </w:tc>
        <w:tc>
          <w:tcPr>
            <w:tcW w:w="3400" w:type="dxa"/>
          </w:tcPr>
          <w:p w14:paraId="0AA40339"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National survey of 2,025 individuals and interviews with 1,007 residents in affected region</w:t>
            </w:r>
          </w:p>
        </w:tc>
      </w:tr>
      <w:tr w:rsidR="002C2FBE" w14:paraId="4635FF79" w14:textId="77777777">
        <w:tc>
          <w:tcPr>
            <w:tcW w:w="2181" w:type="dxa"/>
          </w:tcPr>
          <w:p w14:paraId="4533B24F" w14:textId="77777777" w:rsidR="002C2FBE" w:rsidRDefault="0063233A">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Reininger</w:t>
            </w:r>
            <w:proofErr w:type="spellEnd"/>
            <w:r>
              <w:rPr>
                <w:rFonts w:ascii="Times New Roman" w:eastAsia="Times New Roman" w:hAnsi="Times New Roman" w:cs="Times New Roman"/>
                <w:sz w:val="22"/>
                <w:szCs w:val="22"/>
              </w:rPr>
              <w:t xml:space="preserve"> (2013)</w:t>
            </w:r>
          </w:p>
        </w:tc>
        <w:tc>
          <w:tcPr>
            <w:tcW w:w="3275" w:type="dxa"/>
          </w:tcPr>
          <w:p w14:paraId="6B4C5D29"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Social capital and disaster preparedness among low income Mexican Americans in Texas</w:t>
            </w:r>
          </w:p>
        </w:tc>
        <w:tc>
          <w:tcPr>
            <w:tcW w:w="3400" w:type="dxa"/>
          </w:tcPr>
          <w:p w14:paraId="6B9ECD47"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Multistage random cluster survey of 3088 households</w:t>
            </w:r>
          </w:p>
        </w:tc>
      </w:tr>
      <w:tr w:rsidR="002C2FBE" w14:paraId="0F4D6CB4" w14:textId="77777777">
        <w:tc>
          <w:tcPr>
            <w:tcW w:w="2181" w:type="dxa"/>
          </w:tcPr>
          <w:p w14:paraId="2096A757"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Eagle et al. (2010)</w:t>
            </w:r>
          </w:p>
        </w:tc>
        <w:tc>
          <w:tcPr>
            <w:tcW w:w="3275" w:type="dxa"/>
          </w:tcPr>
          <w:p w14:paraId="4E9E7B0A"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Correlations between social network diversity and economic development across the</w:t>
            </w:r>
            <w:r>
              <w:rPr>
                <w:rFonts w:ascii="Times New Roman" w:eastAsia="Times New Roman" w:hAnsi="Times New Roman" w:cs="Times New Roman"/>
                <w:sz w:val="22"/>
                <w:szCs w:val="22"/>
              </w:rPr>
              <w:t xml:space="preserve"> U.K.</w:t>
            </w:r>
          </w:p>
        </w:tc>
        <w:tc>
          <w:tcPr>
            <w:tcW w:w="3400" w:type="dxa"/>
          </w:tcPr>
          <w:p w14:paraId="30E2FE95"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Complete record of residential landline phone calls in U.K.</w:t>
            </w:r>
          </w:p>
        </w:tc>
      </w:tr>
      <w:tr w:rsidR="002C2FBE" w14:paraId="00472961" w14:textId="77777777">
        <w:tc>
          <w:tcPr>
            <w:tcW w:w="2181" w:type="dxa"/>
          </w:tcPr>
          <w:p w14:paraId="284FEF50"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Aldrich (2010)</w:t>
            </w:r>
          </w:p>
        </w:tc>
        <w:tc>
          <w:tcPr>
            <w:tcW w:w="3275" w:type="dxa"/>
          </w:tcPr>
          <w:p w14:paraId="1D9C9333"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1995 Kobe, Japan Earthquake</w:t>
            </w:r>
          </w:p>
        </w:tc>
        <w:tc>
          <w:tcPr>
            <w:tcW w:w="3400" w:type="dxa"/>
          </w:tcPr>
          <w:p w14:paraId="1AC7DBC7" w14:textId="77777777" w:rsidR="002C2FBE" w:rsidRDefault="0063233A">
            <w:pPr>
              <w:widowControl w:val="0"/>
              <w:tabs>
                <w:tab w:val="left" w:pos="220"/>
                <w:tab w:val="left" w:pos="720"/>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Case studies with matched pairs in nearby cities; surveys combined with longitudinal and cross sectional data.</w:t>
            </w:r>
          </w:p>
        </w:tc>
      </w:tr>
      <w:tr w:rsidR="002C2FBE" w14:paraId="07C6C82D" w14:textId="77777777">
        <w:tc>
          <w:tcPr>
            <w:tcW w:w="2181" w:type="dxa"/>
          </w:tcPr>
          <w:p w14:paraId="450B17AC" w14:textId="77777777" w:rsidR="002C2FBE" w:rsidRDefault="0063233A">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Rowson</w:t>
            </w:r>
            <w:proofErr w:type="spellEnd"/>
            <w:r>
              <w:rPr>
                <w:rFonts w:ascii="Times New Roman" w:eastAsia="Times New Roman" w:hAnsi="Times New Roman" w:cs="Times New Roman"/>
                <w:sz w:val="22"/>
                <w:szCs w:val="22"/>
              </w:rPr>
              <w:t xml:space="preserve"> et al (2010)</w:t>
            </w:r>
          </w:p>
        </w:tc>
        <w:tc>
          <w:tcPr>
            <w:tcW w:w="3275" w:type="dxa"/>
          </w:tcPr>
          <w:p w14:paraId="55980C7C"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Measuring social connections in a UK neighborhood</w:t>
            </w:r>
          </w:p>
        </w:tc>
        <w:tc>
          <w:tcPr>
            <w:tcW w:w="3400" w:type="dxa"/>
          </w:tcPr>
          <w:p w14:paraId="4523C198"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280 interviews</w:t>
            </w:r>
          </w:p>
        </w:tc>
      </w:tr>
      <w:tr w:rsidR="002C2FBE" w14:paraId="203F14C3" w14:textId="77777777">
        <w:tc>
          <w:tcPr>
            <w:tcW w:w="2181" w:type="dxa"/>
          </w:tcPr>
          <w:p w14:paraId="6FFA25A9" w14:textId="77777777" w:rsidR="002C2FBE" w:rsidRDefault="0063233A">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Hurlbert</w:t>
            </w:r>
            <w:proofErr w:type="spellEnd"/>
            <w:r>
              <w:rPr>
                <w:rFonts w:ascii="Times New Roman" w:eastAsia="Times New Roman" w:hAnsi="Times New Roman" w:cs="Times New Roman"/>
                <w:sz w:val="22"/>
                <w:szCs w:val="22"/>
              </w:rPr>
              <w:t xml:space="preserve"> et al (2009)</w:t>
            </w:r>
          </w:p>
        </w:tc>
        <w:tc>
          <w:tcPr>
            <w:tcW w:w="3275" w:type="dxa"/>
          </w:tcPr>
          <w:p w14:paraId="6A83B0E3"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Community affected by Hurricane Andrew</w:t>
            </w:r>
          </w:p>
        </w:tc>
        <w:tc>
          <w:tcPr>
            <w:tcW w:w="3400" w:type="dxa"/>
          </w:tcPr>
          <w:p w14:paraId="5925F544"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Telephone interviews of ~600 people</w:t>
            </w:r>
          </w:p>
        </w:tc>
      </w:tr>
      <w:tr w:rsidR="002C2FBE" w14:paraId="3F992291" w14:textId="77777777">
        <w:tc>
          <w:tcPr>
            <w:tcW w:w="2181" w:type="dxa"/>
          </w:tcPr>
          <w:p w14:paraId="2F0C3543" w14:textId="77777777" w:rsidR="002C2FBE" w:rsidRDefault="0063233A">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Brune</w:t>
            </w:r>
            <w:proofErr w:type="spellEnd"/>
            <w:r>
              <w:rPr>
                <w:rFonts w:ascii="Times New Roman" w:eastAsia="Times New Roman" w:hAnsi="Times New Roman" w:cs="Times New Roman"/>
                <w:sz w:val="22"/>
                <w:szCs w:val="22"/>
              </w:rPr>
              <w:t xml:space="preserve"> and Thomas (2009)</w:t>
            </w:r>
          </w:p>
        </w:tc>
        <w:tc>
          <w:tcPr>
            <w:tcW w:w="3275" w:type="dxa"/>
          </w:tcPr>
          <w:p w14:paraId="02641C91"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Evaluation of interventions for increasing social capital in post co</w:t>
            </w:r>
            <w:r>
              <w:rPr>
                <w:rFonts w:ascii="Times New Roman" w:eastAsia="Times New Roman" w:hAnsi="Times New Roman" w:cs="Times New Roman"/>
                <w:sz w:val="22"/>
                <w:szCs w:val="22"/>
              </w:rPr>
              <w:t>nflict Nicaraguan communities</w:t>
            </w:r>
          </w:p>
        </w:tc>
        <w:tc>
          <w:tcPr>
            <w:tcW w:w="3400" w:type="dxa"/>
          </w:tcPr>
          <w:p w14:paraId="55A89641"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Survey of 200 households in 3 communities.  Follow up survey 2 years later.</w:t>
            </w:r>
          </w:p>
        </w:tc>
      </w:tr>
      <w:tr w:rsidR="002C2FBE" w14:paraId="68EAC62B" w14:textId="77777777">
        <w:tc>
          <w:tcPr>
            <w:tcW w:w="2181" w:type="dxa"/>
          </w:tcPr>
          <w:p w14:paraId="70CFF52E"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Christakis &amp; Fowler (2007, 2008)</w:t>
            </w:r>
          </w:p>
        </w:tc>
        <w:tc>
          <w:tcPr>
            <w:tcW w:w="3275" w:type="dxa"/>
          </w:tcPr>
          <w:p w14:paraId="74FDE41D"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Spread of Obesity/Smoking dynamics within a large social network</w:t>
            </w:r>
          </w:p>
        </w:tc>
        <w:tc>
          <w:tcPr>
            <w:tcW w:w="3400" w:type="dxa"/>
          </w:tcPr>
          <w:p w14:paraId="4B2516DC"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30-year longitudinal study involving 12,000+ people with regular surveys and physical examinations</w:t>
            </w:r>
          </w:p>
        </w:tc>
      </w:tr>
      <w:tr w:rsidR="002C2FBE" w14:paraId="1313B2AB" w14:textId="77777777">
        <w:tc>
          <w:tcPr>
            <w:tcW w:w="2181" w:type="dxa"/>
          </w:tcPr>
          <w:p w14:paraId="11C14E12"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Browning et al. (2006)</w:t>
            </w:r>
          </w:p>
        </w:tc>
        <w:tc>
          <w:tcPr>
            <w:tcW w:w="3275" w:type="dxa"/>
          </w:tcPr>
          <w:p w14:paraId="3FDCB1FA"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Neighborhood –level variation in mortality during 1995 Chicago Heat Wave</w:t>
            </w:r>
          </w:p>
        </w:tc>
        <w:tc>
          <w:tcPr>
            <w:tcW w:w="3400" w:type="dxa"/>
          </w:tcPr>
          <w:p w14:paraId="10A48875"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Cross-sectional survey of Chicago residents, systematic vide</w:t>
            </w:r>
            <w:r>
              <w:rPr>
                <w:rFonts w:ascii="Times New Roman" w:eastAsia="Times New Roman" w:hAnsi="Times New Roman" w:cs="Times New Roman"/>
                <w:sz w:val="22"/>
                <w:szCs w:val="22"/>
              </w:rPr>
              <w:t>o footage of neighborhoods, mortality</w:t>
            </w:r>
          </w:p>
        </w:tc>
      </w:tr>
      <w:tr w:rsidR="002C2FBE" w14:paraId="325EEFE3" w14:textId="77777777">
        <w:tc>
          <w:tcPr>
            <w:tcW w:w="2181" w:type="dxa"/>
          </w:tcPr>
          <w:p w14:paraId="75BA0C81" w14:textId="77777777" w:rsidR="002C2FBE" w:rsidRDefault="0063233A">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Klinenberg</w:t>
            </w:r>
            <w:proofErr w:type="spellEnd"/>
            <w:r>
              <w:rPr>
                <w:rFonts w:ascii="Times New Roman" w:eastAsia="Times New Roman" w:hAnsi="Times New Roman" w:cs="Times New Roman"/>
                <w:sz w:val="22"/>
                <w:szCs w:val="22"/>
              </w:rPr>
              <w:t xml:space="preserve"> (2003)</w:t>
            </w:r>
          </w:p>
        </w:tc>
        <w:tc>
          <w:tcPr>
            <w:tcW w:w="3275" w:type="dxa"/>
          </w:tcPr>
          <w:p w14:paraId="7D7EAE84"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Social isolation and death during the 1995 Chicago Heat Wave</w:t>
            </w:r>
          </w:p>
        </w:tc>
        <w:tc>
          <w:tcPr>
            <w:tcW w:w="3400" w:type="dxa"/>
          </w:tcPr>
          <w:p w14:paraId="7FF9EF51" w14:textId="77777777" w:rsidR="002C2FBE" w:rsidRDefault="0063233A">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Case studies</w:t>
            </w:r>
          </w:p>
        </w:tc>
      </w:tr>
    </w:tbl>
    <w:p w14:paraId="7F259BDF" w14:textId="77777777" w:rsidR="002C2FBE" w:rsidRDefault="002C2FBE">
      <w:pPr>
        <w:spacing w:after="200"/>
        <w:jc w:val="center"/>
        <w:rPr>
          <w:rFonts w:ascii="Times New Roman" w:eastAsia="Times New Roman" w:hAnsi="Times New Roman" w:cs="Times New Roman"/>
          <w:sz w:val="22"/>
          <w:szCs w:val="22"/>
        </w:rPr>
      </w:pPr>
    </w:p>
    <w:p w14:paraId="60D9B3FE" w14:textId="77777777" w:rsidR="002C2FBE" w:rsidRDefault="002C2FBE"/>
    <w:p w14:paraId="1ADB0C64" w14:textId="77777777" w:rsidR="002C2FBE" w:rsidRDefault="0063233A">
      <w:pPr>
        <w:pStyle w:val="Heading2"/>
      </w:pPr>
      <w:bookmarkStart w:id="22" w:name="_3rdcrjn" w:colFirst="0" w:colLast="0"/>
      <w:bookmarkEnd w:id="22"/>
      <w:r>
        <w:t xml:space="preserve">Proxies for cohesion </w:t>
      </w:r>
    </w:p>
    <w:p w14:paraId="60770821" w14:textId="77777777" w:rsidR="002C2FBE" w:rsidRDefault="002C2FBE"/>
    <w:p w14:paraId="517FD5D8" w14:textId="77777777" w:rsidR="002C2FBE" w:rsidRDefault="0063233A">
      <w:r>
        <w:t xml:space="preserve">Social cohesion as a property of communities is difficult to measure directly, and even aspects of </w:t>
      </w:r>
      <w:r>
        <w:t>social cohesion such as “trust” and “willingness to help” are difficult to ascertain even via survey methods.  Surveys and studies whose primary goal is to ascertain aspects of social capital, therefore, use a battery of questions that attempt to touch upo</w:t>
      </w:r>
      <w:r>
        <w:t xml:space="preserve">n different </w:t>
      </w:r>
      <w:r>
        <w:lastRenderedPageBreak/>
        <w:t xml:space="preserve">aspects thought to be indicative of cohesive communities.  The diversity of questions asked in such surveys reflects both a degree of academic uncertainty about what constitutes social cohesion (for example: is voting a cause of cohesion or an </w:t>
      </w:r>
      <w:r>
        <w:t>effect?  Is it even correlated with social cohesion at all?), and to some degree it reflects an understanding that social cohesion may manifest itself differently in different kinds of communities.  For example, local social life may be facilitated in some</w:t>
      </w:r>
      <w:r>
        <w:t xml:space="preserve"> communities by bowling clubs and civic organizations, while in other communities it may be Bible study and church attendance, and in others it may be online gaming and Instagram.  Though survey instruments such as CPS and SCCB attempt to take these differ</w:t>
      </w:r>
      <w:r>
        <w:t xml:space="preserve">ences into consideration to a certain extent, the questions may still betray concepts of communication and participation that are biased towards common lifestyles, or cultures that are more familiar to researchers.  </w:t>
      </w:r>
    </w:p>
    <w:p w14:paraId="303BA2FA" w14:textId="77777777" w:rsidR="002C2FBE" w:rsidRDefault="002C2FBE"/>
    <w:p w14:paraId="7AE80CAF" w14:textId="77777777" w:rsidR="002C2FBE" w:rsidRDefault="0063233A">
      <w:r>
        <w:t>Furthermore, the set of questions used</w:t>
      </w:r>
      <w:r>
        <w:t xml:space="preserve"> in social capital surveys within the United States are, as expected, distinct from those used in Europe or the developing world.  Heavily influenced by the work of Putnam, Sampson, and Coleman, the U.S. surveys contain many questions regarding organizatio</w:t>
      </w:r>
      <w:r>
        <w:t>nal life, political activism, and volunteerism, while more international standards of social capital track proxies like political freedoms, kin homogeneity, and contract enforceability &lt;&lt;</w:t>
      </w:r>
      <w:proofErr w:type="spellStart"/>
      <w:r>
        <w:t>Grootaert</w:t>
      </w:r>
      <w:proofErr w:type="spellEnd"/>
      <w:r>
        <w:t>&gt;&gt;.  In this review, we will focus on describing and evaluat</w:t>
      </w:r>
      <w:r>
        <w:t xml:space="preserve">ing proxies of cohesion within the United States, grouping them into three basic categories: </w:t>
      </w:r>
    </w:p>
    <w:p w14:paraId="333B9ACC" w14:textId="77777777" w:rsidR="002C2FBE" w:rsidRDefault="002C2FBE"/>
    <w:p w14:paraId="10AE5C74" w14:textId="77777777" w:rsidR="002C2FBE" w:rsidRDefault="0063233A">
      <w:pPr>
        <w:numPr>
          <w:ilvl w:val="0"/>
          <w:numId w:val="3"/>
        </w:numPr>
        <w:pBdr>
          <w:top w:val="nil"/>
          <w:left w:val="nil"/>
          <w:bottom w:val="nil"/>
          <w:right w:val="nil"/>
          <w:between w:val="nil"/>
        </w:pBdr>
      </w:pPr>
      <w:r>
        <w:rPr>
          <w:color w:val="000000"/>
        </w:rPr>
        <w:t>Connectivity</w:t>
      </w:r>
    </w:p>
    <w:p w14:paraId="0C1D878A" w14:textId="77777777" w:rsidR="002C2FBE" w:rsidRDefault="0063233A">
      <w:pPr>
        <w:numPr>
          <w:ilvl w:val="0"/>
          <w:numId w:val="3"/>
        </w:numPr>
        <w:pBdr>
          <w:top w:val="nil"/>
          <w:left w:val="nil"/>
          <w:bottom w:val="nil"/>
          <w:right w:val="nil"/>
          <w:between w:val="nil"/>
        </w:pBdr>
      </w:pPr>
      <w:r>
        <w:rPr>
          <w:color w:val="000000"/>
        </w:rPr>
        <w:t>Attitudes of Trust</w:t>
      </w:r>
    </w:p>
    <w:p w14:paraId="63E571DA" w14:textId="77777777" w:rsidR="002C2FBE" w:rsidRDefault="0063233A">
      <w:pPr>
        <w:numPr>
          <w:ilvl w:val="0"/>
          <w:numId w:val="3"/>
        </w:numPr>
        <w:pBdr>
          <w:top w:val="nil"/>
          <w:left w:val="nil"/>
          <w:bottom w:val="nil"/>
          <w:right w:val="nil"/>
          <w:between w:val="nil"/>
        </w:pBdr>
      </w:pPr>
      <w:r>
        <w:rPr>
          <w:color w:val="000000"/>
        </w:rPr>
        <w:t>Social and civic participation</w:t>
      </w:r>
    </w:p>
    <w:p w14:paraId="744DA54A" w14:textId="77777777" w:rsidR="002C2FBE" w:rsidRDefault="002C2FBE"/>
    <w:p w14:paraId="61CAF3B4" w14:textId="77777777" w:rsidR="002C2FBE" w:rsidRDefault="0063233A">
      <w:r>
        <w:t>The effectiveness of particular survey questions at tracking the actual communication and trust that make up social cohesion is a matter of debate, but taken together, these proxies currently form the primary method of measuring cohesion in the United Stat</w:t>
      </w:r>
      <w:r>
        <w:t>es and are thus the basis for informing policy.</w:t>
      </w:r>
    </w:p>
    <w:p w14:paraId="41F428EA" w14:textId="77777777" w:rsidR="002C2FBE" w:rsidRDefault="002C2FBE"/>
    <w:p w14:paraId="4ED281C2" w14:textId="77777777" w:rsidR="002C2FBE" w:rsidRDefault="0063233A">
      <w:pPr>
        <w:pStyle w:val="Heading2"/>
      </w:pPr>
      <w:bookmarkStart w:id="23" w:name="_26in1rg" w:colFirst="0" w:colLast="0"/>
      <w:bookmarkEnd w:id="23"/>
      <w:r>
        <w:t>I. Connectivity and informal networks</w:t>
      </w:r>
    </w:p>
    <w:p w14:paraId="7CC8C6C4" w14:textId="77777777" w:rsidR="002C2FBE" w:rsidRDefault="002C2FBE"/>
    <w:p w14:paraId="3D7E3E7F" w14:textId="77777777" w:rsidR="002C2FBE" w:rsidRDefault="0063233A">
      <w:r>
        <w:t>Social capital and cohesion are primarily properties of network interactions between people, so measuring the density and structure of local social networks is essentia</w:t>
      </w:r>
      <w:r>
        <w:t xml:space="preserve">l to understanding how cohesion emerges. Thus, the Social Capital Community Benchmark Survey, which measures all aspects of social capital, takes as it’s central question: “how connected are Americans to each other?” &lt;&lt;SCCBS </w:t>
      </w:r>
      <w:proofErr w:type="spellStart"/>
      <w:r>
        <w:t>webiste</w:t>
      </w:r>
      <w:proofErr w:type="spellEnd"/>
      <w:r>
        <w:t xml:space="preserve">&gt;&gt;.  From a perspective </w:t>
      </w:r>
      <w:r>
        <w:t>of social connectivity, there are three main categories that are of interest to researchers:</w:t>
      </w:r>
    </w:p>
    <w:p w14:paraId="2F305A31" w14:textId="77777777" w:rsidR="002C2FBE" w:rsidRDefault="002C2FBE"/>
    <w:p w14:paraId="6D00CB49" w14:textId="77777777" w:rsidR="002C2FBE" w:rsidRDefault="0063233A">
      <w:pPr>
        <w:numPr>
          <w:ilvl w:val="0"/>
          <w:numId w:val="4"/>
        </w:numPr>
        <w:pBdr>
          <w:top w:val="nil"/>
          <w:left w:val="nil"/>
          <w:bottom w:val="nil"/>
          <w:right w:val="nil"/>
          <w:between w:val="nil"/>
        </w:pBdr>
      </w:pPr>
      <w:r>
        <w:rPr>
          <w:color w:val="000000"/>
        </w:rPr>
        <w:t xml:space="preserve">How many people one knows (network density) </w:t>
      </w:r>
    </w:p>
    <w:p w14:paraId="5283A648" w14:textId="77777777" w:rsidR="002C2FBE" w:rsidRDefault="0063233A">
      <w:pPr>
        <w:numPr>
          <w:ilvl w:val="0"/>
          <w:numId w:val="4"/>
        </w:numPr>
        <w:pBdr>
          <w:top w:val="nil"/>
          <w:left w:val="nil"/>
          <w:bottom w:val="nil"/>
          <w:right w:val="nil"/>
          <w:between w:val="nil"/>
        </w:pBdr>
      </w:pPr>
      <w:r>
        <w:rPr>
          <w:color w:val="000000"/>
        </w:rPr>
        <w:t>Where they live (geographic proximity), and</w:t>
      </w:r>
    </w:p>
    <w:p w14:paraId="1F8EEE40" w14:textId="77777777" w:rsidR="002C2FBE" w:rsidRDefault="0063233A">
      <w:pPr>
        <w:numPr>
          <w:ilvl w:val="0"/>
          <w:numId w:val="4"/>
        </w:numPr>
        <w:pBdr>
          <w:top w:val="nil"/>
          <w:left w:val="nil"/>
          <w:bottom w:val="nil"/>
          <w:right w:val="nil"/>
          <w:between w:val="nil"/>
        </w:pBdr>
      </w:pPr>
      <w:r>
        <w:rPr>
          <w:color w:val="000000"/>
        </w:rPr>
        <w:t>Whether they know each other (network structure).</w:t>
      </w:r>
    </w:p>
    <w:p w14:paraId="4956DBC6" w14:textId="77777777" w:rsidR="002C2FBE" w:rsidRDefault="002C2FBE"/>
    <w:p w14:paraId="243A228F" w14:textId="77777777" w:rsidR="002C2FBE" w:rsidRDefault="0063233A">
      <w:r>
        <w:t>Simple metrics such as</w:t>
      </w:r>
      <w:r>
        <w:t xml:space="preserve"> the number and density of informal connections between have been correlated with a host of benefits.  </w:t>
      </w:r>
      <w:commentRangeStart w:id="24"/>
      <w:r>
        <w:t xml:space="preserve">Pan et al. theorize that the reason innovation occurs </w:t>
      </w:r>
      <w:r>
        <w:lastRenderedPageBreak/>
        <w:t>disproportionately in high-density populations is because high-density populations have higher dens</w:t>
      </w:r>
      <w:r>
        <w:t xml:space="preserve">ity social networks, and thus more efficient information sharing &lt;&lt;Pan&gt;&gt;.   </w:t>
      </w:r>
      <w:commentRangeEnd w:id="24"/>
      <w:r>
        <w:commentReference w:id="24"/>
      </w:r>
      <w:r>
        <w:t>More cohesive social network structures—those structures in which two connected people are likely to have more mutual acquaintances—have been shown to increase workplace product</w:t>
      </w:r>
      <w:r>
        <w:t>ivity &lt;&lt;Wu&gt;&gt;. On a personal level, having more social connections lowers stress and increases wellbeing, with greater benefits accruing from cohesive network structures and geographic proximity &lt;&lt;</w:t>
      </w:r>
      <w:proofErr w:type="spellStart"/>
      <w:r>
        <w:t>Rath</w:t>
      </w:r>
      <w:proofErr w:type="spellEnd"/>
      <w:r>
        <w:t xml:space="preserve">&gt;&gt;.  Merely knowing details about neighbors may promote </w:t>
      </w:r>
      <w:r>
        <w:t>positive outcomes through imitation. “Keeping up with the Joneses” may be a motivating force for positive change &lt;&lt;</w:t>
      </w:r>
      <w:proofErr w:type="spellStart"/>
      <w:r>
        <w:t>Rowson</w:t>
      </w:r>
      <w:proofErr w:type="spellEnd"/>
      <w:r>
        <w:t>&gt;&gt;. The density of local ties also often mediates neighborhood cohesion.  For example, private and charter schools have been vilified a</w:t>
      </w:r>
      <w:r>
        <w:t>s enemies of neighborhood cohesion, not because levels of trust or engagement are higher within public schools, but because connections between neighborhood parents are often established through the friendship and activities of their children &lt;&lt;</w:t>
      </w:r>
      <w:proofErr w:type="spellStart"/>
      <w:r>
        <w:t>Finschel</w:t>
      </w:r>
      <w:proofErr w:type="spellEnd"/>
      <w:r>
        <w:t>&gt;&gt;.</w:t>
      </w:r>
      <w:r>
        <w:t xml:space="preserve">  </w:t>
      </w:r>
    </w:p>
    <w:p w14:paraId="654C8371" w14:textId="77777777" w:rsidR="002C2FBE" w:rsidRDefault="002C2FBE"/>
    <w:p w14:paraId="435B686F" w14:textId="77777777" w:rsidR="002C2FBE" w:rsidRDefault="0063233A">
      <w:r>
        <w:t>From a perspective of neighborhood resilience, connectivity may be an excellent proxy for the cohesion that provides resilience. When disaster takes down , and the “real first responders” on the scene are local friends and family &lt;&lt;</w:t>
      </w:r>
      <w:proofErr w:type="spellStart"/>
      <w:r>
        <w:t>Perrow</w:t>
      </w:r>
      <w:proofErr w:type="spellEnd"/>
      <w:r>
        <w:t xml:space="preserve">, </w:t>
      </w:r>
      <w:proofErr w:type="spellStart"/>
      <w:r>
        <w:t>Meit</w:t>
      </w:r>
      <w:proofErr w:type="spellEnd"/>
      <w:r>
        <w:t>&gt;&gt;, the numb</w:t>
      </w:r>
      <w:r>
        <w:t>er of people you know around you can be the difference between life and death.  Indeed, in the case of the 1995 Chicago heat wave, most of the heat-related deaths were social isolates: people with no local friends or family to check in on them.  Such isola</w:t>
      </w:r>
      <w:r>
        <w:t>tion may be surprisingly common, and relevant to much less disastrous circumstances: in one U.K. community, it was found that 1 out of every 4 people “did not know anyone who…could help them contact someone with influence, power, or responsibility.”  Nearl</w:t>
      </w:r>
      <w:r>
        <w:t>y 2% of residents “did not know anyone in their neighborhood who could support them or help them to make changes in any way.” From a standpoint of healthy communities, it is easy to see why the density of local connections may be of interest to community l</w:t>
      </w:r>
      <w:r>
        <w:t xml:space="preserve">eaders.  </w:t>
      </w:r>
    </w:p>
    <w:p w14:paraId="24C230C2" w14:textId="77777777" w:rsidR="002C2FBE" w:rsidRDefault="002C2FBE"/>
    <w:p w14:paraId="48D5526D" w14:textId="77777777" w:rsidR="002C2FBE" w:rsidRDefault="0063233A">
      <w:r>
        <w:t>Current survey methods of measuring connectivity range from fairly simple questions that attempt to gauge respondents’ number of local friends and family, to attempts to reconstruct the underlying network structure through a sequence of intervie</w:t>
      </w:r>
      <w:r>
        <w:t>ws with specific individuals. For obvious reasons, personal networks are often a difficult subject about which to gain information, and so such questions are often limited in scope and invasiveness. The Social Capital Community Benchmark Survey asks respon</w:t>
      </w:r>
      <w:r>
        <w:t>dents only how many close friends they have nearby, while the Civic Engagement Supplement asks only how often the respondent talks with neighbors or communicates with friends over the Internet.</w:t>
      </w:r>
    </w:p>
    <w:p w14:paraId="3AC7F22B" w14:textId="77777777" w:rsidR="002C2FBE" w:rsidRDefault="002C2FBE"/>
    <w:p w14:paraId="23A23BE8" w14:textId="77777777" w:rsidR="002C2FBE" w:rsidRDefault="0063233A">
      <w:r>
        <w:t>In contrast, researchers who seek to gather information about</w:t>
      </w:r>
      <w:r>
        <w:t xml:space="preserve"> the social network structures themselves must usually conduct time-consuming one-on-one interviews. Such interviews and surveys often consist of “name generators,” wherein a respondent is asked to identify close friends and family by name.  An example que</w:t>
      </w:r>
      <w:r>
        <w:t>stion might be: “Who are the people that you seek out for advice or to discuss matters important to you? (Please list up to a maximum of six names)” &lt;&lt;</w:t>
      </w:r>
      <w:proofErr w:type="spellStart"/>
      <w:r>
        <w:t>Rowson</w:t>
      </w:r>
      <w:proofErr w:type="spellEnd"/>
      <w:r>
        <w:t xml:space="preserve">&gt;&gt;.  To get complete network information, researchers often utilize a method called “snowballing”, </w:t>
      </w:r>
      <w:r>
        <w:t xml:space="preserve">wherein the people whose names were initially provided are subsequently tracked down and asked the same questions. The </w:t>
      </w:r>
      <w:r>
        <w:lastRenderedPageBreak/>
        <w:t>process is repeated until the reconstructed network is sufficiently complete or researchers’ resources are depleted &lt;&lt;</w:t>
      </w:r>
      <w:proofErr w:type="spellStart"/>
      <w:r>
        <w:t>Hanneman</w:t>
      </w:r>
      <w:proofErr w:type="spellEnd"/>
      <w:r>
        <w:t>&gt;&gt;.</w:t>
      </w:r>
    </w:p>
    <w:p w14:paraId="21E0F66B" w14:textId="77777777" w:rsidR="002C2FBE" w:rsidRDefault="002C2FBE"/>
    <w:p w14:paraId="4E5A371E" w14:textId="77777777" w:rsidR="002C2FBE" w:rsidRDefault="0063233A">
      <w:r>
        <w:t>One ad</w:t>
      </w:r>
      <w:r>
        <w:t>vantage of measuring connectivity in surveys, is that, relative to the other aspects of social cohesion, connectivity is fairly well-defined and objective.  In contrast, questions of trust and reports of attitudes introduce a degree of subjective variation</w:t>
      </w:r>
      <w:r>
        <w:t xml:space="preserve"> to results, while questions of engagement are overly dependent on the researchers’ understanding of which of many kinds of engagement should be investigated.  The simple fact of knowing or communicating with one’s neighbors is comparatively simple to extr</w:t>
      </w:r>
      <w:r>
        <w:t xml:space="preserve">act. However, </w:t>
      </w:r>
      <w:r>
        <w:rPr>
          <w:rFonts w:ascii="Times New Roman" w:eastAsia="Times New Roman" w:hAnsi="Times New Roman" w:cs="Times New Roman"/>
        </w:rPr>
        <w:t>as Prewitt et al. observe</w:t>
      </w:r>
      <w:r>
        <w:rPr>
          <w:rFonts w:ascii="Times New Roman" w:eastAsia="Times New Roman" w:hAnsi="Times New Roman" w:cs="Times New Roman"/>
          <w:i/>
        </w:rPr>
        <w:t xml:space="preserve">, </w:t>
      </w:r>
      <w:r>
        <w:rPr>
          <w:rFonts w:ascii="Times New Roman" w:eastAsia="Times New Roman" w:hAnsi="Times New Roman" w:cs="Times New Roman"/>
        </w:rPr>
        <w:t xml:space="preserve">“even for a comparatively well-defined element of social capital, such as individuals’ connectedness, it can be misleading to rely on one or very few proxy measures. For example, if a survey asks about family ties, </w:t>
      </w:r>
      <w:r>
        <w:rPr>
          <w:rFonts w:ascii="Times New Roman" w:eastAsia="Times New Roman" w:hAnsi="Times New Roman" w:cs="Times New Roman"/>
        </w:rPr>
        <w:t>it may miss a trend whereby friendship networks are increasingly substituting for those centered around family. And asking only about in-person contacts will miss increasing use of remote personal communication and social networking options that may substi</w:t>
      </w:r>
      <w:r>
        <w:rPr>
          <w:rFonts w:ascii="Times New Roman" w:eastAsia="Times New Roman" w:hAnsi="Times New Roman" w:cs="Times New Roman"/>
        </w:rPr>
        <w:t>tute for or complement conventional interpersonal interactions.”</w:t>
      </w:r>
      <w:r>
        <w:t xml:space="preserve"> </w:t>
      </w:r>
    </w:p>
    <w:p w14:paraId="76016857" w14:textId="77777777" w:rsidR="002C2FBE" w:rsidRDefault="002C2FBE"/>
    <w:p w14:paraId="2F0CC7C5" w14:textId="77777777" w:rsidR="002C2FBE" w:rsidRDefault="0063233A">
      <w:pPr>
        <w:rPr>
          <w:rFonts w:ascii="Calibri" w:eastAsia="Calibri" w:hAnsi="Calibri" w:cs="Calibri"/>
          <w:i/>
          <w:sz w:val="22"/>
          <w:szCs w:val="22"/>
        </w:rPr>
      </w:pPr>
      <w:r>
        <w:t xml:space="preserve">Furthermore, because of the reticence of people to give specific information about their friends to strangers, and the expensive, time consuming process of implementing name generators and </w:t>
      </w:r>
      <w:r>
        <w:t>snowball methods, gathering information on neighborhood connectivity may be particularly well-suited to the alternative non-survey methods discussed later.</w:t>
      </w:r>
    </w:p>
    <w:p w14:paraId="18589547" w14:textId="77777777" w:rsidR="002C2FBE" w:rsidRDefault="002C2FBE"/>
    <w:p w14:paraId="19638DED" w14:textId="77777777" w:rsidR="002C2FBE" w:rsidRDefault="0063233A">
      <w:r>
        <w:t>Although the characteristics of people’s social networks are informative of the cohesiveness of a c</w:t>
      </w:r>
      <w:r>
        <w:t>ommunity, social cohesion goes beyond just who knows who.  Connections and communication are not always positive, so merely knowing the levels of communication within a neighborhood provides no information on the valence of those interactions. Neighbors ma</w:t>
      </w:r>
      <w:r>
        <w:t>y know each other, but that does not necessarily mean they are friendly with each other.  Nor do family ties (about which many surveys inquire) necessarily bring about effects on a community level. Thus, while connectivity is one proxy for social cohesion,</w:t>
      </w:r>
      <w:r>
        <w:t xml:space="preserve"> it is incomplete without information about the attitudes and norms that exist within the network. </w:t>
      </w:r>
    </w:p>
    <w:p w14:paraId="1B487B5E" w14:textId="77777777" w:rsidR="002C2FBE" w:rsidRDefault="002C2FBE"/>
    <w:p w14:paraId="46B17674" w14:textId="77777777" w:rsidR="002C2FBE" w:rsidRDefault="0063233A">
      <w:pPr>
        <w:pStyle w:val="Heading2"/>
      </w:pPr>
      <w:bookmarkStart w:id="25" w:name="_lnxbz9" w:colFirst="0" w:colLast="0"/>
      <w:bookmarkEnd w:id="25"/>
      <w:r>
        <w:t xml:space="preserve">II. Attitudes of trust </w:t>
      </w:r>
    </w:p>
    <w:p w14:paraId="211A078D" w14:textId="77777777" w:rsidR="002C2FBE" w:rsidRDefault="002C2FBE"/>
    <w:p w14:paraId="7EA063AB" w14:textId="77777777" w:rsidR="002C2FBE" w:rsidRDefault="0063233A">
      <w:r>
        <w:t>The twin attitudes of Trust and Willingness to help other members of the community are perhaps the central defining aspects of soc</w:t>
      </w:r>
      <w:r>
        <w:t>ial cohesion.  Indeed, Chan’s definition of social cohesion is “a state of affairs…characterized by a set of attitudes and norms that includes trust, sense of belongingness, willingness to participate and help.” A social network may exist, and may have a c</w:t>
      </w:r>
      <w:r>
        <w:t xml:space="preserve">ohesive structure, but it is only these attitudes that turn a social network into a bastion of support and good will.  In the words of Francis </w:t>
      </w:r>
      <w:proofErr w:type="spellStart"/>
      <w:r>
        <w:t>Fukyama</w:t>
      </w:r>
      <w:proofErr w:type="spellEnd"/>
      <w:r>
        <w:t>, trust “…acts like a lubricant that makes any group or organization run more efficiently &lt;&lt;Fukuyama 1999&gt;</w:t>
      </w:r>
      <w:r>
        <w:t>. One of the most striking examples of group trust is the wholesale diamond market in 1980s New York as described by Coleman.  Dominated by a cohesive Jewish community in Brooklyn, such was the trust between the wholesalers that:</w:t>
      </w:r>
    </w:p>
    <w:p w14:paraId="6A1C80D8" w14:textId="77777777" w:rsidR="002C2FBE" w:rsidRDefault="002C2FBE"/>
    <w:p w14:paraId="6287C3B2" w14:textId="77777777" w:rsidR="002C2FBE" w:rsidRDefault="0063233A">
      <w:pPr>
        <w:ind w:left="720"/>
      </w:pPr>
      <w:r>
        <w:lastRenderedPageBreak/>
        <w:t xml:space="preserve"> “a merchant will hand ov</w:t>
      </w:r>
      <w:r>
        <w:t>er to another merchant a bag of stones for the latter to examine in private at his leisure, with no formal insurance…The merchandise may be worth thousands, or hundreds of thousands, of dollars.  Such free exchange of stones…is important to the functioning</w:t>
      </w:r>
      <w:r>
        <w:t xml:space="preserve"> of this market.  In its absence, the market would operate in a much more cumbersome, much less efficient fashion.” &lt;&lt;Coleman&gt;&gt;</w:t>
      </w:r>
    </w:p>
    <w:p w14:paraId="0D6B6CB8" w14:textId="77777777" w:rsidR="002C2FBE" w:rsidRDefault="002C2FBE"/>
    <w:p w14:paraId="6D367548" w14:textId="77777777" w:rsidR="002C2FBE" w:rsidRDefault="0063233A">
      <w:r>
        <w:t>In surveys, measuring such attitudes can be done in two ways.  They can be direct proxies by prompting the respondents to repor</w:t>
      </w:r>
      <w:r>
        <w:t>t either their own attitudes or their perception of the prevailing attitudes in the community, or indirect proxies, by attempting to measure behavioral manifestations of the attitudes.  Examples of the direct method include:</w:t>
      </w:r>
    </w:p>
    <w:p w14:paraId="5D3E2BF6" w14:textId="77777777" w:rsidR="002C2FBE" w:rsidRDefault="002C2FBE"/>
    <w:p w14:paraId="35297048" w14:textId="77777777" w:rsidR="002C2FBE" w:rsidRDefault="0063233A">
      <w:pPr>
        <w:numPr>
          <w:ilvl w:val="0"/>
          <w:numId w:val="5"/>
        </w:numPr>
        <w:pBdr>
          <w:top w:val="nil"/>
          <w:left w:val="nil"/>
          <w:bottom w:val="nil"/>
          <w:right w:val="nil"/>
          <w:between w:val="nil"/>
        </w:pBdr>
      </w:pPr>
      <w:r>
        <w:rPr>
          <w:color w:val="000000"/>
        </w:rPr>
        <w:t>“People in [this community] ca</w:t>
      </w:r>
      <w:r>
        <w:rPr>
          <w:color w:val="000000"/>
        </w:rPr>
        <w:t xml:space="preserve">n be trusted.”  </w:t>
      </w:r>
    </w:p>
    <w:p w14:paraId="11C553EC" w14:textId="77777777" w:rsidR="002C2FBE" w:rsidRDefault="0063233A">
      <w:pPr>
        <w:numPr>
          <w:ilvl w:val="0"/>
          <w:numId w:val="5"/>
        </w:numPr>
        <w:pBdr>
          <w:top w:val="nil"/>
          <w:left w:val="nil"/>
          <w:bottom w:val="nil"/>
          <w:right w:val="nil"/>
          <w:between w:val="nil"/>
        </w:pBdr>
      </w:pPr>
      <w:r>
        <w:rPr>
          <w:color w:val="000000"/>
        </w:rPr>
        <w:t>“This is a close-knit neighborhood or community”</w:t>
      </w:r>
    </w:p>
    <w:p w14:paraId="5A314F70" w14:textId="77777777" w:rsidR="002C2FBE" w:rsidRDefault="0063233A">
      <w:pPr>
        <w:numPr>
          <w:ilvl w:val="0"/>
          <w:numId w:val="5"/>
        </w:numPr>
        <w:pBdr>
          <w:top w:val="nil"/>
          <w:left w:val="nil"/>
          <w:bottom w:val="nil"/>
          <w:right w:val="nil"/>
          <w:between w:val="nil"/>
        </w:pBdr>
      </w:pPr>
      <w:r>
        <w:rPr>
          <w:color w:val="000000"/>
        </w:rPr>
        <w:t>“People who live in this neighborhood or community are willing to help their neighbors”  &lt;&lt;taken from Horney&gt;&gt;</w:t>
      </w:r>
    </w:p>
    <w:p w14:paraId="30C15933" w14:textId="77777777" w:rsidR="002C2FBE" w:rsidRDefault="002C2FBE"/>
    <w:p w14:paraId="0487C762" w14:textId="77777777" w:rsidR="002C2FBE" w:rsidRDefault="002C2FBE"/>
    <w:p w14:paraId="67F8A383" w14:textId="77777777" w:rsidR="002C2FBE" w:rsidRDefault="0063233A">
      <w:r>
        <w:t>While an example of behavioral proxies:</w:t>
      </w:r>
    </w:p>
    <w:p w14:paraId="48A5B92C" w14:textId="77777777" w:rsidR="002C2FBE" w:rsidRDefault="002C2FBE"/>
    <w:p w14:paraId="18BDABFF" w14:textId="77777777" w:rsidR="002C2FBE" w:rsidRDefault="0063233A">
      <w:pPr>
        <w:numPr>
          <w:ilvl w:val="0"/>
          <w:numId w:val="6"/>
        </w:numPr>
        <w:pBdr>
          <w:top w:val="nil"/>
          <w:left w:val="nil"/>
          <w:bottom w:val="nil"/>
          <w:right w:val="nil"/>
          <w:between w:val="nil"/>
        </w:pBdr>
      </w:pPr>
      <w:r>
        <w:rPr>
          <w:color w:val="000000"/>
        </w:rPr>
        <w:t>“How often did you and your neighbors do favors for each other? By favors we mean such things as watching each other’s children, shopping, house sitting, lending garden or household items, and other small acts of kindness – basically every day, a few times</w:t>
      </w:r>
      <w:r>
        <w:rPr>
          <w:color w:val="000000"/>
        </w:rPr>
        <w:t xml:space="preserve"> a week, a few times a month, once a month, or not at all?” &lt;&lt;CPS&gt;&gt;</w:t>
      </w:r>
    </w:p>
    <w:p w14:paraId="3F7C1567" w14:textId="77777777" w:rsidR="002C2FBE" w:rsidRDefault="002C2FBE"/>
    <w:p w14:paraId="164DDA00" w14:textId="77777777" w:rsidR="002C2FBE" w:rsidRDefault="0063233A">
      <w:r>
        <w:t>One potential problem of using trust as a proxy for cohesion—other than the variation introduced by asking about attitudes—is that often survey questions inquire about trust of specific g</w:t>
      </w:r>
      <w:r>
        <w:t>roups of people, which can be misleading.  The Social Capital Community Benchmark Survey, for example, contains separate questions about trust in: fellow churchgoers, people at school, store and shop workers, local news media, police, white people, African</w:t>
      </w:r>
      <w:r>
        <w:t xml:space="preserve"> Americans, Asians, Hispanics or Latinos, national government, and local government.  Pew and Gallup’s survey models ask questions along the following lines: “Do you want your child to marry </w:t>
      </w:r>
      <w:r>
        <w:rPr>
          <w:rFonts w:ascii="Times" w:eastAsia="Times" w:hAnsi="Times" w:cs="Times"/>
          <w:i/>
        </w:rPr>
        <w:t>x</w:t>
      </w:r>
      <w:r>
        <w:t xml:space="preserve">, live next door to </w:t>
      </w:r>
      <w:r>
        <w:rPr>
          <w:rFonts w:ascii="Times" w:eastAsia="Times" w:hAnsi="Times" w:cs="Times"/>
          <w:i/>
        </w:rPr>
        <w:t>x</w:t>
      </w:r>
      <w:r>
        <w:t xml:space="preserve">, be friends with </w:t>
      </w:r>
      <w:r>
        <w:rPr>
          <w:rFonts w:ascii="Times" w:eastAsia="Times" w:hAnsi="Times" w:cs="Times"/>
          <w:i/>
        </w:rPr>
        <w:t>x</w:t>
      </w:r>
      <w:r>
        <w:t xml:space="preserve">?” where </w:t>
      </w:r>
      <w:r>
        <w:rPr>
          <w:rFonts w:ascii="Times" w:eastAsia="Times" w:hAnsi="Times" w:cs="Times"/>
          <w:i/>
        </w:rPr>
        <w:t xml:space="preserve">x </w:t>
      </w:r>
      <w:r>
        <w:t>is a person of a different race, political view, religion, etc.  Regarding such questions, it is not entirely obvious that high levels of trust of specific groups ought to signal high cohesion in all circumstances.  In measuring tolerance, diversity, and t</w:t>
      </w:r>
      <w:r>
        <w:t>rust of specific groups, these questions operate under the assumption that socially cohesive communities should exhibit those qualities towards all. But this assumption ignores the nature of social cohesion; indeed, trusting insiders much more than outside</w:t>
      </w:r>
      <w:r>
        <w:t xml:space="preserve">rs is nearly the very definition of a cohesive group.  To paraphrase </w:t>
      </w:r>
      <w:proofErr w:type="spellStart"/>
      <w:r>
        <w:t>Portes</w:t>
      </w:r>
      <w:proofErr w:type="spellEnd"/>
      <w:r>
        <w:t>, in order to effectively study social cohesion, one cannot assume that desirable social outcomes are indicative of cohesion, because doing so strips the term of any meaning other t</w:t>
      </w:r>
      <w:r>
        <w:t>han as a synonym for positive social outcomes &lt;&lt;</w:t>
      </w:r>
      <w:proofErr w:type="spellStart"/>
      <w:r>
        <w:t>Portes</w:t>
      </w:r>
      <w:proofErr w:type="spellEnd"/>
      <w:r>
        <w:t xml:space="preserve">&gt;&gt;.  </w:t>
      </w:r>
    </w:p>
    <w:p w14:paraId="43B0F3B6" w14:textId="77777777" w:rsidR="002C2FBE" w:rsidRDefault="002C2FBE"/>
    <w:p w14:paraId="7682726B" w14:textId="77777777" w:rsidR="002C2FBE" w:rsidRDefault="0063233A">
      <w:r>
        <w:t xml:space="preserve">Therefore, while trust of people of different races, religions, political views, </w:t>
      </w:r>
      <w:proofErr w:type="spellStart"/>
      <w:r>
        <w:t>etc</w:t>
      </w:r>
      <w:proofErr w:type="spellEnd"/>
      <w:r>
        <w:t xml:space="preserve">, is certainly a virtue and a sign of a healthy society, it can only serve as a proxy for community cohesion </w:t>
      </w:r>
      <w:r>
        <w:lastRenderedPageBreak/>
        <w:t>in</w:t>
      </w:r>
      <w:r>
        <w:t>asmuch as the trust is still directed towards members of the community in question.  If representatives of a group are not members of the community, then social cohesion may actually be unassociated (or even negatively associated) with trust of that group.</w:t>
      </w:r>
      <w:r>
        <w:t xml:space="preserve">  This makes such questions highly sensitive to specific details of community composition, which subsequently makes it difficult to compare the results across different communities. On a whole, then, questions regarding trust within the overall community i</w:t>
      </w:r>
      <w:r>
        <w:t>n question are probably preferable to questions about specific groups of people.</w:t>
      </w:r>
    </w:p>
    <w:p w14:paraId="056C62E5" w14:textId="77777777" w:rsidR="002C2FBE" w:rsidRDefault="002C2FBE"/>
    <w:p w14:paraId="2A1A8D96" w14:textId="77777777" w:rsidR="002C2FBE" w:rsidRDefault="0063233A">
      <w:pPr>
        <w:pStyle w:val="Heading2"/>
      </w:pPr>
      <w:bookmarkStart w:id="26" w:name="_35nkun2" w:colFirst="0" w:colLast="0"/>
      <w:bookmarkEnd w:id="26"/>
      <w:r>
        <w:t>III. Civic engagement:</w:t>
      </w:r>
    </w:p>
    <w:p w14:paraId="57B67547" w14:textId="77777777" w:rsidR="002C2FBE" w:rsidRDefault="002C2FBE"/>
    <w:p w14:paraId="0DBE1111" w14:textId="77777777" w:rsidR="002C2FBE" w:rsidRDefault="0063233A">
      <w:r>
        <w:t xml:space="preserve">Civic engagement is one of the primary pillars of social capital theory, though </w:t>
      </w:r>
      <w:proofErr w:type="spellStart"/>
      <w:r>
        <w:t>it’s</w:t>
      </w:r>
      <w:proofErr w:type="spellEnd"/>
      <w:r>
        <w:t xml:space="preserve"> relationship to social cohesion in particular is somewhat unclear</w:t>
      </w:r>
      <w:r>
        <w:t xml:space="preserve">.  Sometimes it is thought to be an aspect of cohesion, and other times as a separate dimension of social capital.  Indeed, it may well be that highly cohesive and resilient immigrant communities, such as that found in Village </w:t>
      </w:r>
      <w:proofErr w:type="spellStart"/>
      <w:r>
        <w:t>L’Est</w:t>
      </w:r>
      <w:proofErr w:type="spellEnd"/>
      <w:r>
        <w:t>, would score very low o</w:t>
      </w:r>
      <w:r>
        <w:t xml:space="preserve">n a typical assessment of civic engagement.  However, civic engagement deals primarily with group activity at a neighborhood level, and civic engagement questions make up the bulk of surveys about social capital, so we will consider it here. </w:t>
      </w:r>
    </w:p>
    <w:p w14:paraId="4FA17EB5" w14:textId="77777777" w:rsidR="002C2FBE" w:rsidRDefault="002C2FBE"/>
    <w:p w14:paraId="0186D52D" w14:textId="77777777" w:rsidR="002C2FBE" w:rsidRDefault="0063233A">
      <w:r>
        <w:t>As a proxy f</w:t>
      </w:r>
      <w:r>
        <w:t xml:space="preserve">or social capital, civic </w:t>
      </w:r>
      <w:r>
        <w:t xml:space="preserve">engagement </w:t>
      </w:r>
      <w:r>
        <w:t xml:space="preserve">owes its popularity in the field primarily to the work of Putnam, who famously correlated higher levels of civic engagement in certain regions of Italy to better functioning democracy and higher economic </w:t>
      </w:r>
      <w:proofErr w:type="spellStart"/>
      <w:r>
        <w:t>well being</w:t>
      </w:r>
      <w:proofErr w:type="spellEnd"/>
      <w:r>
        <w:t xml:space="preserve"> &lt;&lt;</w:t>
      </w:r>
      <w:r>
        <w:t>Putnam 1993&gt;&gt;.  He then documented the decrease in community group engagement in America since 1950, and declared a corresponding loss of social capital and erosion of community &lt;&lt;Putnam 2000&gt;&gt;.  To Putnam, civic engagement leads to the mutual trust that c</w:t>
      </w:r>
      <w:r>
        <w:t>haracterizes social cohesion.  The image of a solitary bowler instead of a traditional bowling team, illustrated his concern</w:t>
      </w:r>
      <w:r>
        <w:t>.</w:t>
      </w:r>
      <w:r>
        <w:t xml:space="preserve"> Following Putnam, then, civic engagement survey questions generally prompt respondents to answer questions regarding the following</w:t>
      </w:r>
      <w:r>
        <w:t>:</w:t>
      </w:r>
    </w:p>
    <w:p w14:paraId="2CACD6A5" w14:textId="77777777" w:rsidR="002C2FBE" w:rsidRDefault="002C2FBE">
      <w:pPr>
        <w:pBdr>
          <w:top w:val="nil"/>
          <w:left w:val="nil"/>
          <w:bottom w:val="nil"/>
          <w:right w:val="nil"/>
          <w:between w:val="nil"/>
        </w:pBdr>
        <w:ind w:left="720" w:hanging="720"/>
        <w:rPr>
          <w:color w:val="000000"/>
        </w:rPr>
      </w:pPr>
    </w:p>
    <w:p w14:paraId="7DB353BA" w14:textId="77777777" w:rsidR="002C2FBE" w:rsidRDefault="0063233A">
      <w:pPr>
        <w:numPr>
          <w:ilvl w:val="0"/>
          <w:numId w:val="1"/>
        </w:numPr>
        <w:pBdr>
          <w:top w:val="nil"/>
          <w:left w:val="nil"/>
          <w:bottom w:val="nil"/>
          <w:right w:val="nil"/>
          <w:between w:val="nil"/>
        </w:pBdr>
      </w:pPr>
      <w:r>
        <w:rPr>
          <w:color w:val="000000"/>
        </w:rPr>
        <w:t xml:space="preserve">Membership in civic organizations, such as PTA, boy scouts, American Legion, or soccer club </w:t>
      </w:r>
    </w:p>
    <w:p w14:paraId="639FFF77" w14:textId="77777777" w:rsidR="002C2FBE" w:rsidRDefault="0063233A">
      <w:pPr>
        <w:numPr>
          <w:ilvl w:val="0"/>
          <w:numId w:val="1"/>
        </w:numPr>
        <w:pBdr>
          <w:top w:val="nil"/>
          <w:left w:val="nil"/>
          <w:bottom w:val="nil"/>
          <w:right w:val="nil"/>
          <w:between w:val="nil"/>
        </w:pBdr>
      </w:pPr>
      <w:r>
        <w:rPr>
          <w:color w:val="000000"/>
        </w:rPr>
        <w:t>Political activity such as voting, being interested in politics, signing petitions,  or attending a rally</w:t>
      </w:r>
    </w:p>
    <w:p w14:paraId="0C186840" w14:textId="77777777" w:rsidR="002C2FBE" w:rsidRDefault="0063233A">
      <w:pPr>
        <w:numPr>
          <w:ilvl w:val="0"/>
          <w:numId w:val="1"/>
        </w:numPr>
        <w:pBdr>
          <w:top w:val="nil"/>
          <w:left w:val="nil"/>
          <w:bottom w:val="nil"/>
          <w:right w:val="nil"/>
          <w:between w:val="nil"/>
        </w:pBdr>
      </w:pPr>
      <w:r>
        <w:rPr>
          <w:color w:val="000000"/>
        </w:rPr>
        <w:t>Group religious activities, such as regular religious services, Knights of Columbus, or Bible study groups</w:t>
      </w:r>
    </w:p>
    <w:p w14:paraId="1F6427EF" w14:textId="77777777" w:rsidR="002C2FBE" w:rsidRDefault="0063233A">
      <w:pPr>
        <w:numPr>
          <w:ilvl w:val="0"/>
          <w:numId w:val="1"/>
        </w:numPr>
        <w:pBdr>
          <w:top w:val="nil"/>
          <w:left w:val="nil"/>
          <w:bottom w:val="nil"/>
          <w:right w:val="nil"/>
          <w:between w:val="nil"/>
        </w:pBdr>
      </w:pPr>
      <w:r>
        <w:rPr>
          <w:color w:val="000000"/>
        </w:rPr>
        <w:t>Voluntary community service, such as giving blood or working on community projects.</w:t>
      </w:r>
    </w:p>
    <w:p w14:paraId="605CB6A4" w14:textId="77777777" w:rsidR="002C2FBE" w:rsidRDefault="002C2FBE"/>
    <w:p w14:paraId="5FD7A1F8" w14:textId="77777777" w:rsidR="002C2FBE" w:rsidRDefault="0063233A">
      <w:r>
        <w:t>One advantage to questions about civic engagement is that they o</w:t>
      </w:r>
      <w:r>
        <w:t>ften ask for quantitative reports of behaviors (</w:t>
      </w:r>
      <w:r>
        <w:t>i.e.,</w:t>
      </w:r>
      <w:r>
        <w:t xml:space="preserve"> how many times in the last month did you….), which makes them less subject to response bias than do questions about cognitive attitudes towards neighbors. Furthermore, as Prewitt and colleagues observe,</w:t>
      </w:r>
      <w:r>
        <w:t xml:space="preserve">  “Volunteering is a particularly important form of engagement because, unlike “memberships,” it requires a time commitment. Working for a campaign, for example, is a stronger indication of civic engagement than simply belonging to a political party or eve</w:t>
      </w:r>
      <w:r>
        <w:t xml:space="preserve">n voting.” &lt;&lt;Prewitt&gt;&gt;  </w:t>
      </w:r>
    </w:p>
    <w:p w14:paraId="6E6D929D" w14:textId="77777777" w:rsidR="002C2FBE" w:rsidRDefault="002C2FBE"/>
    <w:p w14:paraId="7C9E83F9" w14:textId="77777777" w:rsidR="002C2FBE" w:rsidRDefault="0063233A">
      <w:r>
        <w:t xml:space="preserve">On the other hand, it is not as clear whether the types of civic engagement asked about in such surveys actually track the social capital they are intended to proxy.  Temkin and </w:t>
      </w:r>
      <w:proofErr w:type="spellStart"/>
      <w:r>
        <w:t>Rohe</w:t>
      </w:r>
      <w:proofErr w:type="spellEnd"/>
      <w:r>
        <w:t>, for instance, find that while some institution</w:t>
      </w:r>
      <w:r>
        <w:t>al infrastructure increases neighborhood stability, “the extent to which neighborhood residents volunteer in neighborhood organizations or other groups did not have a significant effect.”&lt;&lt;Temkin&gt;&gt;  Paxton and colleagues question the use of voting as a pro</w:t>
      </w:r>
      <w:r>
        <w:t>xy for social capital, arguing that it “should be considered an outcome of social capital rather than a part of social capital itself.” &lt;&lt;Paxton&gt;&gt;</w:t>
      </w:r>
    </w:p>
    <w:p w14:paraId="6839D9DF" w14:textId="77777777" w:rsidR="002C2FBE" w:rsidRDefault="002C2FBE"/>
    <w:p w14:paraId="0E6827F1" w14:textId="77777777" w:rsidR="002C2FBE" w:rsidRDefault="0063233A">
      <w:r>
        <w:t>The issue is further complicated in that any attempt to measure civic engagement via surveys will identify s</w:t>
      </w:r>
      <w:r>
        <w:t>ome specific set of activities or memberships that constitute “engagement,” and that set will likely bias the survey towards certain cultures or demographics.  For example, membership in service organizations such as the Rotary club, which are specifically</w:t>
      </w:r>
      <w:r>
        <w:t xml:space="preserve"> asked about in the Current Population Survey, are less commonplace than they were in the past, and so may be biased toward older demographics independently of social capital.  Likewise, membership in PTA or housing associations may be merely reflective of</w:t>
      </w:r>
      <w:r>
        <w:t xml:space="preserve"> culture or socioeconomic variables rather than of social cohesion.  In such surveys, a predominantly white retirement community will look much different from a community of mostly young Latino families, even if the two are equally cohesive. </w:t>
      </w:r>
    </w:p>
    <w:p w14:paraId="4CD0F98E" w14:textId="77777777" w:rsidR="002C2FBE" w:rsidRDefault="002C2FBE"/>
    <w:p w14:paraId="08028E7C" w14:textId="77777777" w:rsidR="002C2FBE" w:rsidRDefault="0063233A">
      <w:pPr>
        <w:pStyle w:val="Heading1"/>
      </w:pPr>
      <w:bookmarkStart w:id="27" w:name="_1ksv4uv" w:colFirst="0" w:colLast="0"/>
      <w:bookmarkEnd w:id="27"/>
      <w:r>
        <w:t xml:space="preserve">Alternative </w:t>
      </w:r>
      <w:r>
        <w:t>data sources for measuring social cohesion</w:t>
      </w:r>
    </w:p>
    <w:p w14:paraId="6520F2FA" w14:textId="77777777" w:rsidR="002C2FBE" w:rsidRDefault="002C2FBE"/>
    <w:p w14:paraId="3C16490C" w14:textId="77777777" w:rsidR="002C2FBE" w:rsidRDefault="0063233A">
      <w:r>
        <w:t>Household surveys have historically been the primary method for gathering information on social capital and social cohesion.  They have the advantage of being relatively straightforward (what simpler way to measu</w:t>
      </w:r>
      <w:r>
        <w:t>re the attitudes of people than to ask them?), they can collect individualized information on many dimensions at once, and there is already a wealth of techniques to address the problems of representativeness and accuracy</w:t>
      </w:r>
      <w:r>
        <w:t xml:space="preserve"> &lt;&lt;Prewitt&gt;&gt;</w:t>
      </w:r>
      <w:r>
        <w:t>.  However, with the re</w:t>
      </w:r>
      <w:r>
        <w:t>cent rise of the internet, digital communication, and the proliferation of sensors, alternative data sources will be increasingly available to researchers.  Potential data sources include: administrative data, internet usage, online surveys, network commun</w:t>
      </w:r>
      <w:r>
        <w:t>ication, and sensor data. Such data may allow social cohesion researchers in the future to gather information about a wide range of behaviors at a much larger scale for a fraction of the cost. It will be increasingly important, therefore, to develop the me</w:t>
      </w:r>
      <w:r>
        <w:t>thodology needed to ensure that standards of statistical quality and privacy are met with these novel data sources.</w:t>
      </w:r>
    </w:p>
    <w:p w14:paraId="3DFD1E3C" w14:textId="77777777" w:rsidR="002C2FBE" w:rsidRDefault="002C2FBE"/>
    <w:p w14:paraId="327DCB93" w14:textId="77777777" w:rsidR="002C2FBE" w:rsidRDefault="0063233A">
      <w:pPr>
        <w:pStyle w:val="Heading2"/>
      </w:pPr>
      <w:bookmarkStart w:id="28" w:name="_44sinio" w:colFirst="0" w:colLast="0"/>
      <w:bookmarkEnd w:id="28"/>
      <w:r>
        <w:t>How alternative data can help</w:t>
      </w:r>
    </w:p>
    <w:p w14:paraId="1EF78FD6" w14:textId="77777777" w:rsidR="002C2FBE" w:rsidRDefault="002C2FBE"/>
    <w:p w14:paraId="1A55B885" w14:textId="77777777" w:rsidR="002C2FBE" w:rsidRDefault="0063233A">
      <w:r>
        <w:t>The most promising alternative data sources are those repositories of information that already exist and will continue to grow, such as civic administrative data, embedded sensors, and online digital communication activity.  Other sources include experimen</w:t>
      </w:r>
      <w:r>
        <w:t xml:space="preserve">tal behavioral data collected passively through sensors and cellular phones.  Such data has </w:t>
      </w:r>
      <w:r>
        <w:lastRenderedPageBreak/>
        <w:t>several advantages that can complement or replace surveys, including a more objective behavioral measurement, a wider scope and a lower cost.</w:t>
      </w:r>
    </w:p>
    <w:p w14:paraId="65948D7F" w14:textId="77777777" w:rsidR="002C2FBE" w:rsidRDefault="0063233A">
      <w:pPr>
        <w:pStyle w:val="Heading3"/>
      </w:pPr>
      <w:bookmarkStart w:id="29" w:name="_2jxsxqh" w:colFirst="0" w:colLast="0"/>
      <w:bookmarkEnd w:id="29"/>
      <w:r>
        <w:t>More reliable behavior</w:t>
      </w:r>
      <w:r>
        <w:t>al information</w:t>
      </w:r>
    </w:p>
    <w:p w14:paraId="0F053069" w14:textId="77777777" w:rsidR="002C2FBE" w:rsidRDefault="0063233A">
      <w:r>
        <w:t xml:space="preserve">Although survey methodology is well studied and continues to improve, surveys continue to be prone to several kinds of bias where reported behavior and attitudes do not accurately track actual behavior and attitudes.  One of those is social </w:t>
      </w:r>
      <w:r>
        <w:t xml:space="preserve">desirability bias, in which socially acceptable behaviors are over-reported and socially undesirable behavior is under-reported.  Often the presence of an “external observer, typically the researcher, may heighten people’s </w:t>
      </w:r>
      <w:proofErr w:type="spellStart"/>
      <w:r>
        <w:t>self consciousness</w:t>
      </w:r>
      <w:proofErr w:type="spellEnd"/>
      <w:r>
        <w:t xml:space="preserve"> and concerns w</w:t>
      </w:r>
      <w:r>
        <w:t>ith appearing in socially desirable ways” &lt;&lt;</w:t>
      </w:r>
      <w:proofErr w:type="spellStart"/>
      <w:r>
        <w:t>Onnela</w:t>
      </w:r>
      <w:proofErr w:type="spellEnd"/>
      <w:r>
        <w:t>&gt;&gt;.  Social capital and social cohesion surveys often ask fairly loaded social questions such as “how often have you helped your neighbors in the last month?” or even “how much do you trust African American</w:t>
      </w:r>
      <w:r>
        <w:t xml:space="preserve">s?” &lt;&lt;SCCB&gt;&gt;.   It would be difficult to imagine that such questions would elicit accurate responses, even if there were no interviewer present.  </w:t>
      </w:r>
    </w:p>
    <w:p w14:paraId="551ED581" w14:textId="77777777" w:rsidR="002C2FBE" w:rsidRDefault="002C2FBE"/>
    <w:p w14:paraId="1AF199E5" w14:textId="77777777" w:rsidR="002C2FBE" w:rsidRDefault="0063233A">
      <w:r>
        <w:t xml:space="preserve">Furthermore, some have argued that when it comes to reporting behaviors, even truthful responses to surveys </w:t>
      </w:r>
      <w:r>
        <w:t>can be surprisingly unreliable indicators of actual behaviors.  In an experiment using special cell phone software to track actual interactions, Eagle and colleagues, for example, found that people’s memory of the people with whom they interacted started d</w:t>
      </w:r>
      <w:r>
        <w:t xml:space="preserve">egrading after a handful of days &lt;&lt;Eagle et al.&gt;&gt;. More strikingly, Bernard and </w:t>
      </w:r>
      <w:proofErr w:type="spellStart"/>
      <w:r>
        <w:t>Killworth</w:t>
      </w:r>
      <w:proofErr w:type="spellEnd"/>
      <w:r>
        <w:t xml:space="preserve"> find that people’s “recall of past communication is not significantly more accurate than prediction of future communication,” and conclude that “people do not know, w</w:t>
      </w:r>
      <w:r>
        <w:t>ith any accuracy, those with whom they communicate”&lt;&lt;Bernard (both)&gt;&gt;.</w:t>
      </w:r>
    </w:p>
    <w:p w14:paraId="41A9AC79" w14:textId="77777777" w:rsidR="002C2FBE" w:rsidRDefault="002C2FBE"/>
    <w:p w14:paraId="254A8656" w14:textId="77777777" w:rsidR="002C2FBE" w:rsidRDefault="0063233A">
      <w:r>
        <w:t>In contrast, alternative sources of data such as those provided by cell phones and online activity collect observations of behavior passively and in real time, and are thus immune to b</w:t>
      </w:r>
      <w:r>
        <w:t>oth intentional misreporting and lapses in human memory.  They are not, of course, immune to bias altogether, and likely introduce whole new problems with accuracy and sampling, but they could well be used to verify and complement current survey methods.</w:t>
      </w:r>
    </w:p>
    <w:p w14:paraId="371045B1" w14:textId="77777777" w:rsidR="002C2FBE" w:rsidRDefault="002C2FBE"/>
    <w:p w14:paraId="064E76D7" w14:textId="77777777" w:rsidR="002C2FBE" w:rsidRDefault="0063233A">
      <w:pPr>
        <w:pStyle w:val="Heading3"/>
      </w:pPr>
      <w:bookmarkStart w:id="30" w:name="_z337ya" w:colFirst="0" w:colLast="0"/>
      <w:bookmarkEnd w:id="30"/>
      <w:r>
        <w:t>Wider scope and lower cost</w:t>
      </w:r>
    </w:p>
    <w:p w14:paraId="0B31B9ED" w14:textId="77777777" w:rsidR="002C2FBE" w:rsidRDefault="0063233A">
      <w:r>
        <w:t xml:space="preserve">Perhaps the most promising aspect of new data sources is the extent of the data they collect.  </w:t>
      </w:r>
      <w:r>
        <w:t>Novel sources of data, also referred to as big data or digital data, are more timely, granular, relatively inexpensive to collect, and</w:t>
      </w:r>
      <w:r>
        <w:t xml:space="preserve"> have the possibility for using powerful software tools to present analytically and visually.  However, the data are generally low quality, not always representative of the population, and algorithms used to pull the data are often not replicable. </w:t>
      </w:r>
    </w:p>
    <w:p w14:paraId="0DB665D5" w14:textId="77777777" w:rsidR="002C2FBE" w:rsidRDefault="002C2FBE"/>
    <w:p w14:paraId="296D60B7" w14:textId="77777777" w:rsidR="002C2FBE" w:rsidRDefault="0063233A">
      <w:r>
        <w:t xml:space="preserve">In contrast, traditional </w:t>
      </w:r>
      <w:r>
        <w:t>survey methods are limited in scope, time consuming, and expensive.  For instance, while some of the largest social capital surveys conducted to date involve data from people numbering in the thousands or even tens of thousands (se</w:t>
      </w:r>
      <w:r>
        <w:t>e Table 2), the time invested can be enormous (typical surveys last 10- 30 minutes each) and costs are relatively high.  Most national surveys (Neighborhood capital module of AHS, for example), do not have a high enough sample size capture neighborhood-lev</w:t>
      </w:r>
      <w:r>
        <w:t xml:space="preserve">el metrics, and </w:t>
      </w:r>
      <w:r>
        <w:lastRenderedPageBreak/>
        <w:t xml:space="preserve">those that focus on neighborhoods (like the SCCBS), do not have enough neighborhoods to give national trends.  The U.S. Census, which gathers population-wide data, is only updated every decade, and in 2010 cost $42 per U.S. citizen.  </w:t>
      </w:r>
    </w:p>
    <w:p w14:paraId="64241921" w14:textId="77777777" w:rsidR="002C2FBE" w:rsidRDefault="002C2FBE"/>
    <w:p w14:paraId="57E50039" w14:textId="77777777" w:rsidR="002C2FBE" w:rsidRDefault="0063233A">
      <w:r>
        <w:t>In c</w:t>
      </w:r>
      <w:r>
        <w:t xml:space="preserve">ontrast, Eagle’s 2010 study involved data on the phone communication (both cell and landline) patterns of 65 million people in the U.K. and required no additional collection beyond the data already recorded by telecommunications companies. &lt;&lt;Eagle&gt;&gt; While </w:t>
      </w:r>
      <w:r>
        <w:t>an extreme example, it is illustrative of the sheer size of data regarding human interaction that is continuously being collected, stored, and potentially used.</w:t>
      </w:r>
    </w:p>
    <w:p w14:paraId="07466081" w14:textId="77777777" w:rsidR="002C2FBE" w:rsidRDefault="002C2FBE"/>
    <w:p w14:paraId="31F0E784" w14:textId="77777777" w:rsidR="002C2FBE" w:rsidRDefault="0063233A">
      <w:pPr>
        <w:pStyle w:val="Heading2"/>
      </w:pPr>
      <w:bookmarkStart w:id="31" w:name="_3j2qqm3" w:colFirst="0" w:colLast="0"/>
      <w:bookmarkEnd w:id="31"/>
      <w:r>
        <w:t>Potential sources of data</w:t>
      </w:r>
    </w:p>
    <w:p w14:paraId="01EE84B4" w14:textId="77777777" w:rsidR="002C2FBE" w:rsidRDefault="002C2FBE"/>
    <w:p w14:paraId="3665A763" w14:textId="77777777" w:rsidR="002C2FBE" w:rsidRDefault="0063233A">
      <w:pPr>
        <w:rPr>
          <w:b/>
        </w:rPr>
      </w:pPr>
      <w:r>
        <w:rPr>
          <w:b/>
        </w:rPr>
        <w:t>Administrative data</w:t>
      </w:r>
    </w:p>
    <w:p w14:paraId="74D34B12" w14:textId="77777777" w:rsidR="002C2FBE" w:rsidRDefault="002C2FBE"/>
    <w:p w14:paraId="68F3D4AB" w14:textId="77777777" w:rsidR="002C2FBE" w:rsidRDefault="0063233A">
      <w:r>
        <w:t>Many of the questions on social cohesion surve</w:t>
      </w:r>
      <w:r>
        <w:t xml:space="preserve">ys—particularly in the “civic engagement” category—might quite easily be supplemented with existing municipal, state, or federal administrative data.  Survey questions </w:t>
      </w:r>
      <w:proofErr w:type="spellStart"/>
      <w:r>
        <w:t>bout</w:t>
      </w:r>
      <w:proofErr w:type="spellEnd"/>
      <w:r>
        <w:t xml:space="preserve"> participation in parades, neighborhood meetings, or community projects, for example</w:t>
      </w:r>
      <w:r>
        <w:t xml:space="preserve">, a city’s municipal calendar or records of city permits might be text-mined for similar information.  Numbers of public spaces, such as theaters, churches, parks, farmer’s markets, YMCAs, </w:t>
      </w:r>
      <w:proofErr w:type="spellStart"/>
      <w:r>
        <w:t>etc</w:t>
      </w:r>
      <w:proofErr w:type="spellEnd"/>
      <w:r>
        <w:t>, are readily available in municipal records (or even with onlin</w:t>
      </w:r>
      <w:r>
        <w:t>e map services) and may be predictive of participation in corresponding civic activities.  Some ingenious studies have already taken advantage of administrative data.  For example, Hersch (2013) used voting registration data combined with digital obituarie</w:t>
      </w:r>
      <w:r>
        <w:t>s to conclude that victims of 9/11 attacks had since become more politically active and more conservative.   Chetty and colleagues (2013) incorporated IRS administrative tax data in their study of intergenerational economic mobility.  Aldrich &lt;&lt;2012&gt;&gt; used</w:t>
      </w:r>
      <w:r>
        <w:t xml:space="preserve"> administrative records dealing with nonprofit aid organizations as a proxy for neighborhood-level social capital after the 1995 Kobe earthquake.  In all these cases, administrative data was a powerful supplement to traditional measurements.</w:t>
      </w:r>
    </w:p>
    <w:p w14:paraId="6D3289F2" w14:textId="77777777" w:rsidR="002C2FBE" w:rsidRDefault="002C2FBE"/>
    <w:p w14:paraId="46E30359" w14:textId="77777777" w:rsidR="002C2FBE" w:rsidRDefault="002C2FBE">
      <w:pPr>
        <w:rPr>
          <w:b/>
        </w:rPr>
      </w:pPr>
    </w:p>
    <w:p w14:paraId="0E043FAE" w14:textId="77777777" w:rsidR="002C2FBE" w:rsidRDefault="0063233A">
      <w:pPr>
        <w:rPr>
          <w:b/>
        </w:rPr>
      </w:pPr>
      <w:r>
        <w:rPr>
          <w:b/>
        </w:rPr>
        <w:t xml:space="preserve">Cell phones </w:t>
      </w:r>
      <w:r>
        <w:rPr>
          <w:b/>
        </w:rPr>
        <w:t xml:space="preserve">and internet </w:t>
      </w:r>
    </w:p>
    <w:p w14:paraId="540BC197" w14:textId="77777777" w:rsidR="002C2FBE" w:rsidRDefault="002C2FBE"/>
    <w:p w14:paraId="620E8D5A" w14:textId="77777777" w:rsidR="002C2FBE" w:rsidRDefault="0063233A">
      <w:r>
        <w:t xml:space="preserve">Perhaps the most powerful alternative data research so far has come from mining the massive public and commercial data that is automatically generated from internet and phone usage.  Several large-scale academic studies have used commercial </w:t>
      </w:r>
      <w:r>
        <w:t xml:space="preserve">cell-phone metadata to reconstruct anonymized social networks of millions of people  &lt;&lt;Eagle 2010, </w:t>
      </w:r>
      <w:proofErr w:type="spellStart"/>
      <w:r>
        <w:t>Onnela</w:t>
      </w:r>
      <w:proofErr w:type="spellEnd"/>
      <w:r>
        <w:t xml:space="preserve"> 2007, </w:t>
      </w:r>
      <w:proofErr w:type="spellStart"/>
      <w:r>
        <w:t>Onnela</w:t>
      </w:r>
      <w:proofErr w:type="spellEnd"/>
      <w:r>
        <w:t xml:space="preserve"> 2011, Calabrese 2010, Pan 2013, </w:t>
      </w:r>
      <w:proofErr w:type="spellStart"/>
      <w:r>
        <w:t>Schlapfer</w:t>
      </w:r>
      <w:proofErr w:type="spellEnd"/>
      <w:r>
        <w:t xml:space="preserve"> 2014&gt;&gt;.  These have provided enormous insight into questions of social cohesion, the diversity </w:t>
      </w:r>
      <w:r>
        <w:t xml:space="preserve">of social ties, economic development, the spread of information, migration patterns, and connection density.  Furthermore, cell phone communication patterns have the advantage of being fairly reliable proxies of real-life social connections. &lt;&lt;  </w:t>
      </w:r>
      <w:proofErr w:type="spellStart"/>
      <w:r>
        <w:rPr>
          <w:rFonts w:ascii="Calibri" w:eastAsia="Calibri" w:hAnsi="Calibri" w:cs="Calibri"/>
          <w:color w:val="333333"/>
        </w:rPr>
        <w:t>Phithakkit</w:t>
      </w:r>
      <w:r>
        <w:rPr>
          <w:rFonts w:ascii="Calibri" w:eastAsia="Calibri" w:hAnsi="Calibri" w:cs="Calibri"/>
          <w:color w:val="333333"/>
        </w:rPr>
        <w:t>nukoon</w:t>
      </w:r>
      <w:proofErr w:type="spellEnd"/>
      <w:r>
        <w:rPr>
          <w:rFonts w:ascii="Calibri" w:eastAsia="Calibri" w:hAnsi="Calibri" w:cs="Calibri"/>
          <w:color w:val="333333"/>
        </w:rPr>
        <w:t xml:space="preserve"> 2012, </w:t>
      </w:r>
      <w:proofErr w:type="spellStart"/>
      <w:r>
        <w:rPr>
          <w:rFonts w:ascii="Calibri" w:eastAsia="Calibri" w:hAnsi="Calibri" w:cs="Calibri"/>
          <w:color w:val="333333"/>
        </w:rPr>
        <w:t>Saramak</w:t>
      </w:r>
      <w:proofErr w:type="spellEnd"/>
      <w:r>
        <w:rPr>
          <w:rFonts w:ascii="Calibri" w:eastAsia="Calibri" w:hAnsi="Calibri" w:cs="Calibri"/>
          <w:color w:val="333333"/>
        </w:rPr>
        <w:t xml:space="preserve"> 2014</w:t>
      </w:r>
      <w:r>
        <w:t xml:space="preserve">&gt;&gt; Though difficult to obtain and subject to strong privacy concerns, cell phone metadata is an unprecedentedly powerful tool in studying patterns of human connectivity.  </w:t>
      </w:r>
    </w:p>
    <w:p w14:paraId="6351AB2E" w14:textId="77777777" w:rsidR="002C2FBE" w:rsidRDefault="002C2FBE"/>
    <w:p w14:paraId="4F20FCB8" w14:textId="77777777" w:rsidR="002C2FBE" w:rsidRDefault="0063233A">
      <w:r>
        <w:lastRenderedPageBreak/>
        <w:t>Another rich source of information are the publicly-availa</w:t>
      </w:r>
      <w:r>
        <w:t>ble social networks and blogs.  Analyzing public Twitter mentions, retweets, and hashtags, for example, is computationally straightforward and yields a reconstructed social network that can be used to trace the flow of information. Though highly non-repres</w:t>
      </w:r>
      <w:r>
        <w:t>entative of the population as a whole &lt;&lt;</w:t>
      </w:r>
      <w:proofErr w:type="spellStart"/>
      <w:r>
        <w:t>Mislove</w:t>
      </w:r>
      <w:proofErr w:type="spellEnd"/>
      <w:r>
        <w:t xml:space="preserve">&gt;&gt;, text and geographic analysis of Twitter and other public social media can give insights into everything from population well-being &lt;&lt;Ungar 2013 &gt;&gt; to civil unrest&lt;&lt; Ramakrishnan </w:t>
      </w:r>
      <w:proofErr w:type="spellStart"/>
      <w:r>
        <w:t>ArXiv</w:t>
      </w:r>
      <w:proofErr w:type="spellEnd"/>
      <w:r>
        <w:t xml:space="preserve"> &gt;&gt; to unemployment &lt;&lt;</w:t>
      </w:r>
      <w:r>
        <w:t xml:space="preserve"> </w:t>
      </w:r>
      <w:proofErr w:type="spellStart"/>
      <w:r>
        <w:t>Attenucci</w:t>
      </w:r>
      <w:proofErr w:type="spellEnd"/>
      <w:r>
        <w:t xml:space="preserve"> 2014&gt;&gt;.  Pentland and colleagues used an online financial trading/social media platform called </w:t>
      </w:r>
      <w:proofErr w:type="spellStart"/>
      <w:r>
        <w:t>eToro</w:t>
      </w:r>
      <w:proofErr w:type="spellEnd"/>
      <w:r>
        <w:t xml:space="preserve"> to investigate how the structure of social networks facilitates echo chambers and financial bubbles.  Through intervening with the information f</w:t>
      </w:r>
      <w:r>
        <w:t>low, they were able to double average returns on investment.  &lt;&lt;Pentland 2011&gt;&gt;. and links between LiveJournal blogs has provided information about the relationship between geographic distance and friendship. These examples illustrate the power and diversi</w:t>
      </w:r>
      <w:r>
        <w:t>ty of information available online about social networks and well-being.</w:t>
      </w:r>
    </w:p>
    <w:p w14:paraId="3F8C0618" w14:textId="77777777" w:rsidR="002C2FBE" w:rsidRDefault="002C2FBE"/>
    <w:p w14:paraId="79D2AC18" w14:textId="77777777" w:rsidR="002C2FBE" w:rsidRDefault="002C2FBE">
      <w:pPr>
        <w:rPr>
          <w:b/>
        </w:rPr>
      </w:pPr>
    </w:p>
    <w:p w14:paraId="22210BB5" w14:textId="77777777" w:rsidR="002C2FBE" w:rsidRDefault="0063233A">
      <w:pPr>
        <w:rPr>
          <w:b/>
        </w:rPr>
      </w:pPr>
      <w:r>
        <w:rPr>
          <w:b/>
        </w:rPr>
        <w:t>Sensors</w:t>
      </w:r>
    </w:p>
    <w:p w14:paraId="68CAE350" w14:textId="77777777" w:rsidR="002C2FBE" w:rsidRDefault="002C2FBE"/>
    <w:p w14:paraId="4A7F559E" w14:textId="77777777" w:rsidR="002C2FBE" w:rsidRDefault="0063233A">
      <w:r>
        <w:t>Recent advances in sensor technology and wireless communication have enabled an unprecedented number of small, low powered devices to be connected to the internet at all times.  Over 10 billion devices (including computers, tablets, and cell phones) alread</w:t>
      </w:r>
      <w:r>
        <w:t xml:space="preserve">y make up the internet, but growth going forward will see cheap sensors added to many products to monitor all aspects of human life.  Called the “Internet of Things” or the “Internet of Everything,” by 2020, the number of devices connected to the internet </w:t>
      </w:r>
      <w:r>
        <w:t xml:space="preserve">is expected to triple to about 30 billion.  &lt;&lt;ABI press release&gt;&gt; With 30 billion devices, the potential for gathering information on human behavior via these devices will be enormous.  </w:t>
      </w:r>
    </w:p>
    <w:p w14:paraId="12047B46" w14:textId="77777777" w:rsidR="002C2FBE" w:rsidRDefault="002C2FBE"/>
    <w:p w14:paraId="50F9DCFC" w14:textId="77777777" w:rsidR="002C2FBE" w:rsidRDefault="0063233A">
      <w:r>
        <w:t>Already, many sensor-based experiments have provided insight into so</w:t>
      </w:r>
      <w:r>
        <w:t>cial cohesion.  Sandy Pentland’s group at MIT’s Media Lab, for example, has installed specialized software in cell phones and distributed them to small communities to study social interactions.  Through tracking location, physical activity, and proximity t</w:t>
      </w:r>
      <w:r>
        <w:t>o other devices, they have gained insights into the structures of human friendships, the strength of ties, and the flow of information between friends, and even predicted onset and spread of influenza. &lt;&lt;Pentland Book&gt;&gt;.  Decades before the advent of the I</w:t>
      </w:r>
      <w:r>
        <w:t xml:space="preserve">nternet of Things, MIT’s </w:t>
      </w:r>
      <w:proofErr w:type="spellStart"/>
      <w:r>
        <w:t>PlaceLab</w:t>
      </w:r>
      <w:proofErr w:type="spellEnd"/>
      <w:r>
        <w:t xml:space="preserve"> and other such projects embedded hundreds of sensors within experimental living environments, or “living labs,” wherein multiple dimensions of activity could be measured continuously while participants lived their normal l</w:t>
      </w:r>
      <w:r>
        <w:t>ives &lt;&lt; Logan 2007&gt;&gt;.  Cities like Chicago, Boston, New York, San Francisco and Arlington, VA have all begun efforts to better utilize sensors in city operations. Sampson’s work on social cohesion and collective efficacy in Chicago neighborhoods supplement</w:t>
      </w:r>
      <w:r>
        <w:t>ed social experiments and surveys with video footage of “thousands of city streets” &lt;&lt;Sampson 2013&gt;&gt;. Smart phones have been ubiquitous for years already, but the rising popularity of smart watches, smart glasses, and smart wristbands will make individual-</w:t>
      </w:r>
      <w:r>
        <w:t xml:space="preserve">level sensor data increasingly available for analysis.  </w:t>
      </w:r>
    </w:p>
    <w:p w14:paraId="1C9F7E00" w14:textId="77777777" w:rsidR="002C2FBE" w:rsidRDefault="002C2FBE"/>
    <w:p w14:paraId="2DB1804C" w14:textId="77777777" w:rsidR="002C2FBE" w:rsidRDefault="002C2FBE"/>
    <w:p w14:paraId="0D93A33A" w14:textId="77777777" w:rsidR="002C2FBE" w:rsidRDefault="0063233A">
      <w:pPr>
        <w:pStyle w:val="Heading2"/>
      </w:pPr>
      <w:bookmarkStart w:id="32" w:name="_1y810tw" w:colFirst="0" w:colLast="0"/>
      <w:bookmarkEnd w:id="32"/>
      <w:r>
        <w:lastRenderedPageBreak/>
        <w:t>Shortcomings of alternative data</w:t>
      </w:r>
    </w:p>
    <w:p w14:paraId="73E9A3B6" w14:textId="77777777" w:rsidR="002C2FBE" w:rsidRDefault="002C2FBE"/>
    <w:p w14:paraId="653A6D6F" w14:textId="77777777" w:rsidR="002C2FBE" w:rsidRDefault="0063233A">
      <w:r>
        <w:t xml:space="preserve">Alternative data sources like the ones we’ve described </w:t>
      </w:r>
      <w:proofErr w:type="spellStart"/>
      <w:r>
        <w:t>here</w:t>
      </w:r>
      <w:proofErr w:type="spellEnd"/>
      <w:r>
        <w:t xml:space="preserve"> promise to revolutionize the study of real-world social networks and neighborhood level social cohesion</w:t>
      </w:r>
      <w:r>
        <w:t>.  However, there are still major technical and legal obstacles facing the use of these alternative data sources at any widespread level.  These obstacles include record linkage problems and privacy concerns.</w:t>
      </w:r>
    </w:p>
    <w:p w14:paraId="0D851FF5" w14:textId="77777777" w:rsidR="002C2FBE" w:rsidRDefault="002C2FBE"/>
    <w:p w14:paraId="4727AB4E" w14:textId="77777777" w:rsidR="002C2FBE" w:rsidRDefault="0063233A">
      <w:pPr>
        <w:pStyle w:val="Heading3"/>
      </w:pPr>
      <w:bookmarkStart w:id="33" w:name="_4i7ojhp" w:colFirst="0" w:colLast="0"/>
      <w:bookmarkEnd w:id="33"/>
      <w:r>
        <w:t>The problem of record linkage</w:t>
      </w:r>
    </w:p>
    <w:p w14:paraId="57E3BD1B" w14:textId="77777777" w:rsidR="002C2FBE" w:rsidRDefault="0063233A">
      <w:r>
        <w:t xml:space="preserve">Record linkage, </w:t>
      </w:r>
      <w:r>
        <w:t xml:space="preserve">often referred to as “data matching,” refers to the problem of linking data about a single entity from multiple sources.  As alternative and unstructured data sources are folded in with each other and with traditional survey data, linking will become more </w:t>
      </w:r>
      <w:r>
        <w:t>of a problem. For example: do people who trust their neighbors have better or worse health outcomes?  While both pieces of information may be available, linking survey data on trust with electronic health records may be nontrivial, especially if one of the</w:t>
      </w:r>
      <w:r>
        <w:t xml:space="preserve"> sources (like health records) is anonymized to protect privacy.   In many cases the answer is to aggregate data at the level of neighborhood, census tract, or city, but information gets lost in aggregation, and even aggregated data can be difficult to lin</w:t>
      </w:r>
      <w:r>
        <w:t xml:space="preserve">k if the aggregation levels are not exactly the same. </w:t>
      </w:r>
    </w:p>
    <w:p w14:paraId="56DA929E" w14:textId="77777777" w:rsidR="002C2FBE" w:rsidRDefault="002C2FBE"/>
    <w:p w14:paraId="1A37A120" w14:textId="77777777" w:rsidR="002C2FBE" w:rsidRDefault="0063233A">
      <w:r>
        <w:t>With regard to data linking, traditional survey methods have a distinct advantage over alternative data.  Within a survey, the relevant data is already linked to the individual or household who comple</w:t>
      </w:r>
      <w:r>
        <w:t xml:space="preserve">ted the survey; between surveys, distinct household or individual identifiers like social security numbers, addresses, and dates of birth can be used as keys to help link records about the same person from multiple sources.  Common aggregation levels also </w:t>
      </w:r>
      <w:r>
        <w:t xml:space="preserve">exist: census tracts, zip codes, and municipal boundaries. </w:t>
      </w:r>
    </w:p>
    <w:p w14:paraId="632D076A" w14:textId="77777777" w:rsidR="002C2FBE" w:rsidRDefault="002C2FBE"/>
    <w:p w14:paraId="51824F97" w14:textId="77777777" w:rsidR="002C2FBE" w:rsidRDefault="0063233A">
      <w:r>
        <w:t xml:space="preserve">Though there has been significant work done to make best-guess “fuzzy” matching algorithms, better data standards and algorithms are needed before </w:t>
      </w:r>
      <w:proofErr w:type="spellStart"/>
      <w:r>
        <w:t>multisourced</w:t>
      </w:r>
      <w:proofErr w:type="spellEnd"/>
      <w:r>
        <w:t xml:space="preserve"> data can be used to its full potent</w:t>
      </w:r>
      <w:r>
        <w:t>ial. &lt;&lt;IEEE article&gt;&gt;</w:t>
      </w:r>
    </w:p>
    <w:p w14:paraId="0F3424C8" w14:textId="77777777" w:rsidR="002C2FBE" w:rsidRDefault="002C2FBE"/>
    <w:p w14:paraId="5E73C6B9" w14:textId="77777777" w:rsidR="002C2FBE" w:rsidRDefault="0063233A">
      <w:pPr>
        <w:pStyle w:val="Heading3"/>
      </w:pPr>
      <w:bookmarkStart w:id="34" w:name="_2xcytpi" w:colFirst="0" w:colLast="0"/>
      <w:bookmarkEnd w:id="34"/>
      <w:r>
        <w:t>Privacy concerns</w:t>
      </w:r>
    </w:p>
    <w:p w14:paraId="1A9B9EA5" w14:textId="77777777" w:rsidR="002C2FBE" w:rsidRDefault="002C2FBE"/>
    <w:p w14:paraId="5F21E7F2" w14:textId="77777777" w:rsidR="002C2FBE" w:rsidRDefault="0063233A">
      <w:r>
        <w:t>Further complicating the issue is the fact that the majority of unstructured data is generated by commercial entities for mostly internal use.  The data can be difficult to access; and the commercial owners of the d</w:t>
      </w:r>
      <w:r>
        <w:t>ata are not subject to the Confidential Information Protection and Statistical Efficiency Act (CIPSEA) of 2002, and so may not have in place the same privacy safeguards as the statistical agencies administering social cohesion surveys.</w:t>
      </w:r>
    </w:p>
    <w:p w14:paraId="32CC1E1C" w14:textId="77777777" w:rsidR="002C2FBE" w:rsidRDefault="002C2FBE"/>
    <w:p w14:paraId="5BABE0ED" w14:textId="77777777" w:rsidR="002C2FBE" w:rsidRDefault="002C2FBE"/>
    <w:p w14:paraId="6BE0CC3F" w14:textId="77777777" w:rsidR="002C2FBE" w:rsidRPr="00AC11A8" w:rsidRDefault="0063233A">
      <w:pPr>
        <w:pStyle w:val="Heading2"/>
        <w:rPr>
          <w:color w:val="000000"/>
        </w:rPr>
      </w:pPr>
      <w:r w:rsidRPr="00AC11A8">
        <w:rPr>
          <w:color w:val="000000"/>
        </w:rPr>
        <w:t>Analysis and Conc</w:t>
      </w:r>
      <w:r w:rsidRPr="00AC11A8">
        <w:rPr>
          <w:color w:val="000000"/>
        </w:rPr>
        <w:t>lusions</w:t>
      </w:r>
    </w:p>
    <w:p w14:paraId="2A087929" w14:textId="77777777" w:rsidR="002C2FBE" w:rsidRDefault="002C2FBE" w:rsidP="00AC11A8"/>
    <w:p w14:paraId="221CDF81" w14:textId="77777777" w:rsidR="002C2FBE" w:rsidRPr="00AC11A8" w:rsidRDefault="0063233A" w:rsidP="00AC11A8">
      <w:pPr>
        <w:numPr>
          <w:ilvl w:val="0"/>
          <w:numId w:val="2"/>
        </w:numPr>
        <w:rPr>
          <w:color w:val="000000"/>
        </w:rPr>
      </w:pPr>
      <w:r>
        <w:lastRenderedPageBreak/>
        <w:t xml:space="preserve">Point of literature review – How willing are people available to help each other? </w:t>
      </w:r>
    </w:p>
    <w:p w14:paraId="48B727E3" w14:textId="77777777" w:rsidR="002C2FBE" w:rsidRPr="00AC11A8" w:rsidRDefault="0063233A" w:rsidP="00AC11A8">
      <w:pPr>
        <w:numPr>
          <w:ilvl w:val="1"/>
          <w:numId w:val="2"/>
        </w:numPr>
        <w:rPr>
          <w:color w:val="000000"/>
        </w:rPr>
      </w:pPr>
      <w:r>
        <w:t xml:space="preserve">Info currently collected through surveys. </w:t>
      </w:r>
    </w:p>
    <w:p w14:paraId="35820901" w14:textId="77777777" w:rsidR="002C2FBE" w:rsidRPr="00AC11A8" w:rsidRDefault="0063233A" w:rsidP="00AC11A8">
      <w:pPr>
        <w:numPr>
          <w:ilvl w:val="1"/>
          <w:numId w:val="2"/>
        </w:numPr>
        <w:rPr>
          <w:color w:val="000000"/>
        </w:rPr>
      </w:pPr>
      <w:r>
        <w:t>Conjectures that social cohesion could be captured/measured without surveys + but certain measures may still require surv</w:t>
      </w:r>
      <w:r>
        <w:t>eys, e.g. trust.</w:t>
      </w:r>
    </w:p>
    <w:p w14:paraId="58A04786" w14:textId="77777777" w:rsidR="002C2FBE" w:rsidRPr="00AC11A8" w:rsidRDefault="0063233A" w:rsidP="00AC11A8">
      <w:pPr>
        <w:numPr>
          <w:ilvl w:val="1"/>
          <w:numId w:val="2"/>
        </w:numPr>
        <w:rPr>
          <w:color w:val="000000"/>
        </w:rPr>
      </w:pPr>
      <w:r>
        <w:t>Cite Prewitt’s ideas toward end of NAS report where he provides examples of digital data</w:t>
      </w:r>
    </w:p>
    <w:p w14:paraId="17E4C98E" w14:textId="77777777" w:rsidR="002C2FBE" w:rsidRPr="00AC11A8" w:rsidRDefault="0063233A" w:rsidP="00AC11A8">
      <w:pPr>
        <w:numPr>
          <w:ilvl w:val="0"/>
          <w:numId w:val="2"/>
        </w:numPr>
        <w:rPr>
          <w:color w:val="000000"/>
        </w:rPr>
      </w:pPr>
      <w:r w:rsidRPr="00AC11A8">
        <w:t>Issues</w:t>
      </w:r>
      <w:r>
        <w:t xml:space="preserve"> with current approaches to measuring social cohesion.</w:t>
      </w:r>
    </w:p>
    <w:p w14:paraId="3F151950" w14:textId="77777777" w:rsidR="002C2FBE" w:rsidRPr="00AC11A8" w:rsidRDefault="0063233A" w:rsidP="00AC11A8">
      <w:pPr>
        <w:numPr>
          <w:ilvl w:val="1"/>
          <w:numId w:val="2"/>
        </w:numPr>
        <w:rPr>
          <w:color w:val="000000"/>
        </w:rPr>
      </w:pPr>
      <w:r>
        <w:t>S</w:t>
      </w:r>
      <w:r w:rsidRPr="00AC11A8">
        <w:t>urveys – costly and not easy to replicable and update.</w:t>
      </w:r>
    </w:p>
    <w:p w14:paraId="2778EBE7" w14:textId="77777777" w:rsidR="002C2FBE" w:rsidRPr="00AC11A8" w:rsidRDefault="0063233A" w:rsidP="00AC11A8">
      <w:pPr>
        <w:numPr>
          <w:ilvl w:val="1"/>
          <w:numId w:val="2"/>
        </w:numPr>
        <w:rPr>
          <w:color w:val="000000"/>
        </w:rPr>
      </w:pPr>
      <w:r>
        <w:t xml:space="preserve">Administrative data, such as member of a church, participation in parades or protests, or voting  are often used proxies for social cohesion but it is not clear that these are good proxies. </w:t>
      </w:r>
    </w:p>
    <w:p w14:paraId="64FECE96" w14:textId="77777777" w:rsidR="002C2FBE" w:rsidRPr="00AC11A8" w:rsidRDefault="0063233A" w:rsidP="00AC11A8">
      <w:pPr>
        <w:numPr>
          <w:ilvl w:val="1"/>
          <w:numId w:val="2"/>
        </w:numPr>
        <w:rPr>
          <w:color w:val="000000"/>
        </w:rPr>
      </w:pPr>
      <w:r>
        <w:t>Not clear that the survey and administrative measures are good pr</w:t>
      </w:r>
      <w:r>
        <w:t>oxies for social cohesion. They are biased toward certain demographics; e.g. not every neighborhood has a Rotary Club or everyone goes to church.</w:t>
      </w:r>
    </w:p>
    <w:p w14:paraId="1E48503F" w14:textId="77777777" w:rsidR="002C2FBE" w:rsidRPr="00AC11A8" w:rsidRDefault="0063233A" w:rsidP="00AC11A8">
      <w:pPr>
        <w:numPr>
          <w:ilvl w:val="0"/>
          <w:numId w:val="2"/>
        </w:numPr>
        <w:rPr>
          <w:color w:val="000000"/>
        </w:rPr>
      </w:pPr>
      <w:r>
        <w:t xml:space="preserve">Propose focusing on measuring connectivity and trust through social media to answer the following Qs? </w:t>
      </w:r>
    </w:p>
    <w:p w14:paraId="573B4F1C" w14:textId="77777777" w:rsidR="002C2FBE" w:rsidRPr="00AC11A8" w:rsidRDefault="0063233A" w:rsidP="00AC11A8">
      <w:pPr>
        <w:numPr>
          <w:ilvl w:val="1"/>
          <w:numId w:val="2"/>
        </w:numPr>
        <w:rPr>
          <w:color w:val="000000"/>
        </w:rPr>
      </w:pPr>
      <w:r>
        <w:t>What is</w:t>
      </w:r>
      <w:r>
        <w:t xml:space="preserve"> the geography of friendships as represented by blogs, twitters, other social media? Piece data together at the neighborhood level. </w:t>
      </w:r>
    </w:p>
    <w:p w14:paraId="1956D74A" w14:textId="77777777" w:rsidR="002C2FBE" w:rsidRPr="00AC11A8" w:rsidRDefault="0063233A" w:rsidP="00AC11A8">
      <w:pPr>
        <w:numPr>
          <w:ilvl w:val="1"/>
          <w:numId w:val="2"/>
        </w:numPr>
        <w:rPr>
          <w:color w:val="000000"/>
        </w:rPr>
      </w:pPr>
      <w:r>
        <w:t>How dense are the networks</w:t>
      </w:r>
    </w:p>
    <w:p w14:paraId="338DFDDC" w14:textId="77777777" w:rsidR="002C2FBE" w:rsidRPr="00AC11A8" w:rsidRDefault="0063233A" w:rsidP="00AC11A8">
      <w:pPr>
        <w:numPr>
          <w:ilvl w:val="1"/>
          <w:numId w:val="2"/>
        </w:numPr>
        <w:rPr>
          <w:color w:val="000000"/>
        </w:rPr>
      </w:pPr>
      <w:r>
        <w:t>How trusting are the networks?</w:t>
      </w:r>
    </w:p>
    <w:p w14:paraId="6950C1CD" w14:textId="77777777" w:rsidR="002C2FBE" w:rsidRPr="00AC11A8" w:rsidRDefault="0063233A" w:rsidP="00AC11A8">
      <w:pPr>
        <w:numPr>
          <w:ilvl w:val="0"/>
          <w:numId w:val="2"/>
        </w:numPr>
        <w:rPr>
          <w:color w:val="000000"/>
        </w:rPr>
      </w:pPr>
      <w:r>
        <w:t>Trust is difficult to measure. May have to use a survey: Do you t</w:t>
      </w:r>
      <w:r>
        <w:t>rust each other?</w:t>
      </w:r>
    </w:p>
    <w:p w14:paraId="5A27D05B" w14:textId="77777777" w:rsidR="002C2FBE" w:rsidRPr="00AC11A8" w:rsidRDefault="0063233A" w:rsidP="00AC11A8">
      <w:pPr>
        <w:numPr>
          <w:ilvl w:val="1"/>
          <w:numId w:val="2"/>
        </w:numPr>
        <w:rPr>
          <w:color w:val="000000"/>
        </w:rPr>
      </w:pPr>
      <w:r>
        <w:t xml:space="preserve">If had to pick one survey questions, it would be “If disaster happened today, how many people would you feel comfortable asking for help, e.g. asking to borrow money, watch your children etc. </w:t>
      </w:r>
    </w:p>
    <w:p w14:paraId="447108B4" w14:textId="77777777" w:rsidR="002C2FBE" w:rsidRDefault="002C2FBE"/>
    <w:p w14:paraId="3F67AC78" w14:textId="77777777" w:rsidR="002C2FBE" w:rsidRDefault="002C2FBE"/>
    <w:p w14:paraId="07505196" w14:textId="77777777" w:rsidR="002C2FBE" w:rsidRDefault="0063233A">
      <w:r>
        <w:t>References</w:t>
      </w:r>
    </w:p>
    <w:p w14:paraId="2F56A0BD" w14:textId="77777777" w:rsidR="002C2FBE" w:rsidRDefault="002C2FBE"/>
    <w:p w14:paraId="296143CF" w14:textId="77777777" w:rsidR="002C2FBE" w:rsidRDefault="0063233A">
      <w:bookmarkStart w:id="35" w:name="_1ci93xb" w:colFirst="0" w:colLast="0"/>
      <w:bookmarkEnd w:id="35"/>
      <w:r>
        <w:t>Aldrich, D.P. (2010). Fixing Rec</w:t>
      </w:r>
      <w:r>
        <w:t>overy: Social Capital in Post-Crisis Resilience. Department of Political Science Faculty Publications.</w:t>
      </w:r>
    </w:p>
    <w:p w14:paraId="13732B2D" w14:textId="77777777" w:rsidR="002C2FBE" w:rsidRDefault="0063233A">
      <w:bookmarkStart w:id="36" w:name="_3whwml4" w:colFirst="0" w:colLast="0"/>
      <w:bookmarkEnd w:id="36"/>
      <w:r>
        <w:t>Aldrich, D.P. (2012). Building resilience : social capital in post-disaster recovery.</w:t>
      </w:r>
    </w:p>
    <w:p w14:paraId="444C220F" w14:textId="77777777" w:rsidR="002C2FBE" w:rsidRDefault="0063233A">
      <w:bookmarkStart w:id="37" w:name="_2bn6wsx" w:colFirst="0" w:colLast="0"/>
      <w:bookmarkEnd w:id="37"/>
      <w:proofErr w:type="spellStart"/>
      <w:r>
        <w:t>Chamlee</w:t>
      </w:r>
      <w:proofErr w:type="spellEnd"/>
      <w:r>
        <w:t>-Wright, E. (2010). The Cultural and Political Economy of Re</w:t>
      </w:r>
      <w:r>
        <w:t>covery: Social Learning in a post-disaster environment (Routledge).</w:t>
      </w:r>
    </w:p>
    <w:p w14:paraId="37C36294" w14:textId="77777777" w:rsidR="002C2FBE" w:rsidRDefault="0063233A">
      <w:bookmarkStart w:id="38" w:name="_qsh70q" w:colFirst="0" w:colLast="0"/>
      <w:bookmarkEnd w:id="38"/>
      <w:proofErr w:type="spellStart"/>
      <w:r>
        <w:t>Knabb</w:t>
      </w:r>
      <w:proofErr w:type="spellEnd"/>
      <w:r>
        <w:t>, R., Rhome, J., and Brown, D. (2005). Tropical Cyclone Report: Hurricane Katrina (National Hurricane Center).</w:t>
      </w:r>
    </w:p>
    <w:p w14:paraId="5DA9AC65" w14:textId="77777777" w:rsidR="002C2FBE" w:rsidRDefault="0063233A">
      <w:bookmarkStart w:id="39" w:name="_3as4poj" w:colFirst="0" w:colLast="0"/>
      <w:bookmarkEnd w:id="39"/>
      <w:r>
        <w:t xml:space="preserve">Leong, K.J., </w:t>
      </w:r>
      <w:proofErr w:type="spellStart"/>
      <w:r>
        <w:t>Airriess</w:t>
      </w:r>
      <w:proofErr w:type="spellEnd"/>
      <w:r>
        <w:t>, C.A., Li, W., Chen, A.C.C., and Keith, V.M. (2007</w:t>
      </w:r>
      <w:r>
        <w:t xml:space="preserve">). Resilient history and the rebuilding of a community: The Vietnamese American community in New Orleans east. J Am </w:t>
      </w:r>
      <w:proofErr w:type="spellStart"/>
      <w:r>
        <w:t>Hist</w:t>
      </w:r>
      <w:proofErr w:type="spellEnd"/>
      <w:r>
        <w:rPr>
          <w:i/>
        </w:rPr>
        <w:t xml:space="preserve"> 94</w:t>
      </w:r>
      <w:r>
        <w:t>, 770-779.</w:t>
      </w:r>
    </w:p>
    <w:p w14:paraId="5147765B" w14:textId="77777777" w:rsidR="002C2FBE" w:rsidRDefault="002C2FBE"/>
    <w:p w14:paraId="3D946ED4" w14:textId="77777777" w:rsidR="002C2FBE" w:rsidRDefault="0063233A">
      <w:proofErr w:type="spellStart"/>
      <w:r>
        <w:rPr>
          <w:rFonts w:ascii="Times New Roman" w:eastAsia="Times New Roman" w:hAnsi="Times New Roman" w:cs="Times New Roman"/>
        </w:rPr>
        <w:t>Tompson</w:t>
      </w:r>
      <w:proofErr w:type="spellEnd"/>
      <w:r>
        <w:rPr>
          <w:rFonts w:ascii="Times New Roman" w:eastAsia="Times New Roman" w:hAnsi="Times New Roman" w:cs="Times New Roman"/>
        </w:rPr>
        <w:t xml:space="preserve">, T., J. Benz, J. </w:t>
      </w:r>
      <w:proofErr w:type="spellStart"/>
      <w:r>
        <w:rPr>
          <w:rFonts w:ascii="Times New Roman" w:eastAsia="Times New Roman" w:hAnsi="Times New Roman" w:cs="Times New Roman"/>
        </w:rPr>
        <w:t>Agiesta</w:t>
      </w:r>
      <w:proofErr w:type="spellEnd"/>
      <w:r>
        <w:rPr>
          <w:rFonts w:ascii="Times New Roman" w:eastAsia="Times New Roman" w:hAnsi="Times New Roman" w:cs="Times New Roman"/>
        </w:rPr>
        <w:t xml:space="preserve">, K. Cagney, and M. </w:t>
      </w:r>
      <w:proofErr w:type="spellStart"/>
      <w:r>
        <w:rPr>
          <w:rFonts w:ascii="Times New Roman" w:eastAsia="Times New Roman" w:hAnsi="Times New Roman" w:cs="Times New Roman"/>
        </w:rPr>
        <w:t>Meit</w:t>
      </w:r>
      <w:proofErr w:type="spellEnd"/>
      <w:r>
        <w:rPr>
          <w:rFonts w:ascii="Times New Roman" w:eastAsia="Times New Roman" w:hAnsi="Times New Roman" w:cs="Times New Roman"/>
        </w:rPr>
        <w:t>. 2013. Resilience in the Wake of Superstorm Sandy.  The Associat</w:t>
      </w:r>
      <w:r>
        <w:rPr>
          <w:rFonts w:ascii="Times New Roman" w:eastAsia="Times New Roman" w:hAnsi="Times New Roman" w:cs="Times New Roman"/>
        </w:rPr>
        <w:t>ed Press and NORC.</w:t>
      </w:r>
    </w:p>
    <w:sectPr w:rsidR="002C2FBE">
      <w:footerReference w:type="even" r:id="rId10"/>
      <w:foot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David Healey" w:date="2014-12-21T15:25:00Z" w:initials="">
    <w:p w14:paraId="680F59D1"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Check: is this how Aldrich leads in his book?  If so, I might want to consider a different lead in.</w:t>
      </w:r>
    </w:p>
    <w:p w14:paraId="2FF5857D"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790EC8B9"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SSS – I think the story is compelling as long as you introduce the article with your thoughts.</w:t>
      </w:r>
    </w:p>
  </w:comment>
  <w:comment w:id="5" w:author="Stephanie Shipp" w:date="2014-12-21T13:32:00Z" w:initials="">
    <w:p w14:paraId="473769E0"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Katrina is the costliest storm to date, but since Sandy  was after that , I would add a later reference to the one you have. </w:t>
      </w:r>
    </w:p>
    <w:p w14:paraId="33E59C34"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0AA64AF7"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See “Sandy versus Katrina, and Irene: Monster Hurricanes by the Numbers, Which storm has the highest wind speed, largest area, most snowfall?”</w:t>
      </w:r>
    </w:p>
    <w:p w14:paraId="28969191"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October 29, 2012 |By Mark </w:t>
      </w:r>
      <w:proofErr w:type="spellStart"/>
      <w:r>
        <w:rPr>
          <w:rFonts w:ascii="Arial" w:eastAsia="Arial" w:hAnsi="Arial" w:cs="Arial"/>
          <w:color w:val="000000"/>
          <w:sz w:val="22"/>
          <w:szCs w:val="22"/>
        </w:rPr>
        <w:t>Fischetti</w:t>
      </w:r>
      <w:proofErr w:type="spellEnd"/>
      <w:r>
        <w:rPr>
          <w:rFonts w:ascii="Arial" w:eastAsia="Arial" w:hAnsi="Arial" w:cs="Arial"/>
          <w:color w:val="000000"/>
          <w:sz w:val="22"/>
          <w:szCs w:val="22"/>
        </w:rPr>
        <w:t xml:space="preserve"> in Scientific American</w:t>
      </w:r>
    </w:p>
    <w:p w14:paraId="335B251E"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4AABC7A4"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http://www.scientificamerican.com/article/sandy-vs-ka</w:t>
      </w:r>
      <w:r>
        <w:rPr>
          <w:rFonts w:ascii="Arial" w:eastAsia="Arial" w:hAnsi="Arial" w:cs="Arial"/>
          <w:color w:val="000000"/>
          <w:sz w:val="22"/>
          <w:szCs w:val="22"/>
        </w:rPr>
        <w:t>trina-and-irene/</w:t>
      </w:r>
    </w:p>
  </w:comment>
  <w:comment w:id="7" w:author="Stephanie Shipp" w:date="2014-12-21T15:23:00Z" w:initials="">
    <w:p w14:paraId="3B16ACF4"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Add in NORC survey here or somewhere in paper.  This is the survey they did after Hurricane Sandy to measure  how much people rely on people </w:t>
      </w:r>
      <w:proofErr w:type="spellStart"/>
      <w:r>
        <w:rPr>
          <w:rFonts w:ascii="Arial" w:eastAsia="Arial" w:hAnsi="Arial" w:cs="Arial"/>
          <w:color w:val="000000"/>
          <w:sz w:val="22"/>
          <w:szCs w:val="22"/>
        </w:rPr>
        <w:t>closeby</w:t>
      </w:r>
      <w:proofErr w:type="spellEnd"/>
      <w:r>
        <w:rPr>
          <w:rFonts w:ascii="Arial" w:eastAsia="Arial" w:hAnsi="Arial" w:cs="Arial"/>
          <w:color w:val="000000"/>
          <w:sz w:val="22"/>
          <w:szCs w:val="22"/>
        </w:rPr>
        <w:t>.</w:t>
      </w:r>
    </w:p>
    <w:p w14:paraId="6FF5E654"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47920E9D"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Tompson</w:t>
      </w:r>
      <w:proofErr w:type="spellEnd"/>
      <w:r>
        <w:rPr>
          <w:rFonts w:ascii="Arial" w:eastAsia="Arial" w:hAnsi="Arial" w:cs="Arial"/>
          <w:color w:val="000000"/>
          <w:sz w:val="22"/>
          <w:szCs w:val="22"/>
        </w:rPr>
        <w:t xml:space="preserve">, T., J. Benz, J. </w:t>
      </w:r>
      <w:proofErr w:type="spellStart"/>
      <w:r>
        <w:rPr>
          <w:rFonts w:ascii="Arial" w:eastAsia="Arial" w:hAnsi="Arial" w:cs="Arial"/>
          <w:color w:val="000000"/>
          <w:sz w:val="22"/>
          <w:szCs w:val="22"/>
        </w:rPr>
        <w:t>Agiesta</w:t>
      </w:r>
      <w:proofErr w:type="spellEnd"/>
      <w:r>
        <w:rPr>
          <w:rFonts w:ascii="Arial" w:eastAsia="Arial" w:hAnsi="Arial" w:cs="Arial"/>
          <w:color w:val="000000"/>
          <w:sz w:val="22"/>
          <w:szCs w:val="22"/>
        </w:rPr>
        <w:t xml:space="preserve">, K. Cagney, and M. </w:t>
      </w:r>
      <w:proofErr w:type="spellStart"/>
      <w:r>
        <w:rPr>
          <w:rFonts w:ascii="Arial" w:eastAsia="Arial" w:hAnsi="Arial" w:cs="Arial"/>
          <w:color w:val="000000"/>
          <w:sz w:val="22"/>
          <w:szCs w:val="22"/>
        </w:rPr>
        <w:t>Meit</w:t>
      </w:r>
      <w:proofErr w:type="spellEnd"/>
      <w:r>
        <w:rPr>
          <w:rFonts w:ascii="Arial" w:eastAsia="Arial" w:hAnsi="Arial" w:cs="Arial"/>
          <w:color w:val="000000"/>
          <w:sz w:val="22"/>
          <w:szCs w:val="22"/>
        </w:rPr>
        <w:t>. 2013. Resilience in the Wake o</w:t>
      </w:r>
      <w:r>
        <w:rPr>
          <w:rFonts w:ascii="Arial" w:eastAsia="Arial" w:hAnsi="Arial" w:cs="Arial"/>
          <w:color w:val="000000"/>
          <w:sz w:val="22"/>
          <w:szCs w:val="22"/>
        </w:rPr>
        <w:t>f Superstorm Sandy.  The Associated Press and NORC</w:t>
      </w:r>
    </w:p>
    <w:p w14:paraId="49477EAB"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56D33399"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see you added it later.</w:t>
      </w:r>
    </w:p>
  </w:comment>
  <w:comment w:id="8" w:author="Stephanie Shipp" w:date="2014-12-21T15:19:00Z" w:initials="">
    <w:p w14:paraId="7F6F4760"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I think you mean </w:t>
      </w:r>
      <w:proofErr w:type="spellStart"/>
      <w:r>
        <w:rPr>
          <w:rFonts w:ascii="Arial" w:eastAsia="Arial" w:hAnsi="Arial" w:cs="Arial"/>
          <w:color w:val="000000"/>
          <w:sz w:val="22"/>
          <w:szCs w:val="22"/>
        </w:rPr>
        <w:t>Acket</w:t>
      </w:r>
      <w:proofErr w:type="spellEnd"/>
      <w:r>
        <w:rPr>
          <w:rFonts w:ascii="Arial" w:eastAsia="Arial" w:hAnsi="Arial" w:cs="Arial"/>
          <w:color w:val="000000"/>
          <w:sz w:val="22"/>
          <w:szCs w:val="22"/>
        </w:rPr>
        <w:t xml:space="preserve"> et al 2011? http://www.oecd.org/dev/pgd/46839973.pdf</w:t>
      </w:r>
    </w:p>
    <w:p w14:paraId="6B12230F"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paper finds trust to be important although their findings that it is correlated with GDP and incom</w:t>
      </w:r>
      <w:r>
        <w:rPr>
          <w:rFonts w:ascii="Arial" w:eastAsia="Arial" w:hAnsi="Arial" w:cs="Arial"/>
          <w:color w:val="000000"/>
          <w:sz w:val="22"/>
          <w:szCs w:val="22"/>
        </w:rPr>
        <w:t xml:space="preserve">e is not surprising.. </w:t>
      </w:r>
    </w:p>
    <w:p w14:paraId="31D7F9F3"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459CB0B9"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t>
      </w:r>
    </w:p>
  </w:comment>
  <w:comment w:id="11" w:author="Stephanie Shipp" w:date="2014-12-21T15:22:00Z" w:initials="">
    <w:p w14:paraId="2734940E"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Cite: </w:t>
      </w:r>
    </w:p>
    <w:p w14:paraId="2720B7AD"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Local Supply Chain Capacity in a Crisis Summit Exercise, January 30 - January 31, 2013, Summit Results Report </w:t>
      </w:r>
    </w:p>
    <w:p w14:paraId="2D33327A"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202448DD"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Or </w:t>
      </w:r>
    </w:p>
    <w:p w14:paraId="2B0C1842"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0A0B6AE1"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Franklin, Charlotte, and Kiersten </w:t>
      </w:r>
      <w:proofErr w:type="spellStart"/>
      <w:r>
        <w:rPr>
          <w:rFonts w:ascii="Arial" w:eastAsia="Arial" w:hAnsi="Arial" w:cs="Arial"/>
          <w:color w:val="000000"/>
          <w:sz w:val="22"/>
          <w:szCs w:val="22"/>
        </w:rPr>
        <w:t>Todt</w:t>
      </w:r>
      <w:proofErr w:type="spellEnd"/>
      <w:r>
        <w:rPr>
          <w:rFonts w:ascii="Arial" w:eastAsia="Arial" w:hAnsi="Arial" w:cs="Arial"/>
          <w:color w:val="000000"/>
          <w:sz w:val="22"/>
          <w:szCs w:val="22"/>
        </w:rPr>
        <w:t>. "Community resiliency through recovery resource supply chain plann</w:t>
      </w:r>
      <w:r>
        <w:rPr>
          <w:rFonts w:ascii="Arial" w:eastAsia="Arial" w:hAnsi="Arial" w:cs="Arial"/>
          <w:color w:val="000000"/>
          <w:sz w:val="22"/>
          <w:szCs w:val="22"/>
        </w:rPr>
        <w:t>ing." Journal of business continuity &amp; emergency planning 7.3 (2014): 193-204.</w:t>
      </w:r>
    </w:p>
  </w:comment>
  <w:comment w:id="13" w:author="Stephanie Shipp" w:date="2014-12-21T15:31:00Z" w:initials="">
    <w:p w14:paraId="730FF77A"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National Research Council. Subjective Well-Being, Measuring Happiness, Suffering, and Other Dimensions of Experience (2013)</w:t>
      </w:r>
      <w:r w:rsidR="00AC11A8">
        <w:rPr>
          <w:rFonts w:ascii="Arial" w:eastAsia="Arial" w:hAnsi="Arial" w:cs="Arial"/>
          <w:color w:val="000000"/>
          <w:sz w:val="22"/>
          <w:szCs w:val="22"/>
        </w:rPr>
        <w:t xml:space="preserve"> </w:t>
      </w:r>
      <w:r>
        <w:rPr>
          <w:rFonts w:ascii="Arial" w:eastAsia="Arial" w:hAnsi="Arial" w:cs="Arial"/>
          <w:color w:val="000000"/>
          <w:sz w:val="22"/>
          <w:szCs w:val="22"/>
        </w:rPr>
        <w:t>Arthur A. Stone and Christopher Mackie, Editors; Panel on Measuring</w:t>
      </w:r>
      <w:r w:rsidR="00AC11A8">
        <w:rPr>
          <w:rFonts w:ascii="Arial" w:eastAsia="Arial" w:hAnsi="Arial" w:cs="Arial"/>
          <w:color w:val="000000"/>
          <w:sz w:val="22"/>
          <w:szCs w:val="22"/>
        </w:rPr>
        <w:t xml:space="preserve"> </w:t>
      </w:r>
      <w:r>
        <w:rPr>
          <w:rFonts w:ascii="Arial" w:eastAsia="Arial" w:hAnsi="Arial" w:cs="Arial"/>
          <w:color w:val="000000"/>
          <w:sz w:val="22"/>
          <w:szCs w:val="22"/>
        </w:rPr>
        <w:t>Subjective Well-Being in a Policy-Relevant Framework; Co</w:t>
      </w:r>
      <w:r>
        <w:rPr>
          <w:rFonts w:ascii="Arial" w:eastAsia="Arial" w:hAnsi="Arial" w:cs="Arial"/>
          <w:color w:val="000000"/>
          <w:sz w:val="22"/>
          <w:szCs w:val="22"/>
        </w:rPr>
        <w:t>mmittee on</w:t>
      </w:r>
      <w:r w:rsidR="00AC11A8">
        <w:rPr>
          <w:rFonts w:ascii="Arial" w:eastAsia="Arial" w:hAnsi="Arial" w:cs="Arial"/>
          <w:color w:val="000000"/>
          <w:sz w:val="22"/>
          <w:szCs w:val="22"/>
        </w:rPr>
        <w:t xml:space="preserve"> </w:t>
      </w:r>
      <w:r>
        <w:rPr>
          <w:rFonts w:ascii="Arial" w:eastAsia="Arial" w:hAnsi="Arial" w:cs="Arial"/>
          <w:color w:val="000000"/>
          <w:sz w:val="22"/>
          <w:szCs w:val="22"/>
        </w:rPr>
        <w:t>National Statistics; Division on Behavioral and Social Sciences and</w:t>
      </w:r>
      <w:r w:rsidR="00AC11A8">
        <w:rPr>
          <w:rFonts w:ascii="Arial" w:eastAsia="Arial" w:hAnsi="Arial" w:cs="Arial"/>
          <w:color w:val="000000"/>
          <w:sz w:val="22"/>
          <w:szCs w:val="22"/>
        </w:rPr>
        <w:t xml:space="preserve"> </w:t>
      </w:r>
      <w:r>
        <w:rPr>
          <w:rFonts w:ascii="Arial" w:eastAsia="Arial" w:hAnsi="Arial" w:cs="Arial"/>
          <w:color w:val="000000"/>
          <w:sz w:val="22"/>
          <w:szCs w:val="22"/>
        </w:rPr>
        <w:t>Education;  National Academy Press, Washington DC</w:t>
      </w:r>
    </w:p>
  </w:comment>
  <w:comment w:id="15" w:author="Stephanie Shipp" w:date="2014-12-15T10:50:00Z" w:initials="">
    <w:p w14:paraId="4695F6EF"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 the authors provide an example to make this concrete?</w:t>
      </w:r>
    </w:p>
  </w:comment>
  <w:comment w:id="19" w:author="Stephanie Shipp" w:date="2014-12-21T15:40:00Z" w:initials="">
    <w:p w14:paraId="022F1328"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Cite sources: from Pew and Gallup:</w:t>
      </w:r>
    </w:p>
    <w:p w14:paraId="62FEA152"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5D7FC50B"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09B72A50"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Part 3: Network Diversity and Community: The Role of the ...</w:t>
      </w:r>
    </w:p>
    <w:p w14:paraId="52DF0771"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http://www.pewinternet.org/2009/11/04/part-3-network-diversity-and-community-the-role-of-the-internet-and-mobile-phones/</w:t>
      </w:r>
    </w:p>
    <w:p w14:paraId="512D65B9"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Previous research has shown that neighborhood cohesion is associated w</w:t>
      </w:r>
      <w:r>
        <w:rPr>
          <w:rFonts w:ascii="Arial" w:eastAsia="Arial" w:hAnsi="Arial" w:cs="Arial"/>
          <w:color w:val="000000"/>
          <w:sz w:val="22"/>
          <w:szCs w:val="22"/>
        </w:rPr>
        <w:t>ith</w:t>
      </w:r>
      <w:r>
        <w:rPr>
          <w:rFonts w:ascii="Arial" w:eastAsia="Arial" w:hAnsi="Arial" w:cs="Arial"/>
          <w:color w:val="000000"/>
          <w:sz w:val="22"/>
          <w:szCs w:val="22"/>
        </w:rPr>
        <w:br/>
        <w:t>a variety of positive outcomes, including lower crime rates, informal ...</w:t>
      </w:r>
    </w:p>
    <w:p w14:paraId="55A444B8"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19ED30DF"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FEB. 3, 2012</w:t>
      </w:r>
    </w:p>
    <w:p w14:paraId="3B788F50"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Part 3: The Structure of Friendship | Pew Research Center's ...</w:t>
      </w:r>
    </w:p>
    <w:p w14:paraId="1B1EC1A9"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http://www.pewinternet.org/2012/02/03/part-3-the-structure-of-friendship/</w:t>
      </w:r>
    </w:p>
    <w:p w14:paraId="05F842D2"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 For example, measures </w:t>
      </w:r>
      <w:r>
        <w:rPr>
          <w:rFonts w:ascii="Arial" w:eastAsia="Arial" w:hAnsi="Arial" w:cs="Arial"/>
          <w:color w:val="000000"/>
          <w:sz w:val="22"/>
          <w:szCs w:val="22"/>
        </w:rPr>
        <w:t>such as social cohesion (density) in people's personal</w:t>
      </w:r>
      <w:r>
        <w:rPr>
          <w:rFonts w:ascii="Arial" w:eastAsia="Arial" w:hAnsi="Arial" w:cs="Arial"/>
          <w:color w:val="000000"/>
          <w:sz w:val="22"/>
          <w:szCs w:val="22"/>
        </w:rPr>
        <w:br/>
        <w:t>network of relations is a strong predictor of things like trust and ...</w:t>
      </w:r>
    </w:p>
    <w:p w14:paraId="20281E46" w14:textId="77777777" w:rsidR="002C2FBE" w:rsidRDefault="002C2FBE">
      <w:pPr>
        <w:widowControl w:val="0"/>
        <w:pBdr>
          <w:top w:val="nil"/>
          <w:left w:val="nil"/>
          <w:bottom w:val="nil"/>
          <w:right w:val="nil"/>
          <w:between w:val="nil"/>
        </w:pBdr>
        <w:rPr>
          <w:rFonts w:ascii="Arial" w:eastAsia="Arial" w:hAnsi="Arial" w:cs="Arial"/>
          <w:color w:val="000000"/>
          <w:sz w:val="22"/>
          <w:szCs w:val="22"/>
        </w:rPr>
      </w:pPr>
    </w:p>
    <w:p w14:paraId="3E1E2ECF"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SEP. 15, 2010</w:t>
      </w:r>
    </w:p>
    <w:p w14:paraId="26F68AB3"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Event Transcript: Muslim Networks and Movements in Western ...</w:t>
      </w:r>
    </w:p>
    <w:p w14:paraId="5B33C426"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http://www.pewforum.org/2010/09/15/muslim-networks-</w:t>
      </w:r>
      <w:r>
        <w:rPr>
          <w:rFonts w:ascii="Arial" w:eastAsia="Arial" w:hAnsi="Arial" w:cs="Arial"/>
          <w:color w:val="000000"/>
          <w:sz w:val="22"/>
          <w:szCs w:val="22"/>
        </w:rPr>
        <w:t>and-movements-in-western-europe-event-transcript/</w:t>
      </w:r>
    </w:p>
    <w:p w14:paraId="6BF8DED0"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In other cases, however, there have been concerns raised about their impact</w:t>
      </w:r>
      <w:r>
        <w:rPr>
          <w:rFonts w:ascii="Arial" w:eastAsia="Arial" w:hAnsi="Arial" w:cs="Arial"/>
          <w:color w:val="000000"/>
          <w:sz w:val="22"/>
          <w:szCs w:val="22"/>
        </w:rPr>
        <w:br/>
        <w:t>on issues such as social cohesion and about continued ties to political ...</w:t>
      </w:r>
    </w:p>
  </w:comment>
  <w:comment w:id="20" w:author="Stephanie Shipp" w:date="2014-12-15T10:51:00Z" w:initials="">
    <w:p w14:paraId="4588B8D0"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Need to complete the table</w:t>
      </w:r>
    </w:p>
  </w:comment>
  <w:comment w:id="21" w:author="Stephanie Shipp" w:date="2014-12-21T15:53:00Z" w:initials="">
    <w:p w14:paraId="2926E918"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You can use the table</w:t>
      </w:r>
      <w:r>
        <w:rPr>
          <w:rFonts w:ascii="Arial" w:eastAsia="Arial" w:hAnsi="Arial" w:cs="Arial"/>
          <w:color w:val="000000"/>
          <w:sz w:val="22"/>
          <w:szCs w:val="22"/>
        </w:rPr>
        <w:t xml:space="preserve"> below.</w:t>
      </w:r>
    </w:p>
  </w:comment>
  <w:comment w:id="24" w:author="Stephanie Shipp" w:date="2014-12-15T10:56:00Z" w:initials="">
    <w:p w14:paraId="54C8F5EA" w14:textId="77777777" w:rsidR="002C2FBE" w:rsidRDefault="0063233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Cite Social Physics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0EC8B9" w15:done="0"/>
  <w15:commentEx w15:paraId="4AABC7A4" w15:done="0"/>
  <w15:commentEx w15:paraId="56D33399" w15:done="0"/>
  <w15:commentEx w15:paraId="459CB0B9" w15:done="0"/>
  <w15:commentEx w15:paraId="0A0B6AE1" w15:done="0"/>
  <w15:commentEx w15:paraId="730FF77A" w15:done="0"/>
  <w15:commentEx w15:paraId="4695F6EF" w15:done="0"/>
  <w15:commentEx w15:paraId="6BF8DED0" w15:done="0"/>
  <w15:commentEx w15:paraId="4588B8D0" w15:done="0"/>
  <w15:commentEx w15:paraId="2926E918" w15:done="0"/>
  <w15:commentEx w15:paraId="54C8F5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0EC8B9" w16cid:durableId="20B82DA9"/>
  <w16cid:commentId w16cid:paraId="4AABC7A4" w16cid:durableId="20B82DAA"/>
  <w16cid:commentId w16cid:paraId="56D33399" w16cid:durableId="20B82DAB"/>
  <w16cid:commentId w16cid:paraId="459CB0B9" w16cid:durableId="20B82DAC"/>
  <w16cid:commentId w16cid:paraId="0A0B6AE1" w16cid:durableId="20B82DAD"/>
  <w16cid:commentId w16cid:paraId="730FF77A" w16cid:durableId="20B82DAE"/>
  <w16cid:commentId w16cid:paraId="4695F6EF" w16cid:durableId="20B82DAF"/>
  <w16cid:commentId w16cid:paraId="6BF8DED0" w16cid:durableId="20B82DB0"/>
  <w16cid:commentId w16cid:paraId="4588B8D0" w16cid:durableId="20B82DB1"/>
  <w16cid:commentId w16cid:paraId="2926E918" w16cid:durableId="20B82DB2"/>
  <w16cid:commentId w16cid:paraId="54C8F5EA" w16cid:durableId="20B82D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FC5D79" w14:textId="77777777" w:rsidR="0063233A" w:rsidRDefault="0063233A">
      <w:r>
        <w:separator/>
      </w:r>
    </w:p>
  </w:endnote>
  <w:endnote w:type="continuationSeparator" w:id="0">
    <w:p w14:paraId="28D6364E" w14:textId="77777777" w:rsidR="0063233A" w:rsidRDefault="00632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01B8C" w14:textId="77777777" w:rsidR="002C2FBE" w:rsidRDefault="002C2FBE">
    <w:pPr>
      <w:pBdr>
        <w:top w:val="nil"/>
        <w:left w:val="nil"/>
        <w:bottom w:val="nil"/>
        <w:right w:val="nil"/>
        <w:between w:val="nil"/>
      </w:pBdr>
      <w:tabs>
        <w:tab w:val="center" w:pos="4320"/>
        <w:tab w:val="right" w:pos="8640"/>
      </w:tabs>
      <w:jc w:val="right"/>
      <w:rPr>
        <w:color w:val="000000"/>
      </w:rPr>
    </w:pPr>
  </w:p>
  <w:p w14:paraId="0CCD88E1" w14:textId="77777777" w:rsidR="002C2FBE" w:rsidRDefault="0063233A">
    <w:pPr>
      <w:pBdr>
        <w:top w:val="nil"/>
        <w:left w:val="nil"/>
        <w:bottom w:val="nil"/>
        <w:right w:val="nil"/>
        <w:between w:val="nil"/>
      </w:pBdr>
      <w:tabs>
        <w:tab w:val="center" w:pos="4320"/>
        <w:tab w:val="right" w:pos="864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3A2690" w14:textId="77777777" w:rsidR="002C2FBE" w:rsidRDefault="0063233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AC11A8">
      <w:rPr>
        <w:color w:val="000000"/>
      </w:rPr>
      <w:fldChar w:fldCharType="separate"/>
    </w:r>
    <w:r w:rsidR="00AC11A8">
      <w:rPr>
        <w:noProof/>
        <w:color w:val="000000"/>
      </w:rPr>
      <w:t>1</w:t>
    </w:r>
    <w:r>
      <w:rPr>
        <w:color w:val="000000"/>
      </w:rPr>
      <w:fldChar w:fldCharType="end"/>
    </w:r>
  </w:p>
  <w:p w14:paraId="71E61D81" w14:textId="77777777" w:rsidR="002C2FBE" w:rsidRDefault="002C2FBE">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8FA550" w14:textId="77777777" w:rsidR="0063233A" w:rsidRDefault="0063233A">
      <w:r>
        <w:separator/>
      </w:r>
    </w:p>
  </w:footnote>
  <w:footnote w:type="continuationSeparator" w:id="0">
    <w:p w14:paraId="3428E1E8" w14:textId="77777777" w:rsidR="0063233A" w:rsidRDefault="00632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0B544B"/>
    <w:multiLevelType w:val="multilevel"/>
    <w:tmpl w:val="33CA3D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0C3CE8"/>
    <w:multiLevelType w:val="multilevel"/>
    <w:tmpl w:val="8D2C433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 w15:restartNumberingAfterBreak="0">
    <w:nsid w:val="3073721D"/>
    <w:multiLevelType w:val="multilevel"/>
    <w:tmpl w:val="00A87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C503683"/>
    <w:multiLevelType w:val="multilevel"/>
    <w:tmpl w:val="03AC51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ED4624"/>
    <w:multiLevelType w:val="multilevel"/>
    <w:tmpl w:val="089EDA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F3877C3"/>
    <w:multiLevelType w:val="multilevel"/>
    <w:tmpl w:val="95CC55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FBE"/>
    <w:rsid w:val="002C2FBE"/>
    <w:rsid w:val="0063233A"/>
    <w:rsid w:val="00AC1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07769"/>
  <w15:docId w15:val="{D061C4CA-B1C3-D945-B08D-F5FA4E82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4F81BD"/>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color w:val="C0504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C11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C11A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3A259A2F-9E06-4584-B633-E1B5D1564B5D}"/>
</file>

<file path=customXml/itemProps2.xml><?xml version="1.0" encoding="utf-8"?>
<ds:datastoreItem xmlns:ds="http://schemas.openxmlformats.org/officeDocument/2006/customXml" ds:itemID="{E31F7BFA-060D-4E3C-BEAF-39E04351F58E}"/>
</file>

<file path=customXml/itemProps3.xml><?xml version="1.0" encoding="utf-8"?>
<ds:datastoreItem xmlns:ds="http://schemas.openxmlformats.org/officeDocument/2006/customXml" ds:itemID="{181883BD-ABAB-4790-8248-648C387FF359}"/>
</file>

<file path=docProps/app.xml><?xml version="1.0" encoding="utf-8"?>
<Properties xmlns="http://schemas.openxmlformats.org/officeDocument/2006/extended-properties" xmlns:vt="http://schemas.openxmlformats.org/officeDocument/2006/docPropsVTypes">
  <Template>Normal.dotm</Template>
  <TotalTime>4</TotalTime>
  <Pages>22</Pages>
  <Words>10054</Words>
  <Characters>57308</Characters>
  <Application>Microsoft Office Word</Application>
  <DocSecurity>0</DocSecurity>
  <Lines>477</Lines>
  <Paragraphs>134</Paragraphs>
  <ScaleCrop>false</ScaleCrop>
  <Company>SDAD, BII, UVA</Company>
  <LinksUpToDate>false</LinksUpToDate>
  <CharactersWithSpaces>67228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Stephanie S. Shipp</cp:lastModifiedBy>
  <cp:revision>2</cp:revision>
  <dcterms:created xsi:type="dcterms:W3CDTF">2019-06-22T08:31:00Z</dcterms:created>
  <dcterms:modified xsi:type="dcterms:W3CDTF">2019-06-22T08:35:00Z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