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9B9BAE" w14:textId="77777777" w:rsidR="00CE715D" w:rsidRPr="00337258" w:rsidRDefault="00337258">
      <w:pPr>
        <w:rPr>
          <w:b/>
        </w:rPr>
      </w:pPr>
      <w:r w:rsidRPr="00337258">
        <w:rPr>
          <w:b/>
        </w:rPr>
        <w:t>Articles about studies:</w:t>
      </w:r>
    </w:p>
    <w:p w14:paraId="12B0511C" w14:textId="77777777" w:rsidR="00337258" w:rsidRPr="00337258" w:rsidRDefault="00337258">
      <w:pPr>
        <w:rPr>
          <w:u w:val="single"/>
        </w:rPr>
      </w:pPr>
      <w:proofErr w:type="spellStart"/>
      <w:r w:rsidRPr="00337258">
        <w:rPr>
          <w:u w:val="single"/>
        </w:rPr>
        <w:t>Aduro</w:t>
      </w:r>
      <w:proofErr w:type="spellEnd"/>
      <w:r w:rsidRPr="00337258">
        <w:rPr>
          <w:u w:val="single"/>
        </w:rPr>
        <w:t xml:space="preserve"> Biotech (ADRO) announces five poster presentations at the Society of Immunotherapy of Cancer Annual Meeting. </w:t>
      </w:r>
    </w:p>
    <w:p w14:paraId="11244C0F" w14:textId="77777777" w:rsidR="00337258" w:rsidRDefault="00337258"/>
    <w:p w14:paraId="3886875C" w14:textId="046ED879" w:rsidR="00337258" w:rsidRDefault="00337258">
      <w:r w:rsidRPr="00337258">
        <w:t xml:space="preserve">The STELLAR (Safety and Therapeutic Efficacy of Live-attenuated Listeria/GVAX with Anti-PD1 Regimen) poster highlighted the randomized, controlled trial that now has an increased enrolment target of 102 adult patients with metastatic pancreatic cancer who have failed one prior chemotherapy regimen for metastatic disease. With the increased enrolment target, </w:t>
      </w:r>
      <w:proofErr w:type="spellStart"/>
      <w:r w:rsidRPr="00337258">
        <w:t>Aduro</w:t>
      </w:r>
      <w:proofErr w:type="spellEnd"/>
      <w:r w:rsidRPr="00337258">
        <w:t xml:space="preserve"> now expects enrolment to be completed in 2H 2016 and continues to expect interim data in 2H 2016. Original Source: BioSpace.com, 2015. From website: </w:t>
      </w:r>
      <w:hyperlink r:id="rId4" w:history="1">
        <w:r w:rsidRPr="00590D02">
          <w:rPr>
            <w:rStyle w:val="Hyperlink"/>
          </w:rPr>
          <w:t>http://www.biospace.com</w:t>
        </w:r>
      </w:hyperlink>
      <w:r w:rsidRPr="00337258">
        <w:t>.</w:t>
      </w:r>
    </w:p>
    <w:p w14:paraId="2B7351A1" w14:textId="020F65C2" w:rsidR="001B1C22" w:rsidRDefault="001B1C22"/>
    <w:tbl>
      <w:tblPr>
        <w:tblW w:w="7878" w:type="dxa"/>
        <w:tblLook w:val="04A0" w:firstRow="1" w:lastRow="0" w:firstColumn="1" w:lastColumn="0" w:noHBand="0" w:noVBand="1"/>
      </w:tblPr>
      <w:tblGrid>
        <w:gridCol w:w="1300"/>
        <w:gridCol w:w="1359"/>
        <w:gridCol w:w="1564"/>
        <w:gridCol w:w="1300"/>
        <w:gridCol w:w="1300"/>
        <w:gridCol w:w="1300"/>
      </w:tblGrid>
      <w:tr w:rsidR="001B1C22" w:rsidRPr="001B1C22" w14:paraId="18591E62" w14:textId="77777777" w:rsidTr="001B1C22">
        <w:trPr>
          <w:trHeight w:val="340"/>
        </w:trPr>
        <w:tc>
          <w:tcPr>
            <w:tcW w:w="1300" w:type="dxa"/>
            <w:tcBorders>
              <w:top w:val="nil"/>
              <w:left w:val="nil"/>
              <w:bottom w:val="nil"/>
              <w:right w:val="nil"/>
            </w:tcBorders>
            <w:shd w:val="clear" w:color="auto" w:fill="auto"/>
            <w:noWrap/>
            <w:vAlign w:val="bottom"/>
            <w:hideMark/>
          </w:tcPr>
          <w:p w14:paraId="6F7B8811" w14:textId="77777777" w:rsidR="001B1C22" w:rsidRPr="001B1C22" w:rsidRDefault="001B1C22" w:rsidP="001B1C22">
            <w:pPr>
              <w:rPr>
                <w:rFonts w:ascii="Calibri" w:hAnsi="Calibri" w:cs="Calibri"/>
                <w:color w:val="000000"/>
              </w:rPr>
            </w:pPr>
            <w:r w:rsidRPr="001B1C22">
              <w:rPr>
                <w:rFonts w:ascii="Calibri" w:hAnsi="Calibri" w:cs="Calibri"/>
                <w:color w:val="000000"/>
              </w:rPr>
              <w:t>Yes</w:t>
            </w:r>
          </w:p>
        </w:tc>
        <w:tc>
          <w:tcPr>
            <w:tcW w:w="1300" w:type="dxa"/>
            <w:tcBorders>
              <w:top w:val="nil"/>
              <w:left w:val="nil"/>
              <w:bottom w:val="nil"/>
              <w:right w:val="nil"/>
            </w:tcBorders>
            <w:shd w:val="clear" w:color="auto" w:fill="auto"/>
            <w:noWrap/>
            <w:vAlign w:val="bottom"/>
            <w:hideMark/>
          </w:tcPr>
          <w:p w14:paraId="711FD774" w14:textId="77777777" w:rsidR="001B1C22" w:rsidRPr="001B1C22" w:rsidRDefault="001B1C22" w:rsidP="001B1C22">
            <w:pPr>
              <w:rPr>
                <w:rFonts w:ascii="Calibri" w:hAnsi="Calibri" w:cs="Calibri"/>
                <w:color w:val="000000"/>
              </w:rPr>
            </w:pPr>
            <w:r w:rsidRPr="001B1C22">
              <w:rPr>
                <w:rFonts w:ascii="Calibri" w:hAnsi="Calibri" w:cs="Calibri"/>
                <w:color w:val="000000"/>
              </w:rPr>
              <w:t>Undergoing clinical trials</w:t>
            </w:r>
          </w:p>
        </w:tc>
        <w:tc>
          <w:tcPr>
            <w:tcW w:w="1378" w:type="dxa"/>
            <w:tcBorders>
              <w:top w:val="nil"/>
              <w:left w:val="nil"/>
              <w:bottom w:val="nil"/>
              <w:right w:val="nil"/>
            </w:tcBorders>
            <w:shd w:val="clear" w:color="auto" w:fill="auto"/>
            <w:noWrap/>
            <w:vAlign w:val="bottom"/>
            <w:hideMark/>
          </w:tcPr>
          <w:p w14:paraId="6D9970E7" w14:textId="77777777" w:rsidR="001B1C22" w:rsidRPr="001B1C22" w:rsidRDefault="001B1C22" w:rsidP="001B1C22">
            <w:pPr>
              <w:rPr>
                <w:rFonts w:ascii="Calibri" w:hAnsi="Calibri" w:cs="Calibri"/>
                <w:color w:val="000000"/>
              </w:rPr>
            </w:pPr>
            <w:r w:rsidRPr="001B1C22">
              <w:rPr>
                <w:rFonts w:ascii="Calibri" w:hAnsi="Calibri" w:cs="Calibri"/>
                <w:color w:val="000000"/>
              </w:rPr>
              <w:t>STELLAR (Safety and Therapeutic Efficacy of Live-attenuated Listeria/GVAX with Anti-PD1 Regimen)</w:t>
            </w:r>
          </w:p>
        </w:tc>
        <w:tc>
          <w:tcPr>
            <w:tcW w:w="1300" w:type="dxa"/>
            <w:tcBorders>
              <w:top w:val="nil"/>
              <w:left w:val="nil"/>
              <w:bottom w:val="nil"/>
              <w:right w:val="nil"/>
            </w:tcBorders>
            <w:shd w:val="clear" w:color="auto" w:fill="auto"/>
            <w:noWrap/>
            <w:vAlign w:val="bottom"/>
            <w:hideMark/>
          </w:tcPr>
          <w:p w14:paraId="328D402F" w14:textId="77777777" w:rsidR="001B1C22" w:rsidRPr="001B1C22" w:rsidRDefault="001B1C22" w:rsidP="001B1C22">
            <w:pPr>
              <w:rPr>
                <w:rFonts w:ascii="Calibri" w:hAnsi="Calibri" w:cs="Calibri"/>
                <w:color w:val="000000"/>
              </w:rPr>
            </w:pPr>
            <w:proofErr w:type="spellStart"/>
            <w:r w:rsidRPr="001B1C22">
              <w:rPr>
                <w:rFonts w:ascii="Calibri" w:hAnsi="Calibri" w:cs="Calibri"/>
                <w:color w:val="000000"/>
              </w:rPr>
              <w:t>Aduro</w:t>
            </w:r>
            <w:proofErr w:type="spellEnd"/>
          </w:p>
        </w:tc>
        <w:tc>
          <w:tcPr>
            <w:tcW w:w="1300" w:type="dxa"/>
            <w:tcBorders>
              <w:top w:val="nil"/>
              <w:left w:val="nil"/>
              <w:bottom w:val="nil"/>
              <w:right w:val="nil"/>
            </w:tcBorders>
            <w:shd w:val="clear" w:color="auto" w:fill="auto"/>
            <w:noWrap/>
            <w:vAlign w:val="bottom"/>
            <w:hideMark/>
          </w:tcPr>
          <w:p w14:paraId="6FE4250F" w14:textId="77777777" w:rsidR="001B1C22" w:rsidRPr="001B1C22" w:rsidRDefault="001B1C22" w:rsidP="001B1C22">
            <w:pPr>
              <w:rPr>
                <w:rFonts w:ascii="Calibri" w:hAnsi="Calibri" w:cs="Calibri"/>
                <w:color w:val="000000"/>
              </w:rPr>
            </w:pPr>
            <w:r w:rsidRPr="001B1C22">
              <w:rPr>
                <w:rFonts w:ascii="Calibri" w:hAnsi="Calibri" w:cs="Calibri"/>
                <w:color w:val="000000"/>
              </w:rPr>
              <w:t>Unsure</w:t>
            </w:r>
          </w:p>
        </w:tc>
        <w:tc>
          <w:tcPr>
            <w:tcW w:w="1300" w:type="dxa"/>
            <w:tcBorders>
              <w:top w:val="nil"/>
              <w:left w:val="nil"/>
              <w:bottom w:val="nil"/>
              <w:right w:val="nil"/>
            </w:tcBorders>
            <w:shd w:val="clear" w:color="auto" w:fill="auto"/>
            <w:noWrap/>
            <w:vAlign w:val="bottom"/>
            <w:hideMark/>
          </w:tcPr>
          <w:p w14:paraId="1E6EB66C" w14:textId="77777777" w:rsidR="001B1C22" w:rsidRPr="001B1C22" w:rsidRDefault="001B1C22" w:rsidP="001B1C22">
            <w:pPr>
              <w:rPr>
                <w:rFonts w:ascii="Calibri" w:hAnsi="Calibri" w:cs="Calibri"/>
                <w:color w:val="000000"/>
              </w:rPr>
            </w:pPr>
            <w:r w:rsidRPr="001B1C22">
              <w:rPr>
                <w:rFonts w:ascii="Calibri" w:hAnsi="Calibri" w:cs="Calibri"/>
                <w:color w:val="000000"/>
              </w:rPr>
              <w:t>Unsure</w:t>
            </w:r>
          </w:p>
        </w:tc>
      </w:tr>
    </w:tbl>
    <w:p w14:paraId="23BF75E8" w14:textId="2DEF6494" w:rsidR="001B1C22" w:rsidRDefault="001B1C22"/>
    <w:p w14:paraId="53F24679" w14:textId="10867F74" w:rsidR="001B1C22" w:rsidRDefault="001B1C22"/>
    <w:p w14:paraId="12D44369" w14:textId="21D0F4B7" w:rsidR="001B1C22" w:rsidRPr="001B1C22" w:rsidRDefault="001B1C22">
      <w:pPr>
        <w:rPr>
          <w:b/>
        </w:rPr>
      </w:pPr>
      <w:r w:rsidRPr="001B1C22">
        <w:rPr>
          <w:b/>
        </w:rPr>
        <w:t>Not sure whether it is new to market</w:t>
      </w:r>
    </w:p>
    <w:p w14:paraId="494B84B7" w14:textId="77777777" w:rsidR="001B1C22" w:rsidRPr="001B1C22" w:rsidRDefault="001B1C22">
      <w:pPr>
        <w:rPr>
          <w:u w:val="single"/>
        </w:rPr>
      </w:pPr>
      <w:proofErr w:type="spellStart"/>
      <w:r w:rsidRPr="001B1C22">
        <w:rPr>
          <w:u w:val="single"/>
        </w:rPr>
        <w:t>Lightlake</w:t>
      </w:r>
      <w:proofErr w:type="spellEnd"/>
      <w:r w:rsidRPr="001B1C22">
        <w:rPr>
          <w:u w:val="single"/>
        </w:rPr>
        <w:t xml:space="preserve"> Therapeutics Inc (LLTP) announces FDA accepts for review Adapt Pharma's NARCAN (naloxone hydrochloride) nasal spray NDA and grants priority review status. </w:t>
      </w:r>
    </w:p>
    <w:p w14:paraId="3E7DCF33" w14:textId="77777777" w:rsidR="001B1C22" w:rsidRDefault="001B1C22"/>
    <w:p w14:paraId="6848CC0C" w14:textId="7B82ABAB" w:rsidR="001B1C22" w:rsidRDefault="001B1C22">
      <w:r w:rsidRPr="001B1C22">
        <w:t>NARCAN nasal spray was developed in collaboration with the National Institute on Drug Abuse (NIDA).</w:t>
      </w:r>
    </w:p>
    <w:p w14:paraId="5F00BEA6" w14:textId="3A9EC623" w:rsidR="001B1C22" w:rsidRDefault="001B1C22"/>
    <w:tbl>
      <w:tblPr>
        <w:tblW w:w="7800" w:type="dxa"/>
        <w:tblLook w:val="04A0" w:firstRow="1" w:lastRow="0" w:firstColumn="1" w:lastColumn="0" w:noHBand="0" w:noVBand="1"/>
      </w:tblPr>
      <w:tblGrid>
        <w:gridCol w:w="1300"/>
        <w:gridCol w:w="1305"/>
        <w:gridCol w:w="1300"/>
        <w:gridCol w:w="1300"/>
        <w:gridCol w:w="1300"/>
        <w:gridCol w:w="1300"/>
      </w:tblGrid>
      <w:tr w:rsidR="001B1C22" w:rsidRPr="001B1C22" w14:paraId="1A328DBF" w14:textId="77777777" w:rsidTr="001B1C22">
        <w:trPr>
          <w:trHeight w:val="320"/>
        </w:trPr>
        <w:tc>
          <w:tcPr>
            <w:tcW w:w="1300" w:type="dxa"/>
            <w:tcBorders>
              <w:top w:val="nil"/>
              <w:left w:val="nil"/>
              <w:bottom w:val="nil"/>
              <w:right w:val="nil"/>
            </w:tcBorders>
            <w:shd w:val="clear" w:color="auto" w:fill="auto"/>
            <w:noWrap/>
            <w:vAlign w:val="bottom"/>
            <w:hideMark/>
          </w:tcPr>
          <w:p w14:paraId="5E92642D" w14:textId="77777777" w:rsidR="001B1C22" w:rsidRPr="001B1C22" w:rsidRDefault="001B1C22" w:rsidP="001B1C22">
            <w:pPr>
              <w:rPr>
                <w:rFonts w:ascii="Calibri" w:hAnsi="Calibri" w:cs="Calibri"/>
                <w:color w:val="000000"/>
              </w:rPr>
            </w:pPr>
            <w:r w:rsidRPr="001B1C22">
              <w:rPr>
                <w:rFonts w:ascii="Calibri" w:hAnsi="Calibri" w:cs="Calibri"/>
                <w:color w:val="000000"/>
              </w:rPr>
              <w:t>Yes</w:t>
            </w:r>
          </w:p>
        </w:tc>
        <w:tc>
          <w:tcPr>
            <w:tcW w:w="1300" w:type="dxa"/>
            <w:tcBorders>
              <w:top w:val="nil"/>
              <w:left w:val="nil"/>
              <w:bottom w:val="nil"/>
              <w:right w:val="nil"/>
            </w:tcBorders>
            <w:shd w:val="clear" w:color="auto" w:fill="auto"/>
            <w:noWrap/>
            <w:vAlign w:val="bottom"/>
            <w:hideMark/>
          </w:tcPr>
          <w:p w14:paraId="311A0CC8" w14:textId="77777777" w:rsidR="001B1C22" w:rsidRPr="001B1C22" w:rsidRDefault="001B1C22" w:rsidP="001B1C22">
            <w:pPr>
              <w:rPr>
                <w:rFonts w:ascii="Calibri" w:hAnsi="Calibri" w:cs="Calibri"/>
                <w:color w:val="000000"/>
              </w:rPr>
            </w:pPr>
            <w:r w:rsidRPr="001B1C22">
              <w:rPr>
                <w:rFonts w:ascii="Calibri" w:hAnsi="Calibri" w:cs="Calibri"/>
                <w:color w:val="000000"/>
              </w:rPr>
              <w:t>FDA application submission and/or FDA testing</w:t>
            </w:r>
          </w:p>
        </w:tc>
        <w:tc>
          <w:tcPr>
            <w:tcW w:w="1300" w:type="dxa"/>
            <w:tcBorders>
              <w:top w:val="nil"/>
              <w:left w:val="nil"/>
              <w:bottom w:val="nil"/>
              <w:right w:val="nil"/>
            </w:tcBorders>
            <w:shd w:val="clear" w:color="auto" w:fill="auto"/>
            <w:noWrap/>
            <w:vAlign w:val="bottom"/>
            <w:hideMark/>
          </w:tcPr>
          <w:p w14:paraId="4F6926DA" w14:textId="77777777" w:rsidR="001B1C22" w:rsidRPr="001B1C22" w:rsidRDefault="001B1C22" w:rsidP="001B1C22">
            <w:pPr>
              <w:rPr>
                <w:rFonts w:ascii="Calibri" w:hAnsi="Calibri" w:cs="Calibri"/>
                <w:color w:val="000000"/>
              </w:rPr>
            </w:pPr>
            <w:r w:rsidRPr="001B1C22">
              <w:rPr>
                <w:rFonts w:ascii="Calibri" w:hAnsi="Calibri" w:cs="Calibri"/>
                <w:color w:val="000000"/>
              </w:rPr>
              <w:t>NARCAN</w:t>
            </w:r>
          </w:p>
        </w:tc>
        <w:tc>
          <w:tcPr>
            <w:tcW w:w="1300" w:type="dxa"/>
            <w:tcBorders>
              <w:top w:val="nil"/>
              <w:left w:val="nil"/>
              <w:bottom w:val="nil"/>
              <w:right w:val="nil"/>
            </w:tcBorders>
            <w:shd w:val="clear" w:color="auto" w:fill="auto"/>
            <w:noWrap/>
            <w:vAlign w:val="bottom"/>
            <w:hideMark/>
          </w:tcPr>
          <w:p w14:paraId="10045D01" w14:textId="77777777" w:rsidR="001B1C22" w:rsidRPr="001B1C22" w:rsidRDefault="001B1C22" w:rsidP="001B1C22">
            <w:pPr>
              <w:rPr>
                <w:rFonts w:ascii="Calibri" w:hAnsi="Calibri" w:cs="Calibri"/>
                <w:color w:val="000000"/>
              </w:rPr>
            </w:pPr>
          </w:p>
        </w:tc>
        <w:tc>
          <w:tcPr>
            <w:tcW w:w="1300" w:type="dxa"/>
            <w:tcBorders>
              <w:top w:val="nil"/>
              <w:left w:val="nil"/>
              <w:bottom w:val="nil"/>
              <w:right w:val="nil"/>
            </w:tcBorders>
            <w:shd w:val="clear" w:color="auto" w:fill="auto"/>
            <w:noWrap/>
            <w:vAlign w:val="bottom"/>
            <w:hideMark/>
          </w:tcPr>
          <w:p w14:paraId="1270A0BE" w14:textId="77777777" w:rsidR="001B1C22" w:rsidRPr="001B1C22" w:rsidRDefault="001B1C22" w:rsidP="001B1C22">
            <w:pPr>
              <w:rPr>
                <w:rFonts w:ascii="Calibri" w:hAnsi="Calibri" w:cs="Calibri"/>
                <w:color w:val="000000"/>
              </w:rPr>
            </w:pPr>
            <w:r w:rsidRPr="001B1C22">
              <w:rPr>
                <w:rFonts w:ascii="Calibri" w:hAnsi="Calibri" w:cs="Calibri"/>
                <w:color w:val="000000"/>
              </w:rPr>
              <w:t>Unsure</w:t>
            </w:r>
          </w:p>
        </w:tc>
        <w:tc>
          <w:tcPr>
            <w:tcW w:w="1300" w:type="dxa"/>
            <w:tcBorders>
              <w:top w:val="nil"/>
              <w:left w:val="nil"/>
              <w:bottom w:val="nil"/>
              <w:right w:val="nil"/>
            </w:tcBorders>
            <w:shd w:val="clear" w:color="auto" w:fill="auto"/>
            <w:noWrap/>
            <w:vAlign w:val="bottom"/>
            <w:hideMark/>
          </w:tcPr>
          <w:p w14:paraId="05D36767" w14:textId="77777777" w:rsidR="001B1C22" w:rsidRPr="001B1C22" w:rsidRDefault="001B1C22" w:rsidP="001B1C22">
            <w:pPr>
              <w:rPr>
                <w:rFonts w:ascii="Calibri" w:hAnsi="Calibri" w:cs="Calibri"/>
                <w:color w:val="000000"/>
              </w:rPr>
            </w:pPr>
            <w:r w:rsidRPr="001B1C22">
              <w:rPr>
                <w:rFonts w:ascii="Calibri" w:hAnsi="Calibri" w:cs="Calibri"/>
                <w:color w:val="000000"/>
              </w:rPr>
              <w:t>Unsure</w:t>
            </w:r>
          </w:p>
        </w:tc>
      </w:tr>
    </w:tbl>
    <w:p w14:paraId="782412C4" w14:textId="77777777" w:rsidR="001B1C22" w:rsidRDefault="001B1C22"/>
    <w:p w14:paraId="1C0398D5" w14:textId="77777777" w:rsidR="00337258" w:rsidRDefault="00337258"/>
    <w:p w14:paraId="489CC809" w14:textId="77777777" w:rsidR="001B1C22" w:rsidRDefault="001B1C22"/>
    <w:p w14:paraId="07867C16" w14:textId="77777777" w:rsidR="001B1C22" w:rsidRDefault="001B1C22"/>
    <w:p w14:paraId="066486D6" w14:textId="77777777" w:rsidR="001B1C22" w:rsidRDefault="001B1C22"/>
    <w:p w14:paraId="582F5D75" w14:textId="77777777" w:rsidR="001B1C22" w:rsidRDefault="001B1C22"/>
    <w:p w14:paraId="1400AD2C" w14:textId="77777777" w:rsidR="001B1C22" w:rsidRDefault="001B1C22"/>
    <w:p w14:paraId="510AF700" w14:textId="2C21492A" w:rsidR="00337258" w:rsidRPr="0014671F" w:rsidRDefault="001B1C22">
      <w:pPr>
        <w:rPr>
          <w:b/>
        </w:rPr>
      </w:pPr>
      <w:r w:rsidRPr="0014671F">
        <w:rPr>
          <w:b/>
        </w:rPr>
        <w:t>Patent</w:t>
      </w:r>
    </w:p>
    <w:p w14:paraId="4960C906" w14:textId="77777777" w:rsidR="001B1C22" w:rsidRDefault="001B1C22">
      <w:proofErr w:type="spellStart"/>
      <w:r w:rsidRPr="001B1C22">
        <w:t>ImmunoGen</w:t>
      </w:r>
      <w:proofErr w:type="spellEnd"/>
      <w:r w:rsidRPr="001B1C22">
        <w:t xml:space="preserve">, Inc. Patent Issued for Methods for the Acylation of </w:t>
      </w:r>
      <w:proofErr w:type="spellStart"/>
      <w:r w:rsidRPr="001B1C22">
        <w:t>Maytansinol</w:t>
      </w:r>
      <w:proofErr w:type="spellEnd"/>
    </w:p>
    <w:p w14:paraId="01AD0578" w14:textId="77777777" w:rsidR="001B1C22" w:rsidRDefault="001B1C22"/>
    <w:p w14:paraId="44CE2103" w14:textId="79002D73" w:rsidR="001B1C22" w:rsidRDefault="001B1C22">
      <w:r w:rsidRPr="001B1C22">
        <w:t>Reporters obtained the following quote from the background information supplied by the inventors: "</w:t>
      </w:r>
      <w:proofErr w:type="spellStart"/>
      <w:r w:rsidRPr="001B1C22">
        <w:t>Maytansinoids</w:t>
      </w:r>
      <w:proofErr w:type="spellEnd"/>
      <w:r w:rsidRPr="001B1C22">
        <w:t xml:space="preserve"> are highly cytotoxic compounds, including </w:t>
      </w:r>
      <w:proofErr w:type="spellStart"/>
      <w:r w:rsidRPr="001B1C22">
        <w:t>maytansinol</w:t>
      </w:r>
      <w:proofErr w:type="spellEnd"/>
      <w:r w:rsidRPr="001B1C22">
        <w:t xml:space="preserve"> and C-3 esters of </w:t>
      </w:r>
      <w:proofErr w:type="spellStart"/>
      <w:r w:rsidRPr="001B1C22">
        <w:t>maytansinol</w:t>
      </w:r>
      <w:proofErr w:type="spellEnd"/>
      <w:r w:rsidRPr="001B1C22">
        <w:t xml:space="preserve"> (U.S. Pat. No. 4,151,042), as shown below:</w:t>
      </w:r>
    </w:p>
    <w:p w14:paraId="16DC8506" w14:textId="49CF5518" w:rsidR="001B1C22" w:rsidRDefault="001B1C22">
      <w:r>
        <w:t>--</w:t>
      </w:r>
    </w:p>
    <w:p w14:paraId="22629C3D" w14:textId="77777777" w:rsidR="001B1C22" w:rsidRDefault="001B1C22" w:rsidP="001B1C22">
      <w:r>
        <w:t xml:space="preserve">"A second embodiment of the invention is a method of preparing an amino acid ester of </w:t>
      </w:r>
      <w:proofErr w:type="spellStart"/>
      <w:r>
        <w:t>maytaninol</w:t>
      </w:r>
      <w:proofErr w:type="spellEnd"/>
      <w:r>
        <w:t xml:space="preserve"> represented by Formula (I), comprising: a) reacting </w:t>
      </w:r>
      <w:proofErr w:type="spellStart"/>
      <w:r>
        <w:t>maytansinol</w:t>
      </w:r>
      <w:proofErr w:type="spellEnd"/>
      <w:r>
        <w:t xml:space="preserve"> with an N-</w:t>
      </w:r>
      <w:proofErr w:type="spellStart"/>
      <w:r>
        <w:t>carboxyanhydride</w:t>
      </w:r>
      <w:proofErr w:type="spellEnd"/>
      <w:r>
        <w:t xml:space="preserve"> represented by Formula (II) in a reaction mixture additionally comprising a base; and b) reacting unreacted N-</w:t>
      </w:r>
      <w:proofErr w:type="spellStart"/>
      <w:r>
        <w:t>carboxyanhydride</w:t>
      </w:r>
      <w:proofErr w:type="spellEnd"/>
      <w:r>
        <w:t xml:space="preserve"> from step a) with a nucleophilic reagent. All the variables in Formulas (I) and (II) are as defined in the first embodiment of the invention."</w:t>
      </w:r>
    </w:p>
    <w:p w14:paraId="3C1095FE" w14:textId="77777777" w:rsidR="001B1C22" w:rsidRDefault="001B1C22" w:rsidP="001B1C22"/>
    <w:p w14:paraId="63571633" w14:textId="77777777" w:rsidR="001B1C22" w:rsidRDefault="001B1C22" w:rsidP="001B1C22">
      <w:r>
        <w:t xml:space="preserve">For more information, see this patent: </w:t>
      </w:r>
      <w:proofErr w:type="spellStart"/>
      <w:r>
        <w:t>Widdison</w:t>
      </w:r>
      <w:proofErr w:type="spellEnd"/>
      <w:r>
        <w:t xml:space="preserve">, Wayne C.; Zhao, Robert </w:t>
      </w:r>
      <w:proofErr w:type="spellStart"/>
      <w:r>
        <w:t>Yongxin</w:t>
      </w:r>
      <w:proofErr w:type="spellEnd"/>
      <w:r>
        <w:t xml:space="preserve">. Methods for the Acylation of </w:t>
      </w:r>
      <w:proofErr w:type="spellStart"/>
      <w:r>
        <w:t>Maytansinol</w:t>
      </w:r>
      <w:proofErr w:type="spellEnd"/>
      <w:r>
        <w:t>. U.S. Patent Number 9012629, filed September 26, 2013, and published online on April 21, 2015. Patent URL: http://patft.uspto.gov/netacgi/nph-Parser?Sect1=PTO1&amp;Sect2=HITOFF&amp;d=PALL&amp;p=1&amp;u=%2Fnetahtml%2FPTO%2Fsrchnum.htm&amp;r=1&amp;f=G&amp;l=50&amp;s1=9012629.PN.&amp;OS=PN/9012629RS=PN/9012629</w:t>
      </w:r>
    </w:p>
    <w:p w14:paraId="1EFB9612" w14:textId="149277D8" w:rsidR="001B1C22" w:rsidRDefault="001B1C22" w:rsidP="001B1C22"/>
    <w:tbl>
      <w:tblPr>
        <w:tblW w:w="8090" w:type="dxa"/>
        <w:tblLook w:val="04A0" w:firstRow="1" w:lastRow="0" w:firstColumn="1" w:lastColumn="0" w:noHBand="0" w:noVBand="1"/>
      </w:tblPr>
      <w:tblGrid>
        <w:gridCol w:w="1300"/>
        <w:gridCol w:w="1300"/>
        <w:gridCol w:w="1580"/>
        <w:gridCol w:w="1496"/>
        <w:gridCol w:w="1300"/>
        <w:gridCol w:w="1300"/>
      </w:tblGrid>
      <w:tr w:rsidR="00EF226A" w14:paraId="18B60EA1" w14:textId="77777777" w:rsidTr="00EF226A">
        <w:trPr>
          <w:trHeight w:val="320"/>
        </w:trPr>
        <w:tc>
          <w:tcPr>
            <w:tcW w:w="1300" w:type="dxa"/>
            <w:tcBorders>
              <w:top w:val="nil"/>
              <w:left w:val="nil"/>
              <w:bottom w:val="nil"/>
              <w:right w:val="nil"/>
            </w:tcBorders>
            <w:shd w:val="clear" w:color="auto" w:fill="auto"/>
            <w:noWrap/>
            <w:vAlign w:val="bottom"/>
            <w:hideMark/>
          </w:tcPr>
          <w:p w14:paraId="6D9001DF" w14:textId="1C4BE081" w:rsidR="00EF226A" w:rsidRDefault="0014671F">
            <w:pPr>
              <w:rPr>
                <w:rFonts w:ascii="Calibri" w:hAnsi="Calibri" w:cs="Calibri"/>
                <w:color w:val="000000"/>
              </w:rPr>
            </w:pPr>
            <w:r>
              <w:rPr>
                <w:rFonts w:ascii="Calibri" w:hAnsi="Calibri" w:cs="Calibri"/>
                <w:color w:val="000000"/>
              </w:rPr>
              <w:t>No</w:t>
            </w:r>
          </w:p>
        </w:tc>
        <w:tc>
          <w:tcPr>
            <w:tcW w:w="1300" w:type="dxa"/>
            <w:tcBorders>
              <w:top w:val="nil"/>
              <w:left w:val="nil"/>
              <w:bottom w:val="nil"/>
              <w:right w:val="nil"/>
            </w:tcBorders>
            <w:shd w:val="clear" w:color="auto" w:fill="auto"/>
            <w:noWrap/>
            <w:vAlign w:val="bottom"/>
            <w:hideMark/>
          </w:tcPr>
          <w:p w14:paraId="48A4ABBE" w14:textId="45EFF6A9" w:rsidR="00EF226A" w:rsidRDefault="00EF226A">
            <w:pPr>
              <w:rPr>
                <w:rFonts w:ascii="Calibri" w:hAnsi="Calibri" w:cs="Calibri"/>
                <w:color w:val="000000"/>
              </w:rPr>
            </w:pPr>
          </w:p>
        </w:tc>
        <w:tc>
          <w:tcPr>
            <w:tcW w:w="1580" w:type="dxa"/>
            <w:tcBorders>
              <w:top w:val="nil"/>
              <w:left w:val="nil"/>
              <w:bottom w:val="nil"/>
              <w:right w:val="nil"/>
            </w:tcBorders>
            <w:shd w:val="clear" w:color="auto" w:fill="auto"/>
            <w:noWrap/>
            <w:vAlign w:val="bottom"/>
            <w:hideMark/>
          </w:tcPr>
          <w:p w14:paraId="705D68DE" w14:textId="420B915D" w:rsidR="00EF226A" w:rsidRDefault="0014671F">
            <w:pPr>
              <w:rPr>
                <w:rFonts w:ascii="Calibri" w:hAnsi="Calibri" w:cs="Calibri"/>
                <w:color w:val="000000"/>
              </w:rPr>
            </w:pPr>
            <w:proofErr w:type="spellStart"/>
            <w:r w:rsidRPr="001B1C22">
              <w:t>Maytansinol</w:t>
            </w:r>
            <w:bookmarkStart w:id="0" w:name="_GoBack"/>
            <w:bookmarkEnd w:id="0"/>
            <w:proofErr w:type="spellEnd"/>
          </w:p>
        </w:tc>
        <w:tc>
          <w:tcPr>
            <w:tcW w:w="1310" w:type="dxa"/>
            <w:tcBorders>
              <w:top w:val="nil"/>
              <w:left w:val="nil"/>
              <w:bottom w:val="nil"/>
              <w:right w:val="nil"/>
            </w:tcBorders>
            <w:shd w:val="clear" w:color="auto" w:fill="auto"/>
            <w:noWrap/>
            <w:vAlign w:val="bottom"/>
            <w:hideMark/>
          </w:tcPr>
          <w:p w14:paraId="4A8D0C7A" w14:textId="77777777" w:rsidR="00EF226A" w:rsidRDefault="00EF226A">
            <w:pPr>
              <w:rPr>
                <w:rFonts w:ascii="Calibri" w:hAnsi="Calibri" w:cs="Calibri"/>
                <w:color w:val="000000"/>
              </w:rPr>
            </w:pPr>
            <w:proofErr w:type="spellStart"/>
            <w:r>
              <w:rPr>
                <w:rFonts w:ascii="Calibri" w:hAnsi="Calibri" w:cs="Calibri"/>
                <w:color w:val="000000"/>
              </w:rPr>
              <w:t>ImmunoGen</w:t>
            </w:r>
            <w:proofErr w:type="spellEnd"/>
            <w:r>
              <w:rPr>
                <w:rFonts w:ascii="Calibri" w:hAnsi="Calibri" w:cs="Calibri"/>
                <w:color w:val="000000"/>
              </w:rPr>
              <w:t xml:space="preserve">, Inc. </w:t>
            </w:r>
          </w:p>
        </w:tc>
        <w:tc>
          <w:tcPr>
            <w:tcW w:w="1300" w:type="dxa"/>
            <w:tcBorders>
              <w:top w:val="nil"/>
              <w:left w:val="nil"/>
              <w:bottom w:val="nil"/>
              <w:right w:val="nil"/>
            </w:tcBorders>
            <w:shd w:val="clear" w:color="auto" w:fill="auto"/>
            <w:noWrap/>
            <w:vAlign w:val="bottom"/>
            <w:hideMark/>
          </w:tcPr>
          <w:p w14:paraId="202479AA" w14:textId="77777777" w:rsidR="00EF226A" w:rsidRDefault="00EF226A">
            <w:pPr>
              <w:rPr>
                <w:rFonts w:ascii="Calibri" w:hAnsi="Calibri" w:cs="Calibri"/>
                <w:color w:val="000000"/>
              </w:rPr>
            </w:pPr>
            <w:r>
              <w:rPr>
                <w:rFonts w:ascii="Calibri" w:hAnsi="Calibri" w:cs="Calibri"/>
                <w:color w:val="000000"/>
              </w:rPr>
              <w:t>Yes</w:t>
            </w:r>
          </w:p>
        </w:tc>
        <w:tc>
          <w:tcPr>
            <w:tcW w:w="1300" w:type="dxa"/>
            <w:tcBorders>
              <w:top w:val="nil"/>
              <w:left w:val="nil"/>
              <w:bottom w:val="nil"/>
              <w:right w:val="nil"/>
            </w:tcBorders>
            <w:shd w:val="clear" w:color="auto" w:fill="auto"/>
            <w:noWrap/>
            <w:vAlign w:val="bottom"/>
            <w:hideMark/>
          </w:tcPr>
          <w:p w14:paraId="325C4454" w14:textId="77777777" w:rsidR="00EF226A" w:rsidRDefault="00EF226A">
            <w:pPr>
              <w:rPr>
                <w:rFonts w:ascii="Calibri" w:hAnsi="Calibri" w:cs="Calibri"/>
                <w:color w:val="000000"/>
              </w:rPr>
            </w:pPr>
            <w:r>
              <w:rPr>
                <w:rFonts w:ascii="Calibri" w:hAnsi="Calibri" w:cs="Calibri"/>
                <w:color w:val="000000"/>
              </w:rPr>
              <w:t>No</w:t>
            </w:r>
          </w:p>
        </w:tc>
      </w:tr>
    </w:tbl>
    <w:p w14:paraId="520C4441" w14:textId="4DB0A662" w:rsidR="00EF226A" w:rsidRDefault="00EF226A" w:rsidP="001B1C22"/>
    <w:p w14:paraId="0CEBD858" w14:textId="4ED75A2C" w:rsidR="00B05453" w:rsidRDefault="00B05453" w:rsidP="001B1C22"/>
    <w:p w14:paraId="36AB1849" w14:textId="5CCF7B3D" w:rsidR="00B05453" w:rsidRDefault="00B05453" w:rsidP="001B1C22"/>
    <w:p w14:paraId="1EB7C162" w14:textId="569107EC" w:rsidR="00B05453" w:rsidRDefault="00B05453" w:rsidP="001B1C22">
      <w:r>
        <w:t xml:space="preserve">Not a company, but a </w:t>
      </w:r>
      <w:proofErr w:type="spellStart"/>
      <w:r>
        <w:t>rsearch</w:t>
      </w:r>
      <w:proofErr w:type="spellEnd"/>
      <w:r>
        <w:t xml:space="preserve"> study</w:t>
      </w:r>
    </w:p>
    <w:p w14:paraId="43899229" w14:textId="77777777" w:rsidR="00B05453" w:rsidRDefault="00B05453" w:rsidP="00B05453">
      <w:r>
        <w:t xml:space="preserve">Clinical Trial Research; Studies in the Area of Clinical Trial Research Reported from Weill Cornell Medical College (Quantitative Lung Ultrasound Comet Measurement: Method and Initial Clinical </w:t>
      </w:r>
      <w:proofErr w:type="gramStart"/>
      <w:r>
        <w:t>Results)The</w:t>
      </w:r>
      <w:proofErr w:type="gramEnd"/>
      <w:r>
        <w:t xml:space="preserve"> news reporters obtained a quote from the research from Weill Cornell Medical College, "We developed an image-processing algorithm for the detection and quantification of lung comets. Quantification measures included comet number (comet count) and the fraction of the ultrasound beams with comet findings (comet fraction). We used this algorithm in a pilot study in 20 stable dialysis outpatients to identify associations between ultrasound comets and clinical parameters including blood pressure (BP), percent blood volume reduction on dialysis (%BV), ejection fraction (EF), and ultrafiltration on dialysis (UF). Positive findings included associations with lung comet measurements with pre-dialysis Diastolic BP (r = 0.534, p = 0.015), subject age (r = -0.446, p = 0.049), and a combination of EF and end dialysis %BV reduction (r = -0.585, p = 0.028). Comet fraction and comet count were closely correlated due to the inherent relationship between these two metrics (r = 0.973, p&lt; 0.001). Negative findings included ultrasound comets that did not change from beginning to end of dialysis (p = 0.756), and were not significantly correlated with single dialysis treatment UF (p = 0.522), subject body weight (p = 0.208), or BMI (p = 0.358). Ultrasound signal processing methods may help quantify lung ultrasound comets."</w:t>
      </w:r>
    </w:p>
    <w:p w14:paraId="0FB904D7" w14:textId="77777777" w:rsidR="00B05453" w:rsidRDefault="00B05453" w:rsidP="00B05453"/>
    <w:p w14:paraId="47FB6CB2" w14:textId="77777777" w:rsidR="00B05453" w:rsidRDefault="00B05453" w:rsidP="00B05453">
      <w:r>
        <w:t>According to the news reporters, the research concluded: "Additional findings include algorithmic lung comet measurement that did not change significantly during single dialysis sessions in these stable outpatients, but were associated with cardiovascular and fluid status parameters."</w:t>
      </w:r>
    </w:p>
    <w:p w14:paraId="1385B22C" w14:textId="77777777" w:rsidR="00B05453" w:rsidRDefault="00B05453" w:rsidP="00B05453"/>
    <w:p w14:paraId="0B10FCBB" w14:textId="77777777" w:rsidR="00B05453" w:rsidRDefault="00B05453" w:rsidP="00B05453">
      <w:r>
        <w:lastRenderedPageBreak/>
        <w:t xml:space="preserve">For more information on this research see: Quantitative Lung Ultrasound Comet Measurement: Method and Initial Clinical Results. Blood Purification, 2015;39(1-3):37-44. Blood Purification can be contacted at: Karger, </w:t>
      </w:r>
      <w:proofErr w:type="spellStart"/>
      <w:r>
        <w:t>Allschwilerstrasse</w:t>
      </w:r>
      <w:proofErr w:type="spellEnd"/>
      <w:r>
        <w:t xml:space="preserve"> 10, Ch-4009 Basel, Switzerland. (Karger - www.karger.com/; Blood Purification -</w:t>
      </w:r>
    </w:p>
    <w:p w14:paraId="25BC54FF" w14:textId="77777777" w:rsidR="00B05453" w:rsidRDefault="00B05453" w:rsidP="00B05453"/>
    <w:p w14:paraId="451583EB" w14:textId="77777777" w:rsidR="00B05453" w:rsidRDefault="00B05453" w:rsidP="00B05453">
      <w:r>
        <w:t>content.karger.com/ProdukteDB/produkte.asp?Aktion=JournalHome&amp;ProduktNr=223997)</w:t>
      </w:r>
    </w:p>
    <w:p w14:paraId="65729A92" w14:textId="77777777" w:rsidR="00B05453" w:rsidRDefault="00B05453" w:rsidP="00B05453"/>
    <w:p w14:paraId="78A0C8D3" w14:textId="77777777" w:rsidR="00B05453" w:rsidRDefault="00B05453" w:rsidP="00B05453">
      <w:r>
        <w:t xml:space="preserve">Our news correspondents report that additional information may be obtained by contacting W.F. Weitzel, Weill Cornell Med College, Dept. of </w:t>
      </w:r>
      <w:proofErr w:type="spellStart"/>
      <w:r>
        <w:t>Radiol</w:t>
      </w:r>
      <w:proofErr w:type="spellEnd"/>
      <w:r>
        <w:t>, New York, NY, United States. Additional authors for this research include J. Hamilton, X.L. Wang, J.L. Bull, A. Vollmer, A. Bowman, J. Rubin, G.H. Kruger, J. Gao, M. Heung and P. Rao.</w:t>
      </w:r>
    </w:p>
    <w:p w14:paraId="4B45352C" w14:textId="77777777" w:rsidR="00B05453" w:rsidRDefault="00B05453" w:rsidP="00B05453"/>
    <w:p w14:paraId="3915AFD4" w14:textId="77777777" w:rsidR="00B05453" w:rsidRDefault="00B05453" w:rsidP="00B05453">
      <w:r>
        <w:t>Keywords for this news article include: New York City, United States, Clinical Trial Research, North and Central America</w:t>
      </w:r>
    </w:p>
    <w:p w14:paraId="10071F80" w14:textId="77777777" w:rsidR="00B05453" w:rsidRDefault="00B05453" w:rsidP="00B05453"/>
    <w:p w14:paraId="14E9DF33" w14:textId="2B4B099D" w:rsidR="00B05453" w:rsidRDefault="00B05453" w:rsidP="00B05453">
      <w:r>
        <w:t xml:space="preserve">Our reports deliver fact-based news of research and discoveries from around the world. Copyright 2015, </w:t>
      </w:r>
      <w:proofErr w:type="spellStart"/>
      <w:r>
        <w:t>NewsRx</w:t>
      </w:r>
      <w:proofErr w:type="spellEnd"/>
      <w:r>
        <w:t xml:space="preserve"> LLC</w:t>
      </w:r>
    </w:p>
    <w:p w14:paraId="78BC8B32" w14:textId="74350216" w:rsidR="00B05453" w:rsidRDefault="00B05453" w:rsidP="00B05453"/>
    <w:p w14:paraId="309DE8D3" w14:textId="34F9B09C" w:rsidR="00B05453" w:rsidRDefault="00B05453" w:rsidP="00B05453"/>
    <w:p w14:paraId="69F90EDC" w14:textId="1C56D1F4" w:rsidR="00B05453" w:rsidRPr="00B05453" w:rsidRDefault="00B05453" w:rsidP="00B05453">
      <w:pPr>
        <w:rPr>
          <w:b/>
        </w:rPr>
      </w:pPr>
      <w:r w:rsidRPr="00B05453">
        <w:rPr>
          <w:b/>
        </w:rPr>
        <w:t>History:</w:t>
      </w:r>
    </w:p>
    <w:p w14:paraId="690E12CB" w14:textId="38B96241" w:rsidR="00B05453" w:rsidRPr="00916C9D" w:rsidRDefault="00B05453" w:rsidP="00B05453">
      <w:pPr>
        <w:rPr>
          <w:u w:val="single"/>
        </w:rPr>
      </w:pPr>
      <w:r w:rsidRPr="00916C9D">
        <w:rPr>
          <w:u w:val="single"/>
        </w:rPr>
        <w:t xml:space="preserve">United Therapeutics Corporation </w:t>
      </w:r>
      <w:r w:rsidRPr="00916C9D">
        <w:rPr>
          <w:u w:val="single"/>
        </w:rPr>
        <w:t>–</w:t>
      </w:r>
      <w:r w:rsidRPr="00916C9D">
        <w:rPr>
          <w:u w:val="single"/>
        </w:rPr>
        <w:t xml:space="preserve"> History</w:t>
      </w:r>
    </w:p>
    <w:p w14:paraId="0CD6A57F" w14:textId="77777777" w:rsidR="00916C9D" w:rsidRDefault="00916C9D" w:rsidP="00B05453"/>
    <w:p w14:paraId="70FFBC59" w14:textId="1367B6A5" w:rsidR="00B05453" w:rsidRDefault="00B05453" w:rsidP="00B05453">
      <w:r>
        <w:t xml:space="preserve">Regulatory </w:t>
      </w:r>
      <w:proofErr w:type="gramStart"/>
      <w:r>
        <w:t>Approval :</w:t>
      </w:r>
      <w:proofErr w:type="gramEnd"/>
      <w:r>
        <w:t xml:space="preserve"> In August, the company received Marketing </w:t>
      </w:r>
      <w:proofErr w:type="spellStart"/>
      <w:r>
        <w:t>Authorisation</w:t>
      </w:r>
      <w:proofErr w:type="spellEnd"/>
      <w:r>
        <w:t xml:space="preserve"> for </w:t>
      </w:r>
      <w:proofErr w:type="spellStart"/>
      <w:r>
        <w:t>Unituxin</w:t>
      </w:r>
      <w:proofErr w:type="spellEnd"/>
      <w:r>
        <w:t xml:space="preserve"> (</w:t>
      </w:r>
      <w:proofErr w:type="spellStart"/>
      <w:r>
        <w:t>dinutuximab</w:t>
      </w:r>
      <w:proofErr w:type="spellEnd"/>
      <w:r>
        <w:t>) from European Commission (EC) to treat high risk neuroblastoma.</w:t>
      </w:r>
    </w:p>
    <w:p w14:paraId="1DE990B4" w14:textId="77777777" w:rsidR="00B05453" w:rsidRDefault="00B05453" w:rsidP="00B05453"/>
    <w:p w14:paraId="2461124C" w14:textId="77777777" w:rsidR="00B05453" w:rsidRDefault="00B05453" w:rsidP="00B05453">
      <w:proofErr w:type="gramStart"/>
      <w:r>
        <w:t>Date :</w:t>
      </w:r>
      <w:proofErr w:type="gramEnd"/>
      <w:r>
        <w:t xml:space="preserve"> 2015</w:t>
      </w:r>
    </w:p>
    <w:p w14:paraId="3B07BD55" w14:textId="77777777" w:rsidR="00B05453" w:rsidRDefault="00B05453" w:rsidP="00B05453"/>
    <w:p w14:paraId="32F749E9" w14:textId="77777777" w:rsidR="00B05453" w:rsidRDefault="00B05453" w:rsidP="00B05453">
      <w:r>
        <w:t xml:space="preserve">Regulatory </w:t>
      </w:r>
      <w:proofErr w:type="gramStart"/>
      <w:r>
        <w:t>Approval :</w:t>
      </w:r>
      <w:proofErr w:type="gramEnd"/>
      <w:r>
        <w:t xml:space="preserve"> In March, the company received approval from United States Food and Drug Administration for </w:t>
      </w:r>
      <w:proofErr w:type="spellStart"/>
      <w:r>
        <w:t>Unituxin</w:t>
      </w:r>
      <w:proofErr w:type="spellEnd"/>
      <w:r>
        <w:t xml:space="preserve"> injection for the treatment of pediatric high-risk neuroblastoma.</w:t>
      </w:r>
    </w:p>
    <w:p w14:paraId="53DB35ED" w14:textId="77777777" w:rsidR="00B05453" w:rsidRDefault="00B05453" w:rsidP="00B05453"/>
    <w:p w14:paraId="1BB0AD7A" w14:textId="77777777" w:rsidR="00B05453" w:rsidRDefault="00B05453" w:rsidP="00B05453">
      <w:proofErr w:type="gramStart"/>
      <w:r>
        <w:t>Date :</w:t>
      </w:r>
      <w:proofErr w:type="gramEnd"/>
      <w:r>
        <w:t xml:space="preserve"> 2014</w:t>
      </w:r>
    </w:p>
    <w:p w14:paraId="63FBD5C5" w14:textId="77777777" w:rsidR="00B05453" w:rsidRDefault="00B05453" w:rsidP="00B05453"/>
    <w:p w14:paraId="4F44C619" w14:textId="77777777" w:rsidR="00B05453" w:rsidRDefault="00B05453" w:rsidP="00B05453">
      <w:r>
        <w:t>Contracts/</w:t>
      </w:r>
      <w:proofErr w:type="gramStart"/>
      <w:r>
        <w:t>Agreements :</w:t>
      </w:r>
      <w:proofErr w:type="gramEnd"/>
      <w:r>
        <w:t xml:space="preserve"> IN December, the company entered into an agreement with DEKA Research &amp; Development Corp. for the development of a potential technology breakthrough in the subcutaneous delivery of </w:t>
      </w:r>
      <w:proofErr w:type="spellStart"/>
      <w:r>
        <w:t>Remodulin</w:t>
      </w:r>
      <w:proofErr w:type="spellEnd"/>
      <w:r>
        <w:t>.</w:t>
      </w:r>
    </w:p>
    <w:p w14:paraId="1C709DA0" w14:textId="77777777" w:rsidR="00B05453" w:rsidRDefault="00B05453" w:rsidP="00B05453"/>
    <w:p w14:paraId="275BD639" w14:textId="77777777" w:rsidR="00B05453" w:rsidRDefault="00B05453" w:rsidP="00B05453">
      <w:proofErr w:type="gramStart"/>
      <w:r>
        <w:t>Date :</w:t>
      </w:r>
      <w:proofErr w:type="gramEnd"/>
      <w:r>
        <w:t xml:space="preserve"> 2014</w:t>
      </w:r>
    </w:p>
    <w:p w14:paraId="09360D0C" w14:textId="77777777" w:rsidR="00B05453" w:rsidRDefault="00B05453" w:rsidP="00B05453"/>
    <w:p w14:paraId="799F2BA5" w14:textId="77777777" w:rsidR="00B05453" w:rsidRDefault="00B05453" w:rsidP="00B05453">
      <w:r>
        <w:t>Contracts/</w:t>
      </w:r>
      <w:proofErr w:type="gramStart"/>
      <w:r>
        <w:t>Agreements :</w:t>
      </w:r>
      <w:proofErr w:type="gramEnd"/>
      <w:r>
        <w:t xml:space="preserve"> In May, Lung Biotechnology Inc., a subsidiary of UTC entered into a research and development agreement with Synthetic Genomics Inc. to develop humanized pig organs for transplantation.</w:t>
      </w:r>
    </w:p>
    <w:p w14:paraId="6A5A522C" w14:textId="77777777" w:rsidR="00B05453" w:rsidRDefault="00B05453" w:rsidP="00B05453"/>
    <w:p w14:paraId="260F5E4B" w14:textId="77777777" w:rsidR="00B05453" w:rsidRDefault="00B05453" w:rsidP="00B05453">
      <w:proofErr w:type="gramStart"/>
      <w:r>
        <w:t>Date :</w:t>
      </w:r>
      <w:proofErr w:type="gramEnd"/>
      <w:r>
        <w:t xml:space="preserve"> 2014</w:t>
      </w:r>
    </w:p>
    <w:p w14:paraId="36A123D6" w14:textId="77777777" w:rsidR="00B05453" w:rsidRDefault="00B05453" w:rsidP="00B05453"/>
    <w:p w14:paraId="5EE8923F" w14:textId="77777777" w:rsidR="00B05453" w:rsidRDefault="00B05453" w:rsidP="00B05453">
      <w:proofErr w:type="gramStart"/>
      <w:r>
        <w:lastRenderedPageBreak/>
        <w:t>Litigation :</w:t>
      </w:r>
      <w:proofErr w:type="gramEnd"/>
      <w:r>
        <w:t xml:space="preserve"> In August, the company won the case against Sandoz, Inc. regarding the patent infringement of U.S. Patent No. 6,765,117 related to its </w:t>
      </w:r>
      <w:proofErr w:type="spellStart"/>
      <w:r>
        <w:t>Remodulin</w:t>
      </w:r>
      <w:proofErr w:type="spellEnd"/>
      <w:r>
        <w:t>.</w:t>
      </w:r>
    </w:p>
    <w:p w14:paraId="1B3F5BFF" w14:textId="77777777" w:rsidR="00B05453" w:rsidRDefault="00B05453" w:rsidP="00B05453"/>
    <w:p w14:paraId="68B908B2" w14:textId="77777777" w:rsidR="00B05453" w:rsidRDefault="00B05453" w:rsidP="00B05453">
      <w:proofErr w:type="gramStart"/>
      <w:r>
        <w:t>Date :</w:t>
      </w:r>
      <w:proofErr w:type="gramEnd"/>
      <w:r>
        <w:t xml:space="preserve"> 2014</w:t>
      </w:r>
    </w:p>
    <w:p w14:paraId="1D8F844F" w14:textId="77777777" w:rsidR="00B05453" w:rsidRDefault="00B05453" w:rsidP="00B05453"/>
    <w:p w14:paraId="25D396E7" w14:textId="77777777" w:rsidR="00B05453" w:rsidRDefault="00B05453" w:rsidP="00B05453">
      <w:r>
        <w:t xml:space="preserve">New Product </w:t>
      </w:r>
      <w:proofErr w:type="gramStart"/>
      <w:r>
        <w:t>Approvals :</w:t>
      </w:r>
      <w:proofErr w:type="gramEnd"/>
      <w:r>
        <w:t xml:space="preserve"> In March, the </w:t>
      </w:r>
      <w:proofErr w:type="spellStart"/>
      <w:r>
        <w:t>company‚Äôs</w:t>
      </w:r>
      <w:proofErr w:type="spellEnd"/>
      <w:r>
        <w:t xml:space="preserve"> </w:t>
      </w:r>
      <w:proofErr w:type="spellStart"/>
      <w:r>
        <w:t>Remodulin</w:t>
      </w:r>
      <w:proofErr w:type="spellEnd"/>
      <w:r>
        <w:t xml:space="preserve"> received approval from Japan's Ministry of Health, </w:t>
      </w:r>
      <w:proofErr w:type="spellStart"/>
      <w:r>
        <w:t>Labour</w:t>
      </w:r>
      <w:proofErr w:type="spellEnd"/>
      <w:r>
        <w:t xml:space="preserve"> and Welfare for the treatment of pulmonary arterial hypertension (PAH) by subcutaneous and intravenous administration. </w:t>
      </w:r>
      <w:proofErr w:type="spellStart"/>
      <w:r>
        <w:t>Remodulin</w:t>
      </w:r>
      <w:proofErr w:type="spellEnd"/>
      <w:r>
        <w:t xml:space="preserve"> is to be sold in Japan under the brand name </w:t>
      </w:r>
      <w:proofErr w:type="spellStart"/>
      <w:r>
        <w:t>Treprost</w:t>
      </w:r>
      <w:proofErr w:type="spellEnd"/>
      <w:r>
        <w:t>.</w:t>
      </w:r>
    </w:p>
    <w:p w14:paraId="4150EB58" w14:textId="77777777" w:rsidR="00B05453" w:rsidRDefault="00B05453" w:rsidP="00B05453"/>
    <w:p w14:paraId="58615720" w14:textId="77777777" w:rsidR="00B05453" w:rsidRDefault="00B05453" w:rsidP="00B05453">
      <w:proofErr w:type="gramStart"/>
      <w:r>
        <w:t>Date :</w:t>
      </w:r>
      <w:proofErr w:type="gramEnd"/>
      <w:r>
        <w:t xml:space="preserve"> 2013</w:t>
      </w:r>
    </w:p>
    <w:p w14:paraId="29583D65" w14:textId="77777777" w:rsidR="00B05453" w:rsidRDefault="00B05453" w:rsidP="00B05453"/>
    <w:p w14:paraId="39380C35" w14:textId="77777777" w:rsidR="00B05453" w:rsidRDefault="00B05453" w:rsidP="00B05453">
      <w:proofErr w:type="gramStart"/>
      <w:r>
        <w:t>Litigation :</w:t>
      </w:r>
      <w:proofErr w:type="gramEnd"/>
      <w:r>
        <w:t xml:space="preserve"> In December, the company received a subpoena from the Office of the Inspector General of the Department of Health and Human Services regarding marketing practices relating to its products including </w:t>
      </w:r>
      <w:proofErr w:type="spellStart"/>
      <w:r>
        <w:t>Remodulin</w:t>
      </w:r>
      <w:proofErr w:type="spellEnd"/>
      <w:r>
        <w:t xml:space="preserve"> (</w:t>
      </w:r>
      <w:proofErr w:type="spellStart"/>
      <w:r>
        <w:t>treprostinil</w:t>
      </w:r>
      <w:proofErr w:type="spellEnd"/>
      <w:r>
        <w:t xml:space="preserve">) injection, </w:t>
      </w:r>
      <w:proofErr w:type="spellStart"/>
      <w:r>
        <w:t>Tyvaso</w:t>
      </w:r>
      <w:proofErr w:type="spellEnd"/>
      <w:r>
        <w:t xml:space="preserve"> (</w:t>
      </w:r>
      <w:proofErr w:type="spellStart"/>
      <w:r>
        <w:t>treprostinil</w:t>
      </w:r>
      <w:proofErr w:type="spellEnd"/>
      <w:r>
        <w:t xml:space="preserve">) inhalation solution and </w:t>
      </w:r>
      <w:proofErr w:type="spellStart"/>
      <w:r>
        <w:t>Adcirca</w:t>
      </w:r>
      <w:proofErr w:type="spellEnd"/>
      <w:r>
        <w:t xml:space="preserve"> (tadalafil) tablets.</w:t>
      </w:r>
    </w:p>
    <w:p w14:paraId="36390FCB" w14:textId="77777777" w:rsidR="00B05453" w:rsidRDefault="00B05453" w:rsidP="00B05453"/>
    <w:p w14:paraId="461F9D9C" w14:textId="77777777" w:rsidR="00B05453" w:rsidRDefault="00B05453" w:rsidP="00B05453">
      <w:proofErr w:type="gramStart"/>
      <w:r>
        <w:t>Date :</w:t>
      </w:r>
      <w:proofErr w:type="gramEnd"/>
      <w:r>
        <w:t xml:space="preserve"> 2013</w:t>
      </w:r>
    </w:p>
    <w:p w14:paraId="45EE52B9" w14:textId="77777777" w:rsidR="00B05453" w:rsidRDefault="00B05453" w:rsidP="00B05453"/>
    <w:p w14:paraId="62E85002" w14:textId="77777777" w:rsidR="00B05453" w:rsidRDefault="00B05453" w:rsidP="00B05453">
      <w:r>
        <w:t xml:space="preserve">New Product </w:t>
      </w:r>
      <w:proofErr w:type="gramStart"/>
      <w:r>
        <w:t>Approvals :</w:t>
      </w:r>
      <w:proofErr w:type="gramEnd"/>
      <w:r>
        <w:t xml:space="preserve"> In December, the company received approval for its </w:t>
      </w:r>
      <w:proofErr w:type="spellStart"/>
      <w:r>
        <w:t>Orenitram</w:t>
      </w:r>
      <w:proofErr w:type="spellEnd"/>
      <w:r>
        <w:t xml:space="preserve"> (</w:t>
      </w:r>
      <w:proofErr w:type="spellStart"/>
      <w:r>
        <w:t>treprostinil</w:t>
      </w:r>
      <w:proofErr w:type="spellEnd"/>
      <w:r>
        <w:t>) Extended-Release Tablets for the treatment of pulmonary arterial hypertension from the US FDA.</w:t>
      </w:r>
    </w:p>
    <w:p w14:paraId="05523D8A" w14:textId="77777777" w:rsidR="00B05453" w:rsidRDefault="00B05453" w:rsidP="00B05453"/>
    <w:p w14:paraId="3F0F7E52" w14:textId="77777777" w:rsidR="00B05453" w:rsidRDefault="00B05453" w:rsidP="00B05453">
      <w:proofErr w:type="gramStart"/>
      <w:r>
        <w:t>Date :</w:t>
      </w:r>
      <w:proofErr w:type="gramEnd"/>
      <w:r>
        <w:t xml:space="preserve"> 2013</w:t>
      </w:r>
    </w:p>
    <w:p w14:paraId="506DE98D" w14:textId="77777777" w:rsidR="00B05453" w:rsidRDefault="00B05453" w:rsidP="00B05453"/>
    <w:p w14:paraId="23A5B74B" w14:textId="77777777" w:rsidR="00B05453" w:rsidRDefault="00B05453" w:rsidP="00B05453">
      <w:r>
        <w:t xml:space="preserve">Regulatory </w:t>
      </w:r>
      <w:proofErr w:type="gramStart"/>
      <w:r>
        <w:t>Approval :</w:t>
      </w:r>
      <w:proofErr w:type="gramEnd"/>
      <w:r>
        <w:t xml:space="preserve"> In September, the US FDA accepted the company resubmission of new drug application (NDA) for </w:t>
      </w:r>
      <w:proofErr w:type="spellStart"/>
      <w:r>
        <w:t>treprostinil</w:t>
      </w:r>
      <w:proofErr w:type="spellEnd"/>
      <w:r>
        <w:t xml:space="preserve"> diolamine extended release tablets (oral </w:t>
      </w:r>
      <w:proofErr w:type="spellStart"/>
      <w:r>
        <w:t>treprostinil</w:t>
      </w:r>
      <w:proofErr w:type="spellEnd"/>
      <w:r>
        <w:t>) for the treatment of PAH.</w:t>
      </w:r>
    </w:p>
    <w:p w14:paraId="27756F65" w14:textId="77777777" w:rsidR="00B05453" w:rsidRDefault="00B05453" w:rsidP="00B05453"/>
    <w:p w14:paraId="5F3F438A" w14:textId="77777777" w:rsidR="00B05453" w:rsidRDefault="00B05453" w:rsidP="00B05453">
      <w:proofErr w:type="gramStart"/>
      <w:r>
        <w:t>Date :</w:t>
      </w:r>
      <w:proofErr w:type="gramEnd"/>
      <w:r>
        <w:t xml:space="preserve"> 2012</w:t>
      </w:r>
    </w:p>
    <w:p w14:paraId="190EFAC6" w14:textId="77777777" w:rsidR="00B05453" w:rsidRDefault="00B05453" w:rsidP="00B05453"/>
    <w:p w14:paraId="6EB73825" w14:textId="77777777" w:rsidR="00B05453" w:rsidRDefault="00B05453" w:rsidP="00B05453">
      <w:proofErr w:type="gramStart"/>
      <w:r>
        <w:t>Litigation :</w:t>
      </w:r>
      <w:proofErr w:type="gramEnd"/>
      <w:r>
        <w:t xml:space="preserve"> In March, the company filed lawsuit against Sandoz for the infringement of patents related to </w:t>
      </w:r>
      <w:proofErr w:type="spellStart"/>
      <w:r>
        <w:t>Remodulin</w:t>
      </w:r>
      <w:proofErr w:type="spellEnd"/>
      <w:r>
        <w:t>.</w:t>
      </w:r>
    </w:p>
    <w:p w14:paraId="05F1E8D1" w14:textId="77777777" w:rsidR="00B05453" w:rsidRDefault="00B05453" w:rsidP="00B05453"/>
    <w:p w14:paraId="2C7D59B1" w14:textId="77777777" w:rsidR="00B05453" w:rsidRDefault="00B05453" w:rsidP="00B05453">
      <w:proofErr w:type="gramStart"/>
      <w:r>
        <w:t>Date :</w:t>
      </w:r>
      <w:proofErr w:type="gramEnd"/>
      <w:r>
        <w:t xml:space="preserve"> 2012</w:t>
      </w:r>
    </w:p>
    <w:p w14:paraId="5FE6A4E1" w14:textId="77777777" w:rsidR="00B05453" w:rsidRDefault="00B05453" w:rsidP="00B05453"/>
    <w:p w14:paraId="2E5033D1" w14:textId="77777777" w:rsidR="00B05453" w:rsidRDefault="00B05453" w:rsidP="00B05453">
      <w:r>
        <w:t xml:space="preserve">New Product </w:t>
      </w:r>
      <w:proofErr w:type="gramStart"/>
      <w:r>
        <w:t>Approvals :</w:t>
      </w:r>
      <w:proofErr w:type="gramEnd"/>
      <w:r>
        <w:t xml:space="preserve"> In February, the company's </w:t>
      </w:r>
      <w:proofErr w:type="spellStart"/>
      <w:r>
        <w:t>treprostinil</w:t>
      </w:r>
      <w:proofErr w:type="spellEnd"/>
      <w:r>
        <w:t xml:space="preserve"> </w:t>
      </w:r>
      <w:proofErr w:type="spellStart"/>
      <w:r>
        <w:t>diethanolamine</w:t>
      </w:r>
      <w:proofErr w:type="spellEnd"/>
      <w:r>
        <w:t xml:space="preserve"> was approved for review by FDA for new drug application.</w:t>
      </w:r>
    </w:p>
    <w:p w14:paraId="55E097DD" w14:textId="77777777" w:rsidR="00B05453" w:rsidRDefault="00B05453" w:rsidP="00B05453"/>
    <w:p w14:paraId="242EE94E" w14:textId="77777777" w:rsidR="00B05453" w:rsidRDefault="00B05453" w:rsidP="00B05453">
      <w:proofErr w:type="gramStart"/>
      <w:r>
        <w:t>Date :</w:t>
      </w:r>
      <w:proofErr w:type="gramEnd"/>
      <w:r>
        <w:t xml:space="preserve"> 2011</w:t>
      </w:r>
    </w:p>
    <w:p w14:paraId="36B91E04" w14:textId="77777777" w:rsidR="00B05453" w:rsidRDefault="00B05453" w:rsidP="00B05453"/>
    <w:p w14:paraId="76C160A2" w14:textId="77777777" w:rsidR="00B05453" w:rsidRDefault="00B05453" w:rsidP="00B05453">
      <w:r>
        <w:t>Contracts/</w:t>
      </w:r>
      <w:proofErr w:type="gramStart"/>
      <w:r>
        <w:t>Agreements :</w:t>
      </w:r>
      <w:proofErr w:type="gramEnd"/>
      <w:r>
        <w:t xml:space="preserve"> In October, the company's subsidiary, </w:t>
      </w:r>
      <w:proofErr w:type="spellStart"/>
      <w:r>
        <w:t>Unither</w:t>
      </w:r>
      <w:proofErr w:type="spellEnd"/>
      <w:r>
        <w:t xml:space="preserve"> Virology, LLC entered into a contract with the National Institute of Allergy and Infectious Diseases for supporting glycobiology antiviral platform.</w:t>
      </w:r>
    </w:p>
    <w:p w14:paraId="73A5173E" w14:textId="77777777" w:rsidR="00B05453" w:rsidRDefault="00B05453" w:rsidP="00B05453"/>
    <w:p w14:paraId="1F79910C" w14:textId="77777777" w:rsidR="00B05453" w:rsidRDefault="00B05453" w:rsidP="00B05453">
      <w:proofErr w:type="gramStart"/>
      <w:r>
        <w:t>Date :</w:t>
      </w:r>
      <w:proofErr w:type="gramEnd"/>
      <w:r>
        <w:t xml:space="preserve"> 2011</w:t>
      </w:r>
    </w:p>
    <w:p w14:paraId="15BE4604" w14:textId="77777777" w:rsidR="00B05453" w:rsidRDefault="00B05453" w:rsidP="00B05453"/>
    <w:p w14:paraId="3F90B3F6" w14:textId="77777777" w:rsidR="00B05453" w:rsidRDefault="00B05453" w:rsidP="00B05453">
      <w:r>
        <w:t>Official Trials/</w:t>
      </w:r>
      <w:proofErr w:type="gramStart"/>
      <w:r>
        <w:t>Tests :</w:t>
      </w:r>
      <w:proofErr w:type="gramEnd"/>
      <w:r>
        <w:t xml:space="preserve"> In January, the company completed the enrollment of FREEDOM-M registration trial.</w:t>
      </w:r>
    </w:p>
    <w:p w14:paraId="2D54BA29" w14:textId="77777777" w:rsidR="00B05453" w:rsidRDefault="00B05453" w:rsidP="00B05453"/>
    <w:p w14:paraId="26768FE9" w14:textId="77777777" w:rsidR="00B05453" w:rsidRDefault="00B05453" w:rsidP="00B05453">
      <w:proofErr w:type="gramStart"/>
      <w:r>
        <w:t>Date :</w:t>
      </w:r>
      <w:proofErr w:type="gramEnd"/>
      <w:r>
        <w:t xml:space="preserve"> 2011</w:t>
      </w:r>
    </w:p>
    <w:p w14:paraId="2D7BAF65" w14:textId="77777777" w:rsidR="00B05453" w:rsidRDefault="00B05453" w:rsidP="00B05453"/>
    <w:p w14:paraId="7D046FAF" w14:textId="77777777" w:rsidR="00B05453" w:rsidRDefault="00B05453" w:rsidP="00B05453">
      <w:r>
        <w:t>Official Trials/</w:t>
      </w:r>
      <w:proofErr w:type="gramStart"/>
      <w:r>
        <w:t>Tests :</w:t>
      </w:r>
      <w:proofErr w:type="gramEnd"/>
      <w:r>
        <w:t xml:space="preserve"> In June, the company completed FREEDOM-M Phase 3 trial of </w:t>
      </w:r>
      <w:proofErr w:type="spellStart"/>
      <w:r>
        <w:t>treprostinil</w:t>
      </w:r>
      <w:proofErr w:type="spellEnd"/>
      <w:r>
        <w:t xml:space="preserve"> </w:t>
      </w:r>
      <w:proofErr w:type="spellStart"/>
      <w:r>
        <w:t>diethanolamine</w:t>
      </w:r>
      <w:proofErr w:type="spellEnd"/>
      <w:r>
        <w:t xml:space="preserve"> (oral </w:t>
      </w:r>
      <w:proofErr w:type="spellStart"/>
      <w:r>
        <w:t>treprostinil</w:t>
      </w:r>
      <w:proofErr w:type="spellEnd"/>
      <w:r>
        <w:t>).</w:t>
      </w:r>
    </w:p>
    <w:p w14:paraId="2E3D7D0B" w14:textId="77777777" w:rsidR="00B05453" w:rsidRDefault="00B05453" w:rsidP="00B05453"/>
    <w:p w14:paraId="49C14E1D" w14:textId="7E5EB36B" w:rsidR="00B05453" w:rsidRDefault="00B05453" w:rsidP="00B05453">
      <w:proofErr w:type="gramStart"/>
      <w:r>
        <w:t>Date :</w:t>
      </w:r>
      <w:proofErr w:type="gramEnd"/>
      <w:r>
        <w:t xml:space="preserve"> 2011</w:t>
      </w:r>
    </w:p>
    <w:p w14:paraId="12161C5D" w14:textId="754AE570" w:rsidR="00371B18" w:rsidRDefault="00371B18" w:rsidP="00B05453"/>
    <w:p w14:paraId="5550E8BB" w14:textId="1BFD2F45" w:rsidR="00371B18" w:rsidRDefault="00371B18" w:rsidP="00B05453"/>
    <w:p w14:paraId="5B0B1BAB" w14:textId="3CC9F1DA" w:rsidR="00371B18" w:rsidRPr="00371B18" w:rsidRDefault="00371B18" w:rsidP="00B05453">
      <w:pPr>
        <w:rPr>
          <w:b/>
        </w:rPr>
      </w:pPr>
      <w:r w:rsidRPr="00371B18">
        <w:rPr>
          <w:b/>
        </w:rPr>
        <w:t>Not US Market</w:t>
      </w:r>
    </w:p>
    <w:p w14:paraId="2EB2CB80" w14:textId="77777777" w:rsidR="00371B18" w:rsidRDefault="00371B18" w:rsidP="00371B18">
      <w:r>
        <w:t xml:space="preserve">Boston Scientific Corporation; Boston Scientific Launches The Precision </w:t>
      </w:r>
      <w:proofErr w:type="gramStart"/>
      <w:r>
        <w:t>Novi(</w:t>
      </w:r>
      <w:proofErr w:type="gramEnd"/>
      <w:r>
        <w:t>TM) Spinal Cord Stimulator System in Europe</w:t>
      </w:r>
    </w:p>
    <w:p w14:paraId="56F09D7B" w14:textId="77777777" w:rsidR="00371B18" w:rsidRDefault="00371B18" w:rsidP="00371B18"/>
    <w:p w14:paraId="5642288E" w14:textId="1C35CC70" w:rsidR="00371B18" w:rsidRDefault="00371B18" w:rsidP="00371B18">
      <w:r>
        <w:t xml:space="preserve">Chronic pain can have a devastating impact on quality of life for many patients. Spinal cord stimulators alleviate pain by stimulating the nerve fibers in the spinal cord to reduce pain signals. While primary cell (also referred to as non-rechargeable) devices are typically larger due to limitations in technology and battery size, the Precision Novi System represents a significant technology advance, with the smallest high-capacity battery on the market, allowing effective pain relief to be delivered from a much smaller device. The Precision Novi System is also the only primary cell device that couples with a wireless </w:t>
      </w:r>
      <w:proofErr w:type="gramStart"/>
      <w:r>
        <w:t>remote ,</w:t>
      </w:r>
      <w:proofErr w:type="gramEnd"/>
      <w:r>
        <w:t xml:space="preserve"> empowering patients with flexibility and control over their pain management.</w:t>
      </w:r>
    </w:p>
    <w:p w14:paraId="431AA71A" w14:textId="77777777" w:rsidR="00371B18" w:rsidRDefault="00371B18" w:rsidP="00371B18"/>
    <w:p w14:paraId="70897047" w14:textId="77777777" w:rsidR="00371B18" w:rsidRDefault="00371B18" w:rsidP="00371B18">
      <w:r>
        <w:t xml:space="preserve">"The small size and novel shape of the Precision Novi implant improves patient comfort and enables a very discreet subcutaneous placement," said Dr. Simon Thomson, a consultant in Pain Management and Neuromodulation at </w:t>
      </w:r>
      <w:proofErr w:type="spellStart"/>
      <w:r>
        <w:t>Basildon</w:t>
      </w:r>
      <w:proofErr w:type="spellEnd"/>
      <w:r>
        <w:t xml:space="preserve"> and </w:t>
      </w:r>
      <w:proofErr w:type="spellStart"/>
      <w:r>
        <w:t>Thurrock</w:t>
      </w:r>
      <w:proofErr w:type="spellEnd"/>
      <w:r>
        <w:t xml:space="preserve"> University Hospitals, UK. "The simplicity of the programming software saves valuable time in the operating theatre, efficiently allowing me to achieve and maintain comfortable therapy for my patients."</w:t>
      </w:r>
    </w:p>
    <w:p w14:paraId="63A539D8" w14:textId="77777777" w:rsidR="00371B18" w:rsidRDefault="00371B18" w:rsidP="00371B18"/>
    <w:p w14:paraId="54A8FC98" w14:textId="77777777" w:rsidR="00371B18" w:rsidRDefault="00371B18" w:rsidP="00371B18">
      <w:r>
        <w:t xml:space="preserve">Unlike any other primary cell system, the Precision Novi intuitive Illumina 3D neural targeting software incorporates three-dimensional lead location, as well as the conductivity of the spinal cord and surrounding tissue. This point-and-click technology automatically calculates the optimal programming configuration to target the selected pain area. Further, unique for primary cell devices, Precision Novi is a </w:t>
      </w:r>
      <w:proofErr w:type="spellStart"/>
      <w:proofErr w:type="gramStart"/>
      <w:r>
        <w:t>MultiWave</w:t>
      </w:r>
      <w:proofErr w:type="spellEnd"/>
      <w:r>
        <w:t>(</w:t>
      </w:r>
      <w:proofErr w:type="gramEnd"/>
      <w:r>
        <w:t>TM) Platform capable of delivering a variety of field shapes and waveforms with or without paresthesia, including burst and higher rate frequencies.</w:t>
      </w:r>
    </w:p>
    <w:p w14:paraId="71EF26FC" w14:textId="77777777" w:rsidR="00371B18" w:rsidRDefault="00371B18" w:rsidP="00371B18"/>
    <w:p w14:paraId="7EB79498" w14:textId="77777777" w:rsidR="00371B18" w:rsidRDefault="00371B18" w:rsidP="00371B18">
      <w:r>
        <w:t xml:space="preserve">"We are excited to expand upon our range of therapeutic solutions for patients suffering from chronic pain," said </w:t>
      </w:r>
      <w:proofErr w:type="spellStart"/>
      <w:r>
        <w:t>Maulik</w:t>
      </w:r>
      <w:proofErr w:type="spellEnd"/>
      <w:r>
        <w:t xml:space="preserve"> </w:t>
      </w:r>
      <w:proofErr w:type="spellStart"/>
      <w:r>
        <w:t>Nanavaty</w:t>
      </w:r>
      <w:proofErr w:type="spellEnd"/>
      <w:r>
        <w:t>, president, Neuromodulation, Boston Scientific. "The Precision Novi System brings the power of our Illumina 3D Algorithm to the more than sixty percent of SCS patients in Europe who are treated with primary cell therapy."</w:t>
      </w:r>
    </w:p>
    <w:p w14:paraId="63CC7F95" w14:textId="77777777" w:rsidR="00371B18" w:rsidRDefault="00371B18" w:rsidP="00371B18"/>
    <w:p w14:paraId="3747546A" w14:textId="77777777" w:rsidR="00371B18" w:rsidRDefault="00371B18" w:rsidP="00371B18">
      <w:r>
        <w:t>The Precision Novi SCS System is not available in the United States. Comparative statements true as of June 4, 2015.</w:t>
      </w:r>
    </w:p>
    <w:p w14:paraId="467E45D1" w14:textId="77777777" w:rsidR="00371B18" w:rsidRDefault="00371B18" w:rsidP="00371B18"/>
    <w:p w14:paraId="75493E8F" w14:textId="77777777" w:rsidR="00371B18" w:rsidRDefault="00371B18" w:rsidP="00371B18">
      <w:r>
        <w:t>Keywords for this news article include: Pain, Therapy, Software, Technology, Nervous System Diseases, Neurologic Manifestations, Boston Scientific Corporation.</w:t>
      </w:r>
    </w:p>
    <w:p w14:paraId="15F1F9C6" w14:textId="77777777" w:rsidR="00371B18" w:rsidRDefault="00371B18" w:rsidP="00371B18"/>
    <w:p w14:paraId="2A4FFC62" w14:textId="5AFA9464" w:rsidR="00371B18" w:rsidRDefault="00371B18" w:rsidP="00371B18">
      <w:r>
        <w:t xml:space="preserve">Our reports deliver fact-based news of research and discoveries from around the world. Copyright 2015, </w:t>
      </w:r>
      <w:proofErr w:type="spellStart"/>
      <w:r>
        <w:t>NewsRx</w:t>
      </w:r>
      <w:proofErr w:type="spellEnd"/>
      <w:r>
        <w:t xml:space="preserve"> LLC</w:t>
      </w:r>
    </w:p>
    <w:p w14:paraId="5A1BA27C" w14:textId="713546EF" w:rsidR="00BF4D86" w:rsidRDefault="00BF4D86" w:rsidP="00371B18"/>
    <w:p w14:paraId="23EF4180" w14:textId="2CB09CF3" w:rsidR="00BF4D86" w:rsidRDefault="00BF4D86" w:rsidP="00371B18"/>
    <w:p w14:paraId="0E81DAC4" w14:textId="26B2456E" w:rsidR="00BF4D86" w:rsidRDefault="00BF4D86" w:rsidP="00371B18"/>
    <w:p w14:paraId="201E5797" w14:textId="00D0EE0D" w:rsidR="00BF4D86" w:rsidRDefault="00BF4D86" w:rsidP="00371B18">
      <w:r w:rsidRPr="00BF4D86">
        <w:t>Bristol-Myers Squibb Company (</w:t>
      </w:r>
      <w:proofErr w:type="gramStart"/>
      <w:r w:rsidRPr="00BF4D86">
        <w:t>NYSE:BMY</w:t>
      </w:r>
      <w:proofErr w:type="gramEnd"/>
      <w:r w:rsidRPr="00BF4D86">
        <w:t xml:space="preserve">) today announced an approval of an additional indication for </w:t>
      </w:r>
      <w:proofErr w:type="spellStart"/>
      <w:r w:rsidRPr="00BF4D86">
        <w:t>Opdivo</w:t>
      </w:r>
      <w:proofErr w:type="spellEnd"/>
      <w:r w:rsidRPr="00BF4D86">
        <w:t xml:space="preserve"> (nivolumab) by the U.S. Food and Drug Administration.</w:t>
      </w:r>
    </w:p>
    <w:p w14:paraId="6A491813" w14:textId="112D8951" w:rsidR="00390686" w:rsidRDefault="00390686" w:rsidP="00371B18"/>
    <w:p w14:paraId="1AF9A366" w14:textId="75FE31A7" w:rsidR="00390686" w:rsidRDefault="00390686" w:rsidP="00371B18"/>
    <w:p w14:paraId="33C3DD50" w14:textId="05C5ED50" w:rsidR="00390686" w:rsidRPr="00390686" w:rsidRDefault="00390686" w:rsidP="00371B18">
      <w:pPr>
        <w:rPr>
          <w:b/>
        </w:rPr>
      </w:pPr>
      <w:r w:rsidRPr="00390686">
        <w:rPr>
          <w:b/>
        </w:rPr>
        <w:t>Computer Software:</w:t>
      </w:r>
    </w:p>
    <w:p w14:paraId="241CAB56" w14:textId="77777777" w:rsidR="00390686" w:rsidRPr="00390686" w:rsidRDefault="00390686" w:rsidP="00390686">
      <w:pPr>
        <w:rPr>
          <w:u w:val="single"/>
        </w:rPr>
      </w:pPr>
      <w:r w:rsidRPr="00390686">
        <w:rPr>
          <w:u w:val="single"/>
        </w:rPr>
        <w:t>Trademarks; Roche Diagnostics Operations' Trademark Application for "ACCU-CHEK COMPASS" Filed</w:t>
      </w:r>
    </w:p>
    <w:p w14:paraId="6063A19C" w14:textId="36ACF415" w:rsidR="00390686" w:rsidRDefault="00390686" w:rsidP="00390686">
      <w:r>
        <w:t>The international trademark goods and services class code for this trademark application is 009.</w:t>
      </w:r>
    </w:p>
    <w:p w14:paraId="693BCCDD" w14:textId="77777777" w:rsidR="00390686" w:rsidRDefault="00390686" w:rsidP="00390686"/>
    <w:p w14:paraId="362F2968" w14:textId="77777777" w:rsidR="00390686" w:rsidRDefault="00390686" w:rsidP="00390686">
      <w:r>
        <w:t>As submitted by the applicant, this trademark application relates to the following goods and services: Computer software for maintaining a database of blood test results from a blood glucose monitor for use by individuals with diabetes.</w:t>
      </w:r>
    </w:p>
    <w:p w14:paraId="4A543C91" w14:textId="77777777" w:rsidR="00390686" w:rsidRDefault="00390686" w:rsidP="00390686"/>
    <w:p w14:paraId="1CA472F3" w14:textId="77777777" w:rsidR="00390686" w:rsidRDefault="00390686" w:rsidP="00390686">
      <w:r>
        <w:t>The owner/registrar information for this application is: D. Michael Young, Roche Diagnostics Operations, 9115 Hague Road, Indianapolis IN 46250.</w:t>
      </w:r>
    </w:p>
    <w:p w14:paraId="6BDA99CF" w14:textId="77777777" w:rsidR="00390686" w:rsidRDefault="00390686" w:rsidP="00390686"/>
    <w:p w14:paraId="3C4B899E" w14:textId="77777777" w:rsidR="00390686" w:rsidRDefault="00390686" w:rsidP="00390686">
      <w:r>
        <w:t>Keywords for this news article include: Trademarks, Roche Diagnostics Operations.</w:t>
      </w:r>
    </w:p>
    <w:p w14:paraId="38EB5022" w14:textId="77777777" w:rsidR="00390686" w:rsidRDefault="00390686" w:rsidP="00390686"/>
    <w:p w14:paraId="152DBF47" w14:textId="7AE5D6AF" w:rsidR="00390686" w:rsidRDefault="00390686" w:rsidP="00390686">
      <w:r>
        <w:t xml:space="preserve">Our reports deliver fact-based news of research and discoveries from around the world. Copyright 2015, </w:t>
      </w:r>
      <w:proofErr w:type="spellStart"/>
      <w:r>
        <w:t>NewsRx</w:t>
      </w:r>
      <w:proofErr w:type="spellEnd"/>
      <w:r>
        <w:t xml:space="preserve"> LLC</w:t>
      </w:r>
    </w:p>
    <w:p w14:paraId="5E69EC9C" w14:textId="20A71263" w:rsidR="00390686" w:rsidRDefault="00390686" w:rsidP="00390686"/>
    <w:p w14:paraId="44792127" w14:textId="3345EAC2" w:rsidR="00390686" w:rsidRPr="00390686" w:rsidRDefault="00390686" w:rsidP="00390686">
      <w:pPr>
        <w:rPr>
          <w:b/>
        </w:rPr>
      </w:pPr>
      <w:r w:rsidRPr="00390686">
        <w:rPr>
          <w:b/>
        </w:rPr>
        <w:t>Combination:</w:t>
      </w:r>
    </w:p>
    <w:p w14:paraId="5C4B4466" w14:textId="77777777" w:rsidR="0014671F" w:rsidRPr="0014671F" w:rsidRDefault="00390686" w:rsidP="00390686">
      <w:pPr>
        <w:rPr>
          <w:u w:val="single"/>
        </w:rPr>
      </w:pPr>
      <w:r w:rsidRPr="0014671F">
        <w:rPr>
          <w:u w:val="single"/>
        </w:rPr>
        <w:t xml:space="preserve">TG Therapeutics Announces Special Protocol Assessment (SPA) Agreement </w:t>
      </w:r>
      <w:proofErr w:type="gramStart"/>
      <w:r w:rsidRPr="0014671F">
        <w:rPr>
          <w:u w:val="single"/>
        </w:rPr>
        <w:t>With</w:t>
      </w:r>
      <w:proofErr w:type="gramEnd"/>
      <w:r w:rsidRPr="0014671F">
        <w:rPr>
          <w:u w:val="single"/>
        </w:rPr>
        <w:t xml:space="preserve"> the FDA for the First Phase 3 Clinical Trial of Its Proprietary Combination Regimen of TG-1101 (</w:t>
      </w:r>
      <w:proofErr w:type="spellStart"/>
      <w:r w:rsidRPr="0014671F">
        <w:rPr>
          <w:u w:val="single"/>
        </w:rPr>
        <w:t>ublituximab</w:t>
      </w:r>
      <w:proofErr w:type="spellEnd"/>
      <w:r w:rsidRPr="0014671F">
        <w:rPr>
          <w:u w:val="single"/>
        </w:rPr>
        <w:t xml:space="preserve">) in Combination With TGR-1202 for Patients With Chronic Lymphocytic </w:t>
      </w:r>
      <w:proofErr w:type="spellStart"/>
      <w:r w:rsidRPr="0014671F">
        <w:rPr>
          <w:u w:val="single"/>
        </w:rPr>
        <w:t>Leuk</w:t>
      </w:r>
      <w:proofErr w:type="spellEnd"/>
    </w:p>
    <w:p w14:paraId="669D36E7" w14:textId="77777777" w:rsidR="0014671F" w:rsidRDefault="0014671F" w:rsidP="00390686"/>
    <w:p w14:paraId="5A75567B" w14:textId="4E8BDCAA" w:rsidR="00390686" w:rsidRDefault="00390686" w:rsidP="00390686">
      <w:r>
        <w:t xml:space="preserve">Full details of the Phase 3 clinical trial, called the UNITY-CLL trial, will be released at the launch of the study. The general study design is a randomized controlled clinical trial that includes two key objectives: first, to demonstrate contribution of each agent in the TG-1101 + TGR-1202 regimen (the combination sometimes referred to as "1303"), and second, to demonstrate superiority in Progression Free Survival (PFS) over the standard of care to support the submission for full approval of the combination. The study will randomize patients into four treatment arms: TG-1101 + TGR-1202, TG-1101 alone, TGR-1202 alone, and an active control arm of </w:t>
      </w:r>
      <w:proofErr w:type="spellStart"/>
      <w:r>
        <w:t>obinutuzumab</w:t>
      </w:r>
      <w:proofErr w:type="spellEnd"/>
      <w:r>
        <w:t xml:space="preserve"> + chlorambucil. An early interim analysis will assess contribution of each single agent in the TG-1101 + TGR-1202 combination regimen, which, if successful, will allow early termination of both single agent arms. A second interim analysis will be conducted following full enrollment into the study, which, if positive, the Company plans to utilize for </w:t>
      </w:r>
      <w:r>
        <w:lastRenderedPageBreak/>
        <w:t>accelerated approval. Assuming early termination of the TG-1101 and TGR-1202 single agent arms, the study will enroll approximately 450 patients.</w:t>
      </w:r>
    </w:p>
    <w:p w14:paraId="62839774" w14:textId="77777777" w:rsidR="00390686" w:rsidRDefault="00390686" w:rsidP="00390686"/>
    <w:p w14:paraId="6D56371F" w14:textId="77777777" w:rsidR="00390686" w:rsidRDefault="00390686" w:rsidP="00390686">
      <w:r>
        <w:t xml:space="preserve">Dr. John Gribben, Professor of Medicine and the Gordon Hamilton Fairley Chair of Medical Oncology at St. Bartholomew's Hospital, </w:t>
      </w:r>
      <w:proofErr w:type="spellStart"/>
      <w:r>
        <w:t>Barts</w:t>
      </w:r>
      <w:proofErr w:type="spellEnd"/>
      <w:r>
        <w:t xml:space="preserve"> Cancer Institute in London, UK, will lead the UNITY-CLL Phase 3 as Study Chair. Dr. Gribben commented, "The recent introduction of novel targeted agents has already dramatically improved the standard of care for patients with relapsed or refractory CLL, and we have seen even greater activity when these agents are used in combination. Both </w:t>
      </w:r>
      <w:proofErr w:type="spellStart"/>
      <w:r>
        <w:t>ublituximab</w:t>
      </w:r>
      <w:proofErr w:type="spellEnd"/>
      <w:r>
        <w:t xml:space="preserve"> and TGR-1202 have demonstrated unique activity and tolerability as single agents, and in combination together. We are excited to lead this important and innovative trial, which has the potential to bring greater advances to patients in both the front-line and relapsed/refractory CLL setting."</w:t>
      </w:r>
    </w:p>
    <w:p w14:paraId="1F8D9560" w14:textId="77777777" w:rsidR="00390686" w:rsidRDefault="00390686" w:rsidP="00390686"/>
    <w:p w14:paraId="15A85A1F" w14:textId="77777777" w:rsidR="00390686" w:rsidRDefault="00390686" w:rsidP="00390686">
      <w:r>
        <w:t>Michael S. Weiss, Executive Chairman and Interim Chief Executive Officer of TG Therapeutics, stated, "Our number one goal has always been to accelerate the development of novel non-chemotherapy-based combination treatments for patients with B-cell malignancies. The UNITY-CLL study and the related SPA marks a major milestone for the Company and, if successful, could lead to a very broad label in the treatment of CLL, providing patients and physicians a new treatment option, and the Company a platform to build additional proprietary combinations in our continued effort to drive towards a cure. Our path to achieving this SPA, which we believe is the first for two novel investigational agents in the oncology division, was the result of a true collaboration with the FDA, for which we would like to recognize and thank the agency for its invaluable guidance throughout this process." Mr. Weiss continued, "Our clinical team has been hard at work preparing for the launch of this study, and we look forward to enrolling our first patients as soon as possible. Lastly, we are thrilled to have Dr. Gribben, a world-renowned authority in CLL, lead this important international study and share in his excitement in bringing our novel, non-chemotherapy combination regimen to patients in need."</w:t>
      </w:r>
    </w:p>
    <w:p w14:paraId="76960D5B" w14:textId="77777777" w:rsidR="00390686" w:rsidRDefault="00390686" w:rsidP="00390686"/>
    <w:p w14:paraId="758B61CD" w14:textId="77777777" w:rsidR="00390686" w:rsidRDefault="00390686" w:rsidP="00390686">
      <w:r>
        <w:t>ABOUT TG THERAPEUTICS, INC.</w:t>
      </w:r>
    </w:p>
    <w:p w14:paraId="7F33FE83" w14:textId="77777777" w:rsidR="00390686" w:rsidRDefault="00390686" w:rsidP="00390686"/>
    <w:p w14:paraId="08B7F056" w14:textId="77777777" w:rsidR="00390686" w:rsidRDefault="00390686" w:rsidP="00390686">
      <w:r>
        <w:t>TG Therapeutics is a biopharmaceutical company focused on the acquisition, development and commercialization of novel treatments for B-cell malignancies and autoimmune diseases. Currently, the Company is developing two therapies targeting hematological malignancies. TG-1101 (</w:t>
      </w:r>
      <w:proofErr w:type="spellStart"/>
      <w:r>
        <w:t>ublituximab</w:t>
      </w:r>
      <w:proofErr w:type="spellEnd"/>
      <w:r>
        <w:t xml:space="preserve">) is a novel, glycoengineered monoclonal antibody that targets a specific and unique epitope on the CD20 antigen found on mature B-lymphocytes. TG Therapeutics is also developing TGR-1202, an orally available PI3K delta inhibitor. The delta isoform of PI3K is strongly expressed in cells of hematopoietic origin and is believed to be important in the proliferation and survival of </w:t>
      </w:r>
      <w:proofErr w:type="spellStart"/>
      <w:proofErr w:type="gramStart"/>
      <w:r>
        <w:t>B?lymphocytes</w:t>
      </w:r>
      <w:proofErr w:type="spellEnd"/>
      <w:proofErr w:type="gramEnd"/>
      <w:r>
        <w:t>. Both TG-1101 and TGR-1202 are in clinical development for patients with hematologic malignancies. The Company also has pre-clinical programs to develop IRAK4 inhibitors, and anti-PD-L1 and anti-GITR antibodies. TG Therapeutics is headquartered in New York City.</w:t>
      </w:r>
    </w:p>
    <w:p w14:paraId="138BD9C1" w14:textId="77777777" w:rsidR="00390686" w:rsidRDefault="00390686" w:rsidP="00390686"/>
    <w:p w14:paraId="772D71AA" w14:textId="77777777" w:rsidR="00390686" w:rsidRDefault="00390686" w:rsidP="00390686">
      <w:r>
        <w:t>About Special Protocol Assessments</w:t>
      </w:r>
    </w:p>
    <w:p w14:paraId="256E7B93" w14:textId="77777777" w:rsidR="00390686" w:rsidRDefault="00390686" w:rsidP="00390686"/>
    <w:p w14:paraId="1A8770C6" w14:textId="77777777" w:rsidR="00390686" w:rsidRDefault="00390686" w:rsidP="00390686">
      <w:r>
        <w:lastRenderedPageBreak/>
        <w:t>The Special Protocol Assessment (SPA) process is a procedure by which the FDA provides official evaluation and written guidance on the design and size of proposed protocols that are intended to form the basis for a new drug application.</w:t>
      </w:r>
    </w:p>
    <w:p w14:paraId="58FE2283" w14:textId="77777777" w:rsidR="00390686" w:rsidRDefault="00390686" w:rsidP="00390686"/>
    <w:p w14:paraId="287ED97A" w14:textId="77777777" w:rsidR="00390686" w:rsidRDefault="00390686" w:rsidP="00390686">
      <w:r>
        <w:t>Final marketing approval depends on the results of efficacy, the adverse event profile and an evaluation of the benefit/risk of treatment demonstrated in the Phase 3 clinical program. The SPA agreement may only be changed through a written agreement between the sponsor and the FDA, or if the FDA becomes aware of a substantial scientific issue essential to product efficacy or safety. For more information on Special Protocol Assessment, please visit: http://www.fda.gov/downloads/Drugs/GuidanceComplianceRegulatoryInformation/Guidances/ucm080571.pdf.</w:t>
      </w:r>
    </w:p>
    <w:p w14:paraId="2569E7A7" w14:textId="77777777" w:rsidR="00390686" w:rsidRDefault="00390686" w:rsidP="00390686"/>
    <w:p w14:paraId="6AE8AC56" w14:textId="77777777" w:rsidR="00390686" w:rsidRDefault="00390686" w:rsidP="00390686">
      <w:r>
        <w:t>Cautionary Statement</w:t>
      </w:r>
    </w:p>
    <w:p w14:paraId="7B2841B2" w14:textId="77777777" w:rsidR="00390686" w:rsidRDefault="00390686" w:rsidP="00390686"/>
    <w:p w14:paraId="526D3D94" w14:textId="77777777" w:rsidR="00390686" w:rsidRDefault="00390686" w:rsidP="00390686">
      <w:r>
        <w:t>Some of the statements included in this press release, particularly those with respect to anticipating future clinical trials, the timing of commencing or completing such trials and business prospects for TG-1101, TGR-1202, the IRAK4 inhibitor program, and the anti-PD-L1 and anti-GITR antibodies may be forward-looking statements that involve a number of risks and uncertainties. For those statements, we claim the protection of the safe harbor for forward-looking statements contained in the Private Securities Litigation Reform Act of 1995. Among the factors that could cause our actual results to differ materially are the following: our ability to successfully and cost-effectively complete pre-clinical and clinical trials for TG-1101, TGR-1202, the IRAK4 inhibitor program and the anti-PD-L1 and anti-GITR antibodies; the risk that early pre-clinical and clinical results that supported our decision to move forward with TG-1101, TGR-1202, the IRAK4 inhibitor program and the anti-PD-L1 and anti-GITR antibodies will not be reproduced in additional patients or in future studies; the risk that trends observed which underlie certain assumptions of future performance of TGR-1202 will not continue, the risk that TGR-1202 will not produce satisfactory safety and efficacy results to warrant further development following the completion of the current Phase 1 study; the risk that the data (both safety and efficacy) from future clinical trials will not coincide with the data produced from prior pre-clinical and clinical trials; the risk that trials will take longer to enroll than expected; our ability to achieve the milestones we project over the next year; our ability to manage our cash in line with our projections, and other risk factors identified from time to time in our reports filed with the Securities and Exchange Commission. Any forward-looking statements set forth in this press release speak only as of the date of this press release. We do not undertake to update any of these forward-looking statements to reflect events or circumstances that occur after the date hereof. This press release and prior releases are available at www.tgtherapeutics.com. The information found on our website is not incorporated by reference into this press release and is included for reference purposes only.</w:t>
      </w:r>
    </w:p>
    <w:p w14:paraId="43E0309B" w14:textId="77777777" w:rsidR="00390686" w:rsidRDefault="00390686" w:rsidP="00390686"/>
    <w:p w14:paraId="0AB57BFC" w14:textId="77777777" w:rsidR="00390686" w:rsidRDefault="00390686" w:rsidP="00390686">
      <w:r>
        <w:t>TGTX - G</w:t>
      </w:r>
    </w:p>
    <w:p w14:paraId="6F622592" w14:textId="77777777" w:rsidR="00390686" w:rsidRDefault="00390686" w:rsidP="00390686"/>
    <w:p w14:paraId="234846A1" w14:textId="77777777" w:rsidR="00390686" w:rsidRDefault="00390686" w:rsidP="00390686">
      <w:r>
        <w:t>Jenna Bosco</w:t>
      </w:r>
    </w:p>
    <w:p w14:paraId="26CA5A3E" w14:textId="77777777" w:rsidR="00390686" w:rsidRDefault="00390686" w:rsidP="00390686"/>
    <w:p w14:paraId="3BF4C880" w14:textId="77777777" w:rsidR="00390686" w:rsidRDefault="00390686" w:rsidP="00390686">
      <w:r>
        <w:t>Director- Investor Relations</w:t>
      </w:r>
    </w:p>
    <w:p w14:paraId="38BCB762" w14:textId="77777777" w:rsidR="00390686" w:rsidRDefault="00390686" w:rsidP="00390686"/>
    <w:p w14:paraId="3AD3FF1F" w14:textId="77777777" w:rsidR="00390686" w:rsidRDefault="00390686" w:rsidP="00390686">
      <w:r>
        <w:lastRenderedPageBreak/>
        <w:t>TG Therapeutics, Inc.</w:t>
      </w:r>
    </w:p>
    <w:p w14:paraId="71EF1DE7" w14:textId="77777777" w:rsidR="00390686" w:rsidRDefault="00390686" w:rsidP="00390686"/>
    <w:p w14:paraId="7D5B185B" w14:textId="77777777" w:rsidR="00390686" w:rsidRDefault="00390686" w:rsidP="00390686">
      <w:r>
        <w:t>Telephone: 212.554.4351</w:t>
      </w:r>
    </w:p>
    <w:p w14:paraId="2AC25B90" w14:textId="77777777" w:rsidR="00390686" w:rsidRDefault="00390686" w:rsidP="00390686"/>
    <w:p w14:paraId="7D3F6A91" w14:textId="77777777" w:rsidR="00390686" w:rsidRDefault="00390686" w:rsidP="00390686">
      <w:r>
        <w:t>Email:</w:t>
      </w:r>
    </w:p>
    <w:p w14:paraId="04E832EB" w14:textId="77777777" w:rsidR="00390686" w:rsidRDefault="00390686" w:rsidP="00390686"/>
    <w:p w14:paraId="1C4BF463" w14:textId="5AF606C2" w:rsidR="00390686" w:rsidRDefault="00390686" w:rsidP="00390686">
      <w:r>
        <w:t xml:space="preserve">For the original version on </w:t>
      </w:r>
      <w:proofErr w:type="spellStart"/>
      <w:r>
        <w:t>GlobeNewswire</w:t>
      </w:r>
      <w:proofErr w:type="spellEnd"/>
      <w:r>
        <w:t xml:space="preserve"> visit: http://globenewswire.com/news-release/2015/09/17/768962/10149718/en/TG-Therapeutics-Announces-Special-Protocol-Assessment-SPA-Agreement-With-the-FDA-for-the-First-Phase-3-Clinical-Trial-of-Its-Proprietary-Combination-Regimen-of-TG-1101-ublituximab-.html</w:t>
      </w:r>
    </w:p>
    <w:sectPr w:rsidR="00390686" w:rsidSect="005A4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58"/>
    <w:rsid w:val="0014671F"/>
    <w:rsid w:val="001B1C22"/>
    <w:rsid w:val="00337258"/>
    <w:rsid w:val="00371B18"/>
    <w:rsid w:val="00390686"/>
    <w:rsid w:val="005A4ECB"/>
    <w:rsid w:val="0074745F"/>
    <w:rsid w:val="00916C9D"/>
    <w:rsid w:val="00B05453"/>
    <w:rsid w:val="00BF4D86"/>
    <w:rsid w:val="00CE715D"/>
    <w:rsid w:val="00EF2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00F5E5"/>
  <w15:chartTrackingRefBased/>
  <w15:docId w15:val="{80F78B41-165A-0C4A-92CA-B1FB91A09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226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7258"/>
    <w:rPr>
      <w:color w:val="0563C1" w:themeColor="hyperlink"/>
      <w:u w:val="single"/>
    </w:rPr>
  </w:style>
  <w:style w:type="character" w:styleId="UnresolvedMention">
    <w:name w:val="Unresolved Mention"/>
    <w:basedOn w:val="DefaultParagraphFont"/>
    <w:uiPriority w:val="99"/>
    <w:semiHidden/>
    <w:unhideWhenUsed/>
    <w:rsid w:val="00337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650291">
      <w:bodyDiv w:val="1"/>
      <w:marLeft w:val="0"/>
      <w:marRight w:val="0"/>
      <w:marTop w:val="0"/>
      <w:marBottom w:val="0"/>
      <w:divBdr>
        <w:top w:val="none" w:sz="0" w:space="0" w:color="auto"/>
        <w:left w:val="none" w:sz="0" w:space="0" w:color="auto"/>
        <w:bottom w:val="none" w:sz="0" w:space="0" w:color="auto"/>
        <w:right w:val="none" w:sz="0" w:space="0" w:color="auto"/>
      </w:divBdr>
    </w:div>
    <w:div w:id="1437748071">
      <w:bodyDiv w:val="1"/>
      <w:marLeft w:val="0"/>
      <w:marRight w:val="0"/>
      <w:marTop w:val="0"/>
      <w:marBottom w:val="0"/>
      <w:divBdr>
        <w:top w:val="none" w:sz="0" w:space="0" w:color="auto"/>
        <w:left w:val="none" w:sz="0" w:space="0" w:color="auto"/>
        <w:bottom w:val="none" w:sz="0" w:space="0" w:color="auto"/>
        <w:right w:val="none" w:sz="0" w:space="0" w:color="auto"/>
      </w:divBdr>
    </w:div>
    <w:div w:id="1910067391">
      <w:bodyDiv w:val="1"/>
      <w:marLeft w:val="0"/>
      <w:marRight w:val="0"/>
      <w:marTop w:val="0"/>
      <w:marBottom w:val="0"/>
      <w:divBdr>
        <w:top w:val="none" w:sz="0" w:space="0" w:color="auto"/>
        <w:left w:val="none" w:sz="0" w:space="0" w:color="auto"/>
        <w:bottom w:val="none" w:sz="0" w:space="0" w:color="auto"/>
        <w:right w:val="none" w:sz="0" w:space="0" w:color="auto"/>
      </w:divBdr>
    </w:div>
    <w:div w:id="192337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biospace.com"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B8E55E9-B24C-43D0-86F0-291C6AB54D2D}"/>
</file>

<file path=customXml/itemProps2.xml><?xml version="1.0" encoding="utf-8"?>
<ds:datastoreItem xmlns:ds="http://schemas.openxmlformats.org/officeDocument/2006/customXml" ds:itemID="{688198BE-E4DE-43CF-A2F8-9C299DBBDA47}"/>
</file>

<file path=customXml/itemProps3.xml><?xml version="1.0" encoding="utf-8"?>
<ds:datastoreItem xmlns:ds="http://schemas.openxmlformats.org/officeDocument/2006/customXml" ds:itemID="{44905A8D-369F-4E77-B44D-0F22F2AF4877}"/>
</file>

<file path=docProps/app.xml><?xml version="1.0" encoding="utf-8"?>
<Properties xmlns="http://schemas.openxmlformats.org/officeDocument/2006/extended-properties" xmlns:vt="http://schemas.openxmlformats.org/officeDocument/2006/docPropsVTypes">
  <Template>Normal.dotm</Template>
  <TotalTime>11</TotalTime>
  <Pages>9</Pages>
  <Words>2965</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cp:keywords/>
  <dc:description/>
  <cp:lastModifiedBy>Gizem Korkmaz</cp:lastModifiedBy>
  <cp:revision>5</cp:revision>
  <dcterms:created xsi:type="dcterms:W3CDTF">2019-07-31T14:30:00Z</dcterms:created>
  <dcterms:modified xsi:type="dcterms:W3CDTF">2019-08-06T17:29:00Z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