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953799" w14:textId="5B8F0BFD" w:rsidR="0A781DBB" w:rsidRDefault="0A781DBB" w:rsidP="0A781DBB">
      <w:pPr>
        <w:rPr>
          <w:rFonts w:ascii="Cambria Math" w:eastAsia="Cambria Math" w:hAnsi="Cambria Math" w:cs="Cambria Math"/>
          <w:color w:val="000000" w:themeColor="text1"/>
          <w:sz w:val="24"/>
          <w:szCs w:val="24"/>
        </w:rPr>
      </w:pPr>
      <w:bookmarkStart w:id="0" w:name="_GoBack"/>
      <w:bookmarkEnd w:id="0"/>
      <w:r w:rsidRPr="0A781DBB">
        <w:rPr>
          <w:rFonts w:ascii="Cambria Math" w:eastAsia="Cambria Math" w:hAnsi="Cambria Math" w:cs="Cambria Math"/>
          <w:color w:val="000000" w:themeColor="text1"/>
          <w:sz w:val="24"/>
          <w:szCs w:val="24"/>
        </w:rPr>
        <w:t>Problem Statement:</w:t>
      </w:r>
    </w:p>
    <w:p w14:paraId="5E87E31F" w14:textId="2FE150C1" w:rsidR="0A781DBB" w:rsidRDefault="0A781DBB" w:rsidP="0A781DBB">
      <w:pPr>
        <w:rPr>
          <w:rFonts w:ascii="Cambria Math" w:eastAsia="Cambria Math" w:hAnsi="Cambria Math" w:cs="Cambria Math"/>
          <w:color w:val="000000" w:themeColor="text1"/>
          <w:sz w:val="24"/>
          <w:szCs w:val="24"/>
        </w:rPr>
      </w:pPr>
      <w:r w:rsidRPr="0A781DBB">
        <w:rPr>
          <w:rFonts w:ascii="Cambria Math" w:eastAsia="Cambria Math" w:hAnsi="Cambria Math" w:cs="Cambria Math"/>
          <w:color w:val="000000" w:themeColor="text1"/>
          <w:sz w:val="24"/>
          <w:szCs w:val="24"/>
        </w:rPr>
        <w:t>Due to a lack of research in skilled technical worker pathways, there are challenges for policy makers and labor market participants in understanding labor market dynamics.</w:t>
      </w:r>
    </w:p>
    <w:p w14:paraId="592FEFAE" w14:textId="08127076" w:rsidR="0A781DBB" w:rsidRDefault="0A781DBB" w:rsidP="0A781DBB">
      <w:pPr>
        <w:rPr>
          <w:rFonts w:ascii="Cambria Math" w:eastAsia="Cambria Math" w:hAnsi="Cambria Math" w:cs="Cambria Math"/>
          <w:color w:val="000000" w:themeColor="text1"/>
          <w:sz w:val="24"/>
          <w:szCs w:val="24"/>
        </w:rPr>
      </w:pPr>
      <w:r w:rsidRPr="0A781DBB">
        <w:rPr>
          <w:rFonts w:ascii="Cambria Math" w:eastAsia="Cambria Math" w:hAnsi="Cambria Math" w:cs="Cambria Math"/>
          <w:color w:val="000000" w:themeColor="text1"/>
          <w:sz w:val="24"/>
          <w:szCs w:val="24"/>
        </w:rPr>
        <w:t>A "</w:t>
      </w:r>
      <w:r w:rsidRPr="0A781DBB">
        <w:rPr>
          <w:rFonts w:ascii="Cambria Math" w:eastAsia="Cambria Math" w:hAnsi="Cambria Math" w:cs="Cambria Math"/>
          <w:b/>
          <w:bCs/>
          <w:color w:val="000000" w:themeColor="text1"/>
          <w:sz w:val="24"/>
          <w:szCs w:val="24"/>
        </w:rPr>
        <w:t>soft skill</w:t>
      </w:r>
      <w:r w:rsidRPr="0A781DBB">
        <w:rPr>
          <w:rFonts w:ascii="Cambria Math" w:eastAsia="Cambria Math" w:hAnsi="Cambria Math" w:cs="Cambria Math"/>
          <w:color w:val="000000" w:themeColor="text1"/>
          <w:sz w:val="24"/>
          <w:szCs w:val="24"/>
        </w:rPr>
        <w:t>" is either personality-based, primarily used to interact with coworkers, or a general way of approaching a problem. Oral communication, teamwork, and creativity are soft skills.</w:t>
      </w:r>
    </w:p>
    <w:p w14:paraId="3FC3EAD1" w14:textId="6980FBF0" w:rsidR="0A781DBB" w:rsidRDefault="0A781DBB" w:rsidP="0A781DBB">
      <w:pPr>
        <w:rPr>
          <w:rFonts w:ascii="Cambria Math" w:eastAsia="Cambria Math" w:hAnsi="Cambria Math" w:cs="Cambria Math"/>
          <w:color w:val="000000" w:themeColor="text1"/>
          <w:sz w:val="24"/>
          <w:szCs w:val="24"/>
        </w:rPr>
      </w:pPr>
      <w:r w:rsidRPr="0A781DBB">
        <w:rPr>
          <w:rFonts w:ascii="Cambria Math" w:eastAsia="Cambria Math" w:hAnsi="Cambria Math" w:cs="Cambria Math"/>
          <w:color w:val="000000" w:themeColor="text1"/>
          <w:sz w:val="24"/>
          <w:szCs w:val="24"/>
        </w:rPr>
        <w:t>A "</w:t>
      </w:r>
      <w:r w:rsidRPr="0A781DBB">
        <w:rPr>
          <w:rFonts w:ascii="Cambria Math" w:eastAsia="Cambria Math" w:hAnsi="Cambria Math" w:cs="Cambria Math"/>
          <w:b/>
          <w:bCs/>
          <w:color w:val="000000" w:themeColor="text1"/>
          <w:sz w:val="24"/>
          <w:szCs w:val="24"/>
        </w:rPr>
        <w:t>hard skill</w:t>
      </w:r>
      <w:r w:rsidRPr="0A781DBB">
        <w:rPr>
          <w:rFonts w:ascii="Cambria Math" w:eastAsia="Cambria Math" w:hAnsi="Cambria Math" w:cs="Cambria Math"/>
          <w:color w:val="000000" w:themeColor="text1"/>
          <w:sz w:val="24"/>
          <w:szCs w:val="24"/>
        </w:rPr>
        <w:t>" requires domain-specific knowledge or can be easily measured and evaluated. Typing, Microsoft Excel, and financial accounting are hard skills.</w:t>
      </w:r>
    </w:p>
    <w:p w14:paraId="63051BD4" w14:textId="1A775CAB" w:rsidR="0A781DBB" w:rsidRDefault="0A781DBB" w:rsidP="0A781DBB">
      <w:pPr>
        <w:rPr>
          <w:rFonts w:ascii="Cambria Math" w:eastAsia="Cambria Math" w:hAnsi="Cambria Math" w:cs="Cambria Math"/>
          <w:color w:val="000000" w:themeColor="text1"/>
          <w:sz w:val="24"/>
          <w:szCs w:val="24"/>
        </w:rPr>
      </w:pPr>
      <w:r w:rsidRPr="0A781DBB">
        <w:rPr>
          <w:rFonts w:ascii="Cambria Math" w:eastAsia="Cambria Math" w:hAnsi="Cambria Math" w:cs="Cambria Math"/>
          <w:color w:val="000000" w:themeColor="text1"/>
          <w:sz w:val="24"/>
          <w:szCs w:val="24"/>
          <w:highlight w:val="yellow"/>
        </w:rPr>
        <w:t>Five</w:t>
      </w:r>
      <w:r w:rsidRPr="0A781DBB">
        <w:rPr>
          <w:rFonts w:ascii="Cambria Math" w:eastAsia="Cambria Math" w:hAnsi="Cambria Math" w:cs="Cambria Math"/>
          <w:color w:val="000000" w:themeColor="text1"/>
          <w:sz w:val="24"/>
          <w:szCs w:val="24"/>
        </w:rPr>
        <w:t xml:space="preserve"> researchers manually sorted skills based on the above definitions. Their results were then aggregated and categorized accordingly. </w:t>
      </w:r>
    </w:p>
    <w:p w14:paraId="2F81594A" w14:textId="19DF3C0F" w:rsidR="0A781DBB" w:rsidRDefault="0A781DBB" w:rsidP="0A781DBB">
      <w:pPr>
        <w:rPr>
          <w:rFonts w:ascii="Cambria Math" w:eastAsia="Cambria Math" w:hAnsi="Cambria Math" w:cs="Cambria Math"/>
          <w:color w:val="000000" w:themeColor="text1"/>
          <w:sz w:val="24"/>
          <w:szCs w:val="24"/>
        </w:rPr>
      </w:pPr>
    </w:p>
    <w:p w14:paraId="3BD99DF8" w14:textId="5883E940" w:rsidR="0A781DBB" w:rsidRDefault="0A781DBB" w:rsidP="0A781DBB">
      <w:pPr>
        <w:rPr>
          <w:rFonts w:ascii="Cambria Math" w:eastAsia="Cambria Math" w:hAnsi="Cambria Math" w:cs="Cambria Math"/>
          <w:color w:val="000000" w:themeColor="text1"/>
          <w:sz w:val="24"/>
          <w:szCs w:val="24"/>
        </w:rPr>
      </w:pPr>
      <w:r w:rsidRPr="0A781DBB">
        <w:rPr>
          <w:rFonts w:ascii="Cambria Math" w:eastAsia="Cambria Math" w:hAnsi="Cambria Math" w:cs="Cambria Math"/>
          <w:color w:val="000000" w:themeColor="text1"/>
          <w:sz w:val="24"/>
          <w:szCs w:val="24"/>
        </w:rPr>
        <w:t>Bachelor’s Degree categorization:</w:t>
      </w:r>
    </w:p>
    <w:p w14:paraId="2E2ED4F5" w14:textId="2CA2EAB2" w:rsidR="0A781DBB" w:rsidRDefault="0A781DBB" w:rsidP="0A781DBB">
      <w:pPr>
        <w:rPr>
          <w:rFonts w:ascii="Cambria Math" w:eastAsia="Cambria Math" w:hAnsi="Cambria Math" w:cs="Cambria Math"/>
          <w:color w:val="000000" w:themeColor="text1"/>
          <w:sz w:val="24"/>
          <w:szCs w:val="24"/>
        </w:rPr>
      </w:pPr>
      <w:r w:rsidRPr="0A781DBB">
        <w:rPr>
          <w:rFonts w:ascii="Cambria Math" w:eastAsia="Cambria Math" w:hAnsi="Cambria Math" w:cs="Cambria Math"/>
          <w:color w:val="000000" w:themeColor="text1"/>
          <w:sz w:val="24"/>
          <w:szCs w:val="24"/>
        </w:rPr>
        <w:t>For our analysis, we were interested in distinguishing between resumes with and without bachelor’s degrees. The resume education data table contains a field, “degree-level,” that provides the number of years of study for each degree (e.g. high school is equivalent to 12). This field was frequently left blank; however, using only the degree-level field, we were able to find the maximum years of study for 68% of the job candidates. To classify a larger portion of the resumes, we performed several exploratory analyses to increase the classification rate.</w:t>
      </w:r>
    </w:p>
    <w:p w14:paraId="67FC8BAC" w14:textId="0C49C8FE" w:rsidR="0A781DBB" w:rsidRDefault="0A781DBB" w:rsidP="0A781DBB">
      <w:pPr>
        <w:rPr>
          <w:rFonts w:ascii="Cambria Math" w:eastAsia="Cambria Math" w:hAnsi="Cambria Math" w:cs="Cambria Math"/>
          <w:color w:val="000000" w:themeColor="text1"/>
          <w:sz w:val="24"/>
          <w:szCs w:val="24"/>
        </w:rPr>
      </w:pPr>
      <w:r w:rsidRPr="0A781DBB">
        <w:rPr>
          <w:rFonts w:ascii="Cambria Math" w:eastAsia="Cambria Math" w:hAnsi="Cambria Math" w:cs="Cambria Math"/>
          <w:color w:val="000000" w:themeColor="text1"/>
          <w:sz w:val="24"/>
          <w:szCs w:val="24"/>
        </w:rPr>
        <w:t>We checked the related fields, “institution name”, “major”, and “degree type”, for information indicative of the degree-level. We used the following criteria to guide our classification.</w:t>
      </w:r>
    </w:p>
    <w:p w14:paraId="0AECBE54" w14:textId="134B3C32" w:rsidR="0A781DBB" w:rsidRDefault="0A781DBB" w:rsidP="0A781DBB">
      <w:pPr>
        <w:pStyle w:val="ListParagraph"/>
        <w:numPr>
          <w:ilvl w:val="1"/>
          <w:numId w:val="2"/>
        </w:numPr>
        <w:rPr>
          <w:color w:val="000000" w:themeColor="text1"/>
          <w:sz w:val="24"/>
          <w:szCs w:val="24"/>
        </w:rPr>
      </w:pPr>
      <w:r w:rsidRPr="0A781DBB">
        <w:rPr>
          <w:rFonts w:ascii="Cambria Math" w:eastAsia="Cambria Math" w:hAnsi="Cambria Math" w:cs="Cambria Math"/>
          <w:color w:val="000000" w:themeColor="text1"/>
          <w:sz w:val="24"/>
          <w:szCs w:val="24"/>
        </w:rPr>
        <w:t>Virginia’s Community Colleges only grant associates degrees (</w:t>
      </w:r>
      <w:hyperlink r:id="rId5">
        <w:r w:rsidRPr="0A781DBB">
          <w:rPr>
            <w:rStyle w:val="Hyperlink"/>
          </w:rPr>
          <w:t>https://courses.vccs.edu/programs</w:t>
        </w:r>
      </w:hyperlink>
      <w:r w:rsidRPr="0A781DBB">
        <w:rPr>
          <w:rFonts w:ascii="Cambria Math" w:eastAsia="Cambria Math" w:hAnsi="Cambria Math" w:cs="Cambria Math"/>
          <w:color w:val="000000" w:themeColor="text1"/>
          <w:sz w:val="24"/>
          <w:szCs w:val="24"/>
        </w:rPr>
        <w:t>).</w:t>
      </w:r>
    </w:p>
    <w:p w14:paraId="0AECCE2C" w14:textId="6AF67E87" w:rsidR="0A781DBB" w:rsidRDefault="0A781DBB" w:rsidP="0A781DBB">
      <w:pPr>
        <w:pStyle w:val="ListParagraph"/>
        <w:numPr>
          <w:ilvl w:val="1"/>
          <w:numId w:val="2"/>
        </w:numPr>
        <w:rPr>
          <w:color w:val="000000" w:themeColor="text1"/>
          <w:sz w:val="24"/>
          <w:szCs w:val="24"/>
        </w:rPr>
      </w:pPr>
      <w:r w:rsidRPr="0A781DBB">
        <w:rPr>
          <w:rFonts w:ascii="Cambria Math" w:eastAsia="Cambria Math" w:hAnsi="Cambria Math" w:cs="Cambria Math"/>
          <w:color w:val="000000" w:themeColor="text1"/>
          <w:sz w:val="24"/>
          <w:szCs w:val="24"/>
        </w:rPr>
        <w:t>Trade schools (including culinary schools, cosmetology colleges, and other vocational trainings) do not grant bachelor’s degrees.</w:t>
      </w:r>
    </w:p>
    <w:p w14:paraId="490C1CBB" w14:textId="6E7177F8" w:rsidR="0A781DBB" w:rsidRDefault="0A781DBB" w:rsidP="0A781DBB">
      <w:pPr>
        <w:pStyle w:val="ListParagraph"/>
        <w:numPr>
          <w:ilvl w:val="1"/>
          <w:numId w:val="2"/>
        </w:numPr>
        <w:rPr>
          <w:color w:val="000000" w:themeColor="text1"/>
          <w:sz w:val="24"/>
          <w:szCs w:val="24"/>
        </w:rPr>
      </w:pPr>
      <w:r w:rsidRPr="0A781DBB">
        <w:rPr>
          <w:rFonts w:ascii="Cambria Math" w:eastAsia="Cambria Math" w:hAnsi="Cambria Math" w:cs="Cambria Math"/>
          <w:color w:val="000000" w:themeColor="text1"/>
          <w:sz w:val="24"/>
          <w:szCs w:val="24"/>
        </w:rPr>
        <w:t>High schools and GED were determined to be non-bachelors.</w:t>
      </w:r>
    </w:p>
    <w:p w14:paraId="054C083A" w14:textId="35017BAD" w:rsidR="0A781DBB" w:rsidRDefault="0A781DBB" w:rsidP="0A781DBB">
      <w:pPr>
        <w:pStyle w:val="ListParagraph"/>
        <w:numPr>
          <w:ilvl w:val="1"/>
          <w:numId w:val="2"/>
        </w:numPr>
        <w:spacing w:after="0"/>
        <w:rPr>
          <w:color w:val="000000" w:themeColor="text1"/>
          <w:sz w:val="24"/>
          <w:szCs w:val="24"/>
        </w:rPr>
      </w:pPr>
      <w:r w:rsidRPr="0A781DBB">
        <w:rPr>
          <w:rFonts w:ascii="Cambria Math" w:eastAsia="Cambria Math" w:hAnsi="Cambria Math" w:cs="Cambria Math"/>
          <w:color w:val="000000" w:themeColor="text1"/>
          <w:sz w:val="24"/>
          <w:szCs w:val="24"/>
        </w:rPr>
        <w:t>Wording that indicated partial college, such as “some college” or “course-work in” were determined to be non-bachelors.</w:t>
      </w:r>
    </w:p>
    <w:p w14:paraId="2755D514" w14:textId="3ED46D18" w:rsidR="0A781DBB" w:rsidRDefault="0A781DBB" w:rsidP="0A781DBB">
      <w:pPr>
        <w:pStyle w:val="ListParagraph"/>
        <w:numPr>
          <w:ilvl w:val="1"/>
          <w:numId w:val="2"/>
        </w:numPr>
        <w:rPr>
          <w:color w:val="000000" w:themeColor="text1"/>
          <w:sz w:val="24"/>
          <w:szCs w:val="24"/>
        </w:rPr>
      </w:pPr>
      <w:r w:rsidRPr="0A781DBB">
        <w:rPr>
          <w:rFonts w:ascii="Cambria Math" w:eastAsia="Cambria Math" w:hAnsi="Cambria Math" w:cs="Cambria Math"/>
          <w:color w:val="000000" w:themeColor="text1"/>
          <w:sz w:val="24"/>
          <w:szCs w:val="24"/>
        </w:rPr>
        <w:t>Other associate degrees were found by searching for variations of the “associates” and acronyms like “AA” and “AAS” in the degree type field.</w:t>
      </w:r>
    </w:p>
    <w:p w14:paraId="0EA2D89E" w14:textId="5E477EC6" w:rsidR="0A781DBB" w:rsidRDefault="0A781DBB" w:rsidP="0A781DBB">
      <w:pPr>
        <w:rPr>
          <w:rFonts w:ascii="Cambria Math" w:eastAsia="Cambria Math" w:hAnsi="Cambria Math" w:cs="Cambria Math"/>
          <w:color w:val="000000" w:themeColor="text1"/>
          <w:sz w:val="24"/>
          <w:szCs w:val="24"/>
        </w:rPr>
      </w:pPr>
      <w:r w:rsidRPr="0A781DBB">
        <w:rPr>
          <w:rFonts w:ascii="Cambria Math" w:eastAsia="Cambria Math" w:hAnsi="Cambria Math" w:cs="Cambria Math"/>
          <w:color w:val="000000" w:themeColor="text1"/>
          <w:sz w:val="24"/>
          <w:szCs w:val="24"/>
        </w:rPr>
        <w:t>By using these search criteria and aggregating our results, we increased our categorization rate by 11%, identifying the maximum education level for 79% of resumes.</w:t>
      </w:r>
    </w:p>
    <w:sectPr w:rsidR="0A781D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573AEA"/>
    <w:multiLevelType w:val="hybridMultilevel"/>
    <w:tmpl w:val="B4EAEF82"/>
    <w:lvl w:ilvl="0" w:tplc="D7CE9170">
      <w:start w:val="1"/>
      <w:numFmt w:val="decimal"/>
      <w:lvlText w:val="%1."/>
      <w:lvlJc w:val="left"/>
      <w:pPr>
        <w:ind w:left="720" w:hanging="360"/>
      </w:pPr>
    </w:lvl>
    <w:lvl w:ilvl="1" w:tplc="F1948072">
      <w:start w:val="1"/>
      <w:numFmt w:val="lowerLetter"/>
      <w:lvlText w:val="%2."/>
      <w:lvlJc w:val="left"/>
      <w:pPr>
        <w:ind w:left="1440" w:hanging="360"/>
      </w:pPr>
    </w:lvl>
    <w:lvl w:ilvl="2" w:tplc="0A2ECEEE">
      <w:start w:val="1"/>
      <w:numFmt w:val="lowerRoman"/>
      <w:lvlText w:val="%3."/>
      <w:lvlJc w:val="right"/>
      <w:pPr>
        <w:ind w:left="2160" w:hanging="180"/>
      </w:pPr>
    </w:lvl>
    <w:lvl w:ilvl="3" w:tplc="29644346">
      <w:start w:val="1"/>
      <w:numFmt w:val="decimal"/>
      <w:lvlText w:val="%4."/>
      <w:lvlJc w:val="left"/>
      <w:pPr>
        <w:ind w:left="2880" w:hanging="360"/>
      </w:pPr>
    </w:lvl>
    <w:lvl w:ilvl="4" w:tplc="66624AD6">
      <w:start w:val="1"/>
      <w:numFmt w:val="lowerLetter"/>
      <w:lvlText w:val="%5."/>
      <w:lvlJc w:val="left"/>
      <w:pPr>
        <w:ind w:left="3600" w:hanging="360"/>
      </w:pPr>
    </w:lvl>
    <w:lvl w:ilvl="5" w:tplc="8034E25E">
      <w:start w:val="1"/>
      <w:numFmt w:val="lowerRoman"/>
      <w:lvlText w:val="%6."/>
      <w:lvlJc w:val="right"/>
      <w:pPr>
        <w:ind w:left="4320" w:hanging="180"/>
      </w:pPr>
    </w:lvl>
    <w:lvl w:ilvl="6" w:tplc="B48035AE">
      <w:start w:val="1"/>
      <w:numFmt w:val="decimal"/>
      <w:lvlText w:val="%7."/>
      <w:lvlJc w:val="left"/>
      <w:pPr>
        <w:ind w:left="5040" w:hanging="360"/>
      </w:pPr>
    </w:lvl>
    <w:lvl w:ilvl="7" w:tplc="DDF22D40">
      <w:start w:val="1"/>
      <w:numFmt w:val="lowerLetter"/>
      <w:lvlText w:val="%8."/>
      <w:lvlJc w:val="left"/>
      <w:pPr>
        <w:ind w:left="5760" w:hanging="360"/>
      </w:pPr>
    </w:lvl>
    <w:lvl w:ilvl="8" w:tplc="784A531C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594531"/>
    <w:multiLevelType w:val="hybridMultilevel"/>
    <w:tmpl w:val="FFFFFFFF"/>
    <w:lvl w:ilvl="0" w:tplc="71565C8E">
      <w:start w:val="1"/>
      <w:numFmt w:val="decimal"/>
      <w:lvlText w:val="%1."/>
      <w:lvlJc w:val="left"/>
      <w:pPr>
        <w:ind w:left="720" w:hanging="360"/>
      </w:pPr>
    </w:lvl>
    <w:lvl w:ilvl="1" w:tplc="3CF87D58">
      <w:start w:val="1"/>
      <w:numFmt w:val="lowerLetter"/>
      <w:lvlText w:val="%2."/>
      <w:lvlJc w:val="left"/>
      <w:pPr>
        <w:ind w:left="1440" w:hanging="360"/>
      </w:pPr>
    </w:lvl>
    <w:lvl w:ilvl="2" w:tplc="32FAE66A">
      <w:start w:val="1"/>
      <w:numFmt w:val="lowerRoman"/>
      <w:lvlText w:val="%3."/>
      <w:lvlJc w:val="right"/>
      <w:pPr>
        <w:ind w:left="2160" w:hanging="180"/>
      </w:pPr>
    </w:lvl>
    <w:lvl w:ilvl="3" w:tplc="2236DC28">
      <w:start w:val="1"/>
      <w:numFmt w:val="decimal"/>
      <w:lvlText w:val="%4."/>
      <w:lvlJc w:val="left"/>
      <w:pPr>
        <w:ind w:left="2880" w:hanging="360"/>
      </w:pPr>
    </w:lvl>
    <w:lvl w:ilvl="4" w:tplc="9A5E8A7C">
      <w:start w:val="1"/>
      <w:numFmt w:val="lowerLetter"/>
      <w:lvlText w:val="%5."/>
      <w:lvlJc w:val="left"/>
      <w:pPr>
        <w:ind w:left="3600" w:hanging="360"/>
      </w:pPr>
    </w:lvl>
    <w:lvl w:ilvl="5" w:tplc="3ECEE8B0">
      <w:start w:val="1"/>
      <w:numFmt w:val="lowerRoman"/>
      <w:lvlText w:val="%6."/>
      <w:lvlJc w:val="right"/>
      <w:pPr>
        <w:ind w:left="4320" w:hanging="180"/>
      </w:pPr>
    </w:lvl>
    <w:lvl w:ilvl="6" w:tplc="6EB44C18">
      <w:start w:val="1"/>
      <w:numFmt w:val="decimal"/>
      <w:lvlText w:val="%7."/>
      <w:lvlJc w:val="left"/>
      <w:pPr>
        <w:ind w:left="5040" w:hanging="360"/>
      </w:pPr>
    </w:lvl>
    <w:lvl w:ilvl="7" w:tplc="86C23722">
      <w:start w:val="1"/>
      <w:numFmt w:val="lowerLetter"/>
      <w:lvlText w:val="%8."/>
      <w:lvlJc w:val="left"/>
      <w:pPr>
        <w:ind w:left="5760" w:hanging="360"/>
      </w:pPr>
    </w:lvl>
    <w:lvl w:ilvl="8" w:tplc="7980C3AA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8D3EA5"/>
    <w:rsid w:val="0073091F"/>
    <w:rsid w:val="009D312B"/>
    <w:rsid w:val="00D03E7F"/>
    <w:rsid w:val="0A781DBB"/>
    <w:rsid w:val="148D3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D3EA5"/>
  <w15:chartTrackingRefBased/>
  <w15:docId w15:val="{22909C2D-C01C-4422-B8D8-C36959F12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ourses.vccs.edu/programs" TargetMode="External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45AE3D1135F4E41AB498540A40487BD" ma:contentTypeVersion="18" ma:contentTypeDescription="Create a new document." ma:contentTypeScope="" ma:versionID="15adbd330118f8d06bc6615d15ac85a9">
  <xsd:schema xmlns:xsd="http://www.w3.org/2001/XMLSchema" xmlns:xs="http://www.w3.org/2001/XMLSchema" xmlns:p="http://schemas.microsoft.com/office/2006/metadata/properties" xmlns:ns2="7a2657dd-b8a5-4c99-8d51-b0b9d254c989" xmlns:ns3="5ba80a41-9917-4a22-8f13-cb051ddce64c" targetNamespace="http://schemas.microsoft.com/office/2006/metadata/properties" ma:root="true" ma:fieldsID="f6a41e235a72bf34fead84cba91ed4b2" ns2:_="" ns3:_="">
    <xsd:import namespace="7a2657dd-b8a5-4c99-8d51-b0b9d254c989"/>
    <xsd:import namespace="5ba80a41-9917-4a22-8f13-cb051ddce6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2657dd-b8a5-4c99-8d51-b0b9d254c98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1d038b50-52dc-447d-ac2e-a29bd036c4b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a80a41-9917-4a22-8f13-cb051ddce64c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ceef030-0fd2-4c4f-af00-feafa4f18198}" ma:internalName="TaxCatchAll" ma:showField="CatchAllData" ma:web="5ba80a41-9917-4a22-8f13-cb051ddce6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a2657dd-b8a5-4c99-8d51-b0b9d254c989">
      <Terms xmlns="http://schemas.microsoft.com/office/infopath/2007/PartnerControls"/>
    </lcf76f155ced4ddcb4097134ff3c332f>
    <TaxCatchAll xmlns="5ba80a41-9917-4a22-8f13-cb051ddce64c" xsi:nil="true"/>
  </documentManagement>
</p:properties>
</file>

<file path=customXml/itemProps1.xml><?xml version="1.0" encoding="utf-8"?>
<ds:datastoreItem xmlns:ds="http://schemas.openxmlformats.org/officeDocument/2006/customXml" ds:itemID="{EBE3D4FC-EEEC-4A63-B03F-94A68D158732}"/>
</file>

<file path=customXml/itemProps2.xml><?xml version="1.0" encoding="utf-8"?>
<ds:datastoreItem xmlns:ds="http://schemas.openxmlformats.org/officeDocument/2006/customXml" ds:itemID="{B421C107-71D6-4E5F-A462-216C98FADCA8}"/>
</file>

<file path=customXml/itemProps3.xml><?xml version="1.0" encoding="utf-8"?>
<ds:datastoreItem xmlns:ds="http://schemas.openxmlformats.org/officeDocument/2006/customXml" ds:itemID="{3AEE37EF-1370-47D6-A985-B288EAAC31A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331</Words>
  <Characters>1893</Characters>
  <Application>Microsoft Office Word</Application>
  <DocSecurity>0</DocSecurity>
  <Lines>15</Lines>
  <Paragraphs>4</Paragraphs>
  <ScaleCrop>false</ScaleCrop>
  <Company/>
  <LinksUpToDate>false</LinksUpToDate>
  <CharactersWithSpaces>2220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McDonald, Sarah (sm9dv)</dc:creator>
  <cp:keywords/>
  <dc:description/>
  <cp:lastModifiedBy>Lancaster, Vicki Ann (val7zv)</cp:lastModifiedBy>
  <cp:revision>2</cp:revision>
  <dcterms:created xsi:type="dcterms:W3CDTF">2019-07-24T11:08:00Z</dcterms:created>
  <dcterms:modified xsi:type="dcterms:W3CDTF">2019-07-24T11:08:00Z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0x010100D45AE3D1135F4E41AB498540A40487BD</vt:lpwstr>
  </property>
</Properties>
</file>