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9E4E2" w14:textId="7BDE287D" w:rsidR="5D6F9F79" w:rsidRDefault="4F979E21" w:rsidP="4F979E21">
      <w:pPr>
        <w:jc w:val="center"/>
        <w:rPr>
          <w:rFonts w:ascii="Helvetica" w:eastAsia="Helvetica" w:hAnsi="Helvetica" w:cs="Helvetica"/>
          <w:b/>
          <w:bCs/>
        </w:rPr>
      </w:pPr>
      <w:r w:rsidRPr="4F979E21">
        <w:rPr>
          <w:rFonts w:ascii="Helvetica" w:eastAsia="Helvetica" w:hAnsi="Helvetica" w:cs="Helvetica"/>
          <w:b/>
          <w:bCs/>
        </w:rPr>
        <w:t>Novelty in the News: Detecting innovation with machine learning</w:t>
      </w:r>
    </w:p>
    <w:p w14:paraId="05807189" w14:textId="18D2481F"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DSPG Team: </w:t>
      </w:r>
      <w:r w:rsidRPr="5D6F9F79">
        <w:rPr>
          <w:rFonts w:ascii="Helvetica" w:eastAsia="Helvetica" w:hAnsi="Helvetica" w:cs="Helvetica"/>
          <w:color w:val="595959" w:themeColor="text1" w:themeTint="A6"/>
        </w:rPr>
        <w:t xml:space="preserve">Quinton Neville (Columbia University), Raghav Sawhney (Virginia Tech) </w:t>
      </w:r>
    </w:p>
    <w:p w14:paraId="14D6322E" w14:textId="607A5C83"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SDAD Team: </w:t>
      </w:r>
      <w:r w:rsidRPr="5D6F9F79">
        <w:rPr>
          <w:rFonts w:ascii="Helvetica" w:eastAsia="Helvetica" w:hAnsi="Helvetica" w:cs="Helvetica"/>
          <w:color w:val="595959" w:themeColor="text1" w:themeTint="A6"/>
        </w:rPr>
        <w:t xml:space="preserve">Devika Nair, Gizem Korkmaz, Neil Alexander </w:t>
      </w:r>
      <w:proofErr w:type="spellStart"/>
      <w:r w:rsidRPr="5D6F9F79">
        <w:rPr>
          <w:rFonts w:ascii="Helvetica" w:eastAsia="Helvetica" w:hAnsi="Helvetica" w:cs="Helvetica"/>
          <w:color w:val="595959" w:themeColor="text1" w:themeTint="A6"/>
        </w:rPr>
        <w:t>Kattampallil</w:t>
      </w:r>
      <w:proofErr w:type="spellEnd"/>
      <w:r w:rsidRPr="5D6F9F79">
        <w:rPr>
          <w:rFonts w:ascii="Helvetica" w:eastAsia="Helvetica" w:hAnsi="Helvetica" w:cs="Helvetica"/>
          <w:color w:val="595959" w:themeColor="text1" w:themeTint="A6"/>
        </w:rPr>
        <w:t xml:space="preserve"> </w:t>
      </w:r>
    </w:p>
    <w:p w14:paraId="319A279E" w14:textId="73BF99BD"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Sponsor:</w:t>
      </w:r>
      <w:r w:rsidRPr="5D6F9F79">
        <w:rPr>
          <w:rFonts w:ascii="Helvetica" w:eastAsia="Helvetica" w:hAnsi="Helvetica" w:cs="Helvetica"/>
          <w:color w:val="595959" w:themeColor="text1" w:themeTint="A6"/>
        </w:rPr>
        <w:t xml:space="preserve"> Gary Anderson, The National Center for Science &amp; Engineering Statistics (NCSES) at the National Science Foundation (NSF)</w:t>
      </w:r>
    </w:p>
    <w:p w14:paraId="15363CE9" w14:textId="5781666C" w:rsidR="5D6F9F79" w:rsidRDefault="5D6F9F79" w:rsidP="67A5672C">
      <w:pPr>
        <w:rPr>
          <w:rFonts w:ascii="Helvetica" w:eastAsia="Helvetica" w:hAnsi="Helvetica" w:cs="Helvetica"/>
        </w:rPr>
      </w:pPr>
    </w:p>
    <w:p w14:paraId="4F97DFE7" w14:textId="7A36E1BE"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Introduction</w:t>
      </w:r>
    </w:p>
    <w:p w14:paraId="2D65987F" w14:textId="64B94153"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Innovation, from peanut butter to electricity, drives a country’s economic growth and is one of the foremost indicators of economic well-being around the globe. The National Center for Science and Engineering statistics (NCSES), a branch of the National Science Foundation (NSF), annually surveys the incidence of US-based innovation through the Business R&amp;D and Innovation Survey (BRDIS). To measure innovation, the NCSES utilizes the </w:t>
      </w:r>
      <w:proofErr w:type="spellStart"/>
      <w:r w:rsidRPr="4F979E21">
        <w:rPr>
          <w:rFonts w:ascii="Helvetica" w:eastAsia="Helvetica" w:hAnsi="Helvetica" w:cs="Helvetica"/>
          <w:color w:val="000000" w:themeColor="text1"/>
        </w:rPr>
        <w:t>Organisation</w:t>
      </w:r>
      <w:proofErr w:type="spellEnd"/>
      <w:r w:rsidRPr="4F979E21">
        <w:rPr>
          <w:rFonts w:ascii="Helvetica" w:eastAsia="Helvetica" w:hAnsi="Helvetica" w:cs="Helvetica"/>
          <w:color w:val="000000" w:themeColor="text1"/>
        </w:rPr>
        <w:t xml:space="preserve"> for Economic Co-operation and Development’s Oslo Manual’s definition of innovation: the product must be new or significantly improved </w:t>
      </w:r>
      <w:r w:rsidRPr="4F979E21">
        <w:rPr>
          <w:rFonts w:ascii="Helvetica" w:eastAsia="Helvetica" w:hAnsi="Helvetica" w:cs="Helvetica"/>
          <w:b/>
          <w:bCs/>
          <w:color w:val="000000" w:themeColor="text1"/>
        </w:rPr>
        <w:t xml:space="preserve">and </w:t>
      </w:r>
      <w:r w:rsidRPr="4F979E21">
        <w:rPr>
          <w:rFonts w:ascii="Helvetica" w:eastAsia="Helvetica" w:hAnsi="Helvetica" w:cs="Helvetica"/>
          <w:color w:val="000000" w:themeColor="text1"/>
        </w:rPr>
        <w:t xml:space="preserve">the product be currently available on the market. While BRDIS broadly estimates how many companies produced an innovation each year, specific nuances are not well understood and deeper insight into quantitative and qualitative characteristics is needed. How many products are associated with a company’s innovation and what are these products? Are the products really novel or did a company simply replicate an existing product? </w:t>
      </w:r>
    </w:p>
    <w:p w14:paraId="564C7232" w14:textId="1FF0F500" w:rsidR="5D6F9F79" w:rsidRDefault="006111F7" w:rsidP="4F979E21">
      <w:pPr>
        <w:ind w:firstLine="720"/>
        <w:rPr>
          <w:rFonts w:ascii="Helvetica" w:eastAsia="Helvetica" w:hAnsi="Helvetica" w:cs="Helvetica"/>
        </w:rPr>
      </w:pPr>
      <w:r>
        <w:rPr>
          <w:rFonts w:ascii="Helvetica" w:eastAsia="Helvetica" w:hAnsi="Helvetica" w:cs="Helvetica"/>
          <w:color w:val="000000" w:themeColor="text1"/>
        </w:rPr>
        <w:t>This research aims to develop methods</w:t>
      </w:r>
      <w:r w:rsidR="4F979E21" w:rsidRPr="4F979E21">
        <w:rPr>
          <w:rFonts w:ascii="Helvetica" w:eastAsia="Helvetica" w:hAnsi="Helvetica" w:cs="Helvetica"/>
        </w:rPr>
        <w:t xml:space="preserve"> to supplement the BRDIS survey and measure the quantity, degree, and temporal trends of product innovations. </w:t>
      </w:r>
      <w:r>
        <w:rPr>
          <w:rFonts w:ascii="Helvetica" w:eastAsia="Helvetica" w:hAnsi="Helvetica" w:cs="Helvetica"/>
        </w:rPr>
        <w:t xml:space="preserve">We </w:t>
      </w:r>
      <w:r w:rsidR="4F979E21" w:rsidRPr="4F979E21">
        <w:rPr>
          <w:rFonts w:ascii="Helvetica" w:eastAsia="Helvetica" w:hAnsi="Helvetica" w:cs="Helvetica"/>
        </w:rPr>
        <w:t>develope</w:t>
      </w:r>
      <w:r>
        <w:rPr>
          <w:rFonts w:ascii="Helvetica" w:eastAsia="Helvetica" w:hAnsi="Helvetica" w:cs="Helvetica"/>
        </w:rPr>
        <w:t>d</w:t>
      </w:r>
      <w:r w:rsidR="4F979E21" w:rsidRPr="4F979E21">
        <w:rPr>
          <w:rFonts w:ascii="Helvetica" w:eastAsia="Helvetica" w:hAnsi="Helvetica" w:cs="Helvetica"/>
        </w:rPr>
        <w:t xml:space="preserve"> machine learning methods to detect product innovations using publicly available n</w:t>
      </w:r>
      <w:r w:rsidR="4F979E21" w:rsidRPr="4F979E21">
        <w:rPr>
          <w:rFonts w:ascii="Helvetica" w:eastAsia="Helvetica" w:hAnsi="Helvetica" w:cs="Helvetica"/>
          <w:color w:val="000000" w:themeColor="text1"/>
        </w:rPr>
        <w:t>ews articles.</w:t>
      </w:r>
    </w:p>
    <w:p w14:paraId="0817288A" w14:textId="53AB0561"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Data</w:t>
      </w:r>
    </w:p>
    <w:p w14:paraId="04ED0535" w14:textId="6C039287"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The breadth of innovation, even when it is strictly defined by the Oslo manual, is vast, so the scope of the project was narrowed to the pharmaceutical and medical device industries. These industries appealed to our project goals for several reasons: </w:t>
      </w:r>
    </w:p>
    <w:p w14:paraId="430BBA7F" w14:textId="376EB55F"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strictly regulated by the FDA regulation.</w:t>
      </w:r>
    </w:p>
    <w:p w14:paraId="2B207A9D" w14:textId="66273D53"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continuously launching to market.</w:t>
      </w:r>
    </w:p>
    <w:p w14:paraId="327CBB3B" w14:textId="30F82D96"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FDA-approved drugs are our universe of eligible product-innovations.</w:t>
      </w:r>
    </w:p>
    <w:p w14:paraId="07D9E166" w14:textId="317A112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Within the two industries, 2 million news articles from 2013 to 2018 were accessed from the Dow Jones’ Data News and Analytics data product to develop our innovation-detection models.  These data contained 30+ features, </w:t>
      </w:r>
      <w:r w:rsidR="003F06E5">
        <w:rPr>
          <w:rFonts w:ascii="Helvetica" w:eastAsia="Helvetica" w:hAnsi="Helvetica" w:cs="Helvetica"/>
          <w:color w:val="000000" w:themeColor="text1"/>
        </w:rPr>
        <w:t>including</w:t>
      </w:r>
      <w:r w:rsidRPr="4F979E21">
        <w:rPr>
          <w:rFonts w:ascii="Helvetica" w:eastAsia="Helvetica" w:hAnsi="Helvetica" w:cs="Helvetica"/>
          <w:color w:val="000000" w:themeColor="text1"/>
        </w:rPr>
        <w:t xml:space="preserve"> article text body, title, publisher, subject, company, and publication date. </w:t>
      </w:r>
    </w:p>
    <w:p w14:paraId="0404B186" w14:textId="44C1D1B7" w:rsidR="5D6F9F79" w:rsidRDefault="5D6F9F79" w:rsidP="5D6F9F79">
      <w:pPr>
        <w:ind w:firstLine="720"/>
        <w:rPr>
          <w:rFonts w:ascii="Helvetica" w:eastAsia="Helvetica" w:hAnsi="Helvetica" w:cs="Helvetica"/>
        </w:rPr>
      </w:pPr>
    </w:p>
    <w:p w14:paraId="46A0FE81" w14:textId="29C27739" w:rsidR="67A5672C" w:rsidRDefault="67A5672C" w:rsidP="67A5672C">
      <w:r>
        <w:rPr>
          <w:noProof/>
        </w:rPr>
        <w:lastRenderedPageBreak/>
        <w:drawing>
          <wp:inline distT="0" distB="0" distL="0" distR="0" wp14:anchorId="0DD00FBB" wp14:editId="2B47F961">
            <wp:extent cx="2886075" cy="1766856"/>
            <wp:effectExtent l="0" t="0" r="0" b="0"/>
            <wp:docPr id="298939282" name="Picture 29893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886075" cy="1766856"/>
                    </a:xfrm>
                    <a:prstGeom prst="rect">
                      <a:avLst/>
                    </a:prstGeom>
                  </pic:spPr>
                </pic:pic>
              </a:graphicData>
            </a:graphic>
          </wp:inline>
        </w:drawing>
      </w:r>
      <w:r>
        <w:rPr>
          <w:noProof/>
        </w:rPr>
        <w:drawing>
          <wp:inline distT="0" distB="0" distL="0" distR="0" wp14:anchorId="7131CAF0" wp14:editId="2B4AB631">
            <wp:extent cx="2787398" cy="2085175"/>
            <wp:effectExtent l="0" t="0" r="0" b="0"/>
            <wp:docPr id="2055248844" name="Picture 20552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787398" cy="2085175"/>
                    </a:xfrm>
                    <a:prstGeom prst="rect">
                      <a:avLst/>
                    </a:prstGeom>
                  </pic:spPr>
                </pic:pic>
              </a:graphicData>
            </a:graphic>
          </wp:inline>
        </w:drawing>
      </w:r>
    </w:p>
    <w:p w14:paraId="1CE7EBB9" w14:textId="3E62CBC2" w:rsidR="67A5672C" w:rsidRDefault="4F979E21" w:rsidP="4F979E21">
      <w:pPr>
        <w:rPr>
          <w:rFonts w:ascii="Helvetica" w:eastAsia="Helvetica" w:hAnsi="Helvetica" w:cs="Helvetica"/>
          <w:color w:val="000000" w:themeColor="text1"/>
          <w:sz w:val="18"/>
          <w:szCs w:val="18"/>
        </w:rPr>
      </w:pPr>
      <w:r w:rsidRPr="4F979E21">
        <w:rPr>
          <w:rFonts w:ascii="Helvetica" w:eastAsia="Helvetica" w:hAnsi="Helvetica" w:cs="Helvetica"/>
          <w:color w:val="000000" w:themeColor="text1"/>
          <w:sz w:val="18"/>
          <w:szCs w:val="18"/>
        </w:rPr>
        <w:t xml:space="preserve">Figure 1A. Bar chart of most frequently-mentioned companies across 2015 articles. 1B. Bar chart of most frequently-sourced publishers across 2015 articles. </w:t>
      </w:r>
    </w:p>
    <w:p w14:paraId="2E10E835" w14:textId="0696FB20" w:rsidR="67A5672C" w:rsidRDefault="67A5672C" w:rsidP="67A5672C">
      <w:pPr>
        <w:rPr>
          <w:rFonts w:ascii="Helvetica" w:eastAsia="Helvetica" w:hAnsi="Helvetica" w:cs="Helvetica"/>
          <w:color w:val="000000" w:themeColor="text1"/>
        </w:rPr>
      </w:pPr>
    </w:p>
    <w:p w14:paraId="433F6E43" w14:textId="0E995410"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The figures above show the relative breakdown of company-mentions and publisher-sources for pharmaceutical articles from 2015. </w:t>
      </w:r>
      <w:r w:rsidR="00E95725">
        <w:rPr>
          <w:rFonts w:ascii="Helvetica" w:eastAsia="Helvetica" w:hAnsi="Helvetica" w:cs="Helvetica"/>
          <w:color w:val="000000" w:themeColor="text1"/>
        </w:rPr>
        <w:t>We observe the</w:t>
      </w:r>
      <w:bookmarkStart w:id="0" w:name="_GoBack"/>
      <w:bookmarkEnd w:id="0"/>
      <w:r w:rsidRPr="67A5672C">
        <w:rPr>
          <w:rFonts w:ascii="Helvetica" w:eastAsia="Helvetica" w:hAnsi="Helvetica" w:cs="Helvetica"/>
          <w:color w:val="000000" w:themeColor="text1"/>
        </w:rPr>
        <w:t xml:space="preserve"> disproportionate representation of some entities in the data. The companies mentioned in the articles strongly favored non-pharmaceutical companies, such as the US Securities &amp; Exchange Commission (SEC), the Food &amp; Drug Administration (FDA), and the NASDAQ stock exchange. Similarly, </w:t>
      </w:r>
      <w:proofErr w:type="spellStart"/>
      <w:r w:rsidRPr="67A5672C">
        <w:rPr>
          <w:rFonts w:ascii="Helvetica" w:eastAsia="Helvetica" w:hAnsi="Helvetica" w:cs="Helvetica"/>
          <w:color w:val="000000" w:themeColor="text1"/>
        </w:rPr>
        <w:t>NewsRX</w:t>
      </w:r>
      <w:proofErr w:type="spellEnd"/>
      <w:r w:rsidRPr="67A5672C">
        <w:rPr>
          <w:rFonts w:ascii="Helvetica" w:eastAsia="Helvetica" w:hAnsi="Helvetica" w:cs="Helvetica"/>
          <w:color w:val="000000" w:themeColor="text1"/>
        </w:rPr>
        <w:t xml:space="preserve"> and Dow Jones are disproportionately represented as publishers in the dataset. </w:t>
      </w:r>
    </w:p>
    <w:p w14:paraId="7447A974" w14:textId="0E537522" w:rsidR="5D6F9F79" w:rsidRDefault="5D6F9F79" w:rsidP="5D6F9F79">
      <w:pPr>
        <w:rPr>
          <w:rFonts w:ascii="Helvetica" w:eastAsia="Helvetica" w:hAnsi="Helvetica" w:cs="Helvetica"/>
        </w:rPr>
      </w:pPr>
      <w:r>
        <w:rPr>
          <w:noProof/>
        </w:rPr>
        <w:drawing>
          <wp:inline distT="0" distB="0" distL="0" distR="0" wp14:anchorId="1449F804" wp14:editId="42A15A11">
            <wp:extent cx="4572000" cy="3743325"/>
            <wp:effectExtent l="0" t="0" r="0" b="0"/>
            <wp:docPr id="1625818990" name="Picture 162581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3743325"/>
                    </a:xfrm>
                    <a:prstGeom prst="rect">
                      <a:avLst/>
                    </a:prstGeom>
                  </pic:spPr>
                </pic:pic>
              </a:graphicData>
            </a:graphic>
          </wp:inline>
        </w:drawing>
      </w:r>
    </w:p>
    <w:p w14:paraId="406B18AB" w14:textId="49F4F917" w:rsidR="67A5672C" w:rsidRDefault="67A5672C" w:rsidP="67A5672C">
      <w:pPr>
        <w:rPr>
          <w:rFonts w:ascii="Helvetica" w:eastAsia="Helvetica" w:hAnsi="Helvetica" w:cs="Helvetica"/>
          <w:sz w:val="18"/>
          <w:szCs w:val="18"/>
        </w:rPr>
      </w:pPr>
      <w:r w:rsidRPr="67A5672C">
        <w:rPr>
          <w:rFonts w:ascii="Helvetica" w:eastAsia="Helvetica" w:hAnsi="Helvetica" w:cs="Helvetica"/>
          <w:sz w:val="18"/>
          <w:szCs w:val="18"/>
        </w:rPr>
        <w:t xml:space="preserve">Figure 2. Company co-mentions in 2015 articles, where co-mentions between nodes exceeded 150 appearances. </w:t>
      </w:r>
    </w:p>
    <w:p w14:paraId="1FFE0117" w14:textId="5F99FCE5" w:rsidR="5D6F9F79" w:rsidRDefault="4F979E21" w:rsidP="4F979E21">
      <w:pPr>
        <w:spacing w:line="240" w:lineRule="auto"/>
        <w:ind w:firstLine="720"/>
        <w:rPr>
          <w:rFonts w:ascii="Helvetica" w:eastAsia="Helvetica" w:hAnsi="Helvetica" w:cs="Helvetica"/>
        </w:rPr>
      </w:pPr>
      <w:r w:rsidRPr="4F979E21">
        <w:rPr>
          <w:rFonts w:ascii="Helvetica" w:eastAsia="Helvetica" w:hAnsi="Helvetica" w:cs="Helvetica"/>
          <w:color w:val="000000" w:themeColor="text1"/>
        </w:rPr>
        <w:lastRenderedPageBreak/>
        <w:t xml:space="preserve">The network above visualizes DNA articles’ company co-mentions in 2015, using a subset of DNA articles filtered referencing </w:t>
      </w:r>
      <w:r w:rsidRPr="4F979E21">
        <w:rPr>
          <w:rFonts w:ascii="Helvetica" w:eastAsia="Helvetica" w:hAnsi="Helvetica" w:cs="Helvetica"/>
          <w:i/>
          <w:iCs/>
          <w:color w:val="000000" w:themeColor="text1"/>
        </w:rPr>
        <w:t>innovation keywords</w:t>
      </w:r>
      <w:r w:rsidRPr="4F979E21">
        <w:rPr>
          <w:rFonts w:ascii="Helvetica" w:eastAsia="Helvetica" w:hAnsi="Helvetica" w:cs="Helvetica"/>
          <w:color w:val="000000" w:themeColor="text1"/>
        </w:rPr>
        <w:t>. The graph shows 43 nodes and 113 edges, which, for illustrative purposes, do not include edges from the subset that occur fewer than 150 times. Node sizes and edge weights represent degree centrality and number of occurrences of co-mentions, respectively.</w:t>
      </w:r>
    </w:p>
    <w:p w14:paraId="07E87C81" w14:textId="769EA06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Exploratory data analysis ultimately revealed some potential biases in the data, indicating some skew in the data towards financial or regulatory news publishers with the greatest output or easiest accessibility. The network illustrates the centrality of the FDA and SEC to the various entities as well as the significant presence of private banking companies in the articles. </w:t>
      </w:r>
    </w:p>
    <w:p w14:paraId="7A7586DD" w14:textId="5D22A32A" w:rsidR="5D6F9F79" w:rsidRDefault="5D6F9F79" w:rsidP="5D6F9F79">
      <w:pPr>
        <w:rPr>
          <w:rFonts w:ascii="Helvetica" w:eastAsia="Helvetica" w:hAnsi="Helvetica" w:cs="Helvetica"/>
        </w:rPr>
      </w:pPr>
    </w:p>
    <w:p w14:paraId="2433B103" w14:textId="2BF936BC"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Methods</w:t>
      </w:r>
    </w:p>
    <w:p w14:paraId="1F3A84DC" w14:textId="0128ED08" w:rsidR="67A5672C"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After wrangling these semi-structured data into a cohesive format, the process of building predictive models for article text classification (innovation Y/N) involved 5 key steps, laid out below in Table I with relevant details. </w:t>
      </w:r>
    </w:p>
    <w:tbl>
      <w:tblPr>
        <w:tblStyle w:val="TableGrid"/>
        <w:tblW w:w="0" w:type="auto"/>
        <w:tblLayout w:type="fixed"/>
        <w:tblLook w:val="06A0" w:firstRow="1" w:lastRow="0" w:firstColumn="1" w:lastColumn="0" w:noHBand="1" w:noVBand="1"/>
      </w:tblPr>
      <w:tblGrid>
        <w:gridCol w:w="1230"/>
        <w:gridCol w:w="5205"/>
        <w:gridCol w:w="2895"/>
      </w:tblGrid>
      <w:tr w:rsidR="67A5672C" w14:paraId="3718D7E8" w14:textId="77777777" w:rsidTr="67A5672C">
        <w:tc>
          <w:tcPr>
            <w:tcW w:w="1230" w:type="dxa"/>
          </w:tcPr>
          <w:p w14:paraId="3A4E6BAD" w14:textId="23328D3D"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Step</w:t>
            </w:r>
          </w:p>
        </w:tc>
        <w:tc>
          <w:tcPr>
            <w:tcW w:w="5205" w:type="dxa"/>
          </w:tcPr>
          <w:p w14:paraId="107469C8" w14:textId="3253B10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Approach</w:t>
            </w:r>
          </w:p>
        </w:tc>
        <w:tc>
          <w:tcPr>
            <w:tcW w:w="2895" w:type="dxa"/>
          </w:tcPr>
          <w:p w14:paraId="74C5AF8A" w14:textId="19F8C4F9"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Details</w:t>
            </w:r>
          </w:p>
        </w:tc>
      </w:tr>
      <w:tr w:rsidR="67A5672C" w14:paraId="7C667F2C" w14:textId="77777777" w:rsidTr="67A5672C">
        <w:tc>
          <w:tcPr>
            <w:tcW w:w="1230" w:type="dxa"/>
          </w:tcPr>
          <w:p w14:paraId="6DCC323F" w14:textId="0932B6E1"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Access</w:t>
            </w:r>
          </w:p>
        </w:tc>
        <w:tc>
          <w:tcPr>
            <w:tcW w:w="5205" w:type="dxa"/>
          </w:tcPr>
          <w:p w14:paraId="3FFCFD0C" w14:textId="103E9E1A"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Utilized two methods of labeling training data:</w:t>
            </w:r>
          </w:p>
          <w:p w14:paraId="5E79C7ED" w14:textId="2BD414DB" w:rsidR="67A5672C" w:rsidRDefault="67A5672C" w:rsidP="67A5672C">
            <w:pPr>
              <w:rPr>
                <w:b/>
                <w:bCs/>
                <w:color w:val="000000" w:themeColor="text1"/>
              </w:rPr>
            </w:pPr>
            <w:r w:rsidRPr="67A5672C">
              <w:rPr>
                <w:rFonts w:ascii="Helvetica" w:eastAsia="Helvetica" w:hAnsi="Helvetica" w:cs="Helvetica"/>
                <w:b/>
                <w:bCs/>
                <w:color w:val="000000" w:themeColor="text1"/>
              </w:rPr>
              <w:t xml:space="preserve">  M1 </w:t>
            </w:r>
            <w:r w:rsidRPr="67A5672C">
              <w:rPr>
                <w:rFonts w:ascii="Helvetica" w:eastAsia="Helvetica" w:hAnsi="Helvetica" w:cs="Helvetica"/>
                <w:color w:val="000000" w:themeColor="text1"/>
              </w:rPr>
              <w:t>–</w:t>
            </w:r>
            <w:r w:rsidRPr="67A5672C">
              <w:rPr>
                <w:rFonts w:ascii="Helvetica" w:eastAsia="Helvetica" w:hAnsi="Helvetica" w:cs="Helvetica"/>
                <w:b/>
                <w:bCs/>
                <w:color w:val="000000" w:themeColor="text1"/>
              </w:rPr>
              <w:t xml:space="preserve"> </w:t>
            </w:r>
            <w:r w:rsidRPr="67A5672C">
              <w:rPr>
                <w:rFonts w:ascii="Helvetica" w:eastAsia="Helvetica" w:hAnsi="Helvetica" w:cs="Helvetica"/>
                <w:color w:val="000000" w:themeColor="text1"/>
              </w:rPr>
              <w:t>Human labeled articles for innovation</w:t>
            </w:r>
          </w:p>
          <w:p w14:paraId="4A61D376" w14:textId="21ECF73C" w:rsidR="67A5672C" w:rsidRDefault="67A5672C" w:rsidP="67A5672C">
            <w:pPr>
              <w:spacing w:after="160"/>
              <w:rPr>
                <w:b/>
                <w:bCs/>
                <w:color w:val="000000" w:themeColor="text1"/>
              </w:rPr>
            </w:pPr>
            <w:r w:rsidRPr="67A5672C">
              <w:rPr>
                <w:rFonts w:ascii="Helvetica" w:eastAsia="Helvetica" w:hAnsi="Helvetica" w:cs="Helvetica"/>
                <w:b/>
                <w:bCs/>
                <w:color w:val="000000" w:themeColor="text1"/>
              </w:rPr>
              <w:t xml:space="preserve">  M2 </w:t>
            </w:r>
            <w:r w:rsidRPr="67A5672C">
              <w:rPr>
                <w:rFonts w:ascii="Helvetica" w:eastAsia="Helvetica" w:hAnsi="Helvetica" w:cs="Helvetica"/>
                <w:color w:val="000000" w:themeColor="text1"/>
              </w:rPr>
              <w:t>– DNA labeled articles for new product/service</w:t>
            </w:r>
          </w:p>
        </w:tc>
        <w:tc>
          <w:tcPr>
            <w:tcW w:w="2895" w:type="dxa"/>
          </w:tcPr>
          <w:p w14:paraId="74D9B834" w14:textId="46035BD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n = 1000 articles random sample randomly assigned to training (80%) and testing (20%) sets</w:t>
            </w:r>
          </w:p>
        </w:tc>
      </w:tr>
      <w:tr w:rsidR="67A5672C" w14:paraId="2B879A2B" w14:textId="77777777" w:rsidTr="67A5672C">
        <w:tc>
          <w:tcPr>
            <w:tcW w:w="1230" w:type="dxa"/>
          </w:tcPr>
          <w:p w14:paraId="1827E814" w14:textId="76030D45"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Prepare</w:t>
            </w:r>
          </w:p>
        </w:tc>
        <w:tc>
          <w:tcPr>
            <w:tcW w:w="5205" w:type="dxa"/>
          </w:tcPr>
          <w:p w14:paraId="1BF18823" w14:textId="643AAEA2"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Text processing step</w:t>
            </w:r>
          </w:p>
          <w:p w14:paraId="3BAF8C9D" w14:textId="2774D60F" w:rsidR="67A5672C" w:rsidRDefault="67A5672C" w:rsidP="67A5672C">
            <w:pPr>
              <w:pStyle w:val="ListParagraph"/>
              <w:numPr>
                <w:ilvl w:val="0"/>
                <w:numId w:val="5"/>
              </w:numPr>
              <w:ind w:left="504"/>
              <w:rPr>
                <w:color w:val="000000" w:themeColor="text1"/>
              </w:rPr>
            </w:pPr>
            <w:r w:rsidRPr="67A5672C">
              <w:rPr>
                <w:rFonts w:ascii="Helvetica" w:eastAsia="Helvetica" w:hAnsi="Helvetica" w:cs="Helvetica"/>
                <w:color w:val="000000" w:themeColor="text1"/>
              </w:rPr>
              <w:t>Bag of Words: Transform articles to a document-term matrix of word frequency</w:t>
            </w:r>
          </w:p>
          <w:p w14:paraId="635D06EC" w14:textId="6FF03A26"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Dimensionality reduction step:</w:t>
            </w:r>
          </w:p>
          <w:p w14:paraId="0B752668" w14:textId="6FCF1C25" w:rsidR="67A5672C" w:rsidRDefault="67A5672C" w:rsidP="67A5672C">
            <w:pPr>
              <w:pStyle w:val="ListParagraph"/>
              <w:numPr>
                <w:ilvl w:val="0"/>
                <w:numId w:val="4"/>
              </w:numPr>
              <w:spacing w:after="160" w:line="259" w:lineRule="auto"/>
              <w:ind w:left="504"/>
              <w:rPr>
                <w:color w:val="000000" w:themeColor="text1"/>
              </w:rPr>
            </w:pPr>
            <w:r w:rsidRPr="67A5672C">
              <w:rPr>
                <w:rFonts w:ascii="Helvetica" w:eastAsia="Helvetica" w:hAnsi="Helvetica" w:cs="Helvetica"/>
                <w:color w:val="000000" w:themeColor="text1"/>
              </w:rPr>
              <w:t>Feature selection: Least Absolute Shrinkage and Selection Operator (LASSO)</w:t>
            </w:r>
          </w:p>
        </w:tc>
        <w:tc>
          <w:tcPr>
            <w:tcW w:w="2895" w:type="dxa"/>
          </w:tcPr>
          <w:p w14:paraId="0A0997B0" w14:textId="4A973868" w:rsidR="67A5672C" w:rsidRDefault="67A5672C" w:rsidP="67A5672C">
            <w:pPr>
              <w:rPr>
                <w:rFonts w:ascii="Helvetica" w:eastAsia="Helvetica" w:hAnsi="Helvetica" w:cs="Helvetica"/>
                <w:color w:val="000000" w:themeColor="text1"/>
              </w:rPr>
            </w:pPr>
          </w:p>
        </w:tc>
      </w:tr>
      <w:tr w:rsidR="67A5672C" w14:paraId="76FB55AA" w14:textId="77777777" w:rsidTr="67A5672C">
        <w:tc>
          <w:tcPr>
            <w:tcW w:w="1230" w:type="dxa"/>
          </w:tcPr>
          <w:p w14:paraId="17542563" w14:textId="774FEE9A"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Train</w:t>
            </w:r>
          </w:p>
        </w:tc>
        <w:tc>
          <w:tcPr>
            <w:tcW w:w="5205" w:type="dxa"/>
          </w:tcPr>
          <w:p w14:paraId="7A8C74A2" w14:textId="10EDBF35" w:rsidR="67A5672C" w:rsidRDefault="67A5672C" w:rsidP="67A5672C">
            <w:pPr>
              <w:rPr>
                <w:color w:val="000000" w:themeColor="text1"/>
              </w:rPr>
            </w:pPr>
            <w:r w:rsidRPr="67A5672C">
              <w:rPr>
                <w:rFonts w:ascii="Helvetica" w:eastAsia="Helvetica" w:hAnsi="Helvetica" w:cs="Helvetica"/>
                <w:color w:val="000000" w:themeColor="text1"/>
              </w:rPr>
              <w:t>Supervised Machine Learning</w:t>
            </w:r>
          </w:p>
          <w:p w14:paraId="41F399E7" w14:textId="407A67C7"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Penalized Logistic Regression</w:t>
            </w:r>
          </w:p>
          <w:p w14:paraId="234844E5" w14:textId="7650B46B"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Random Forest</w:t>
            </w:r>
          </w:p>
          <w:p w14:paraId="3E3EE5E6" w14:textId="0DC9E472"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Gradient Boosting Machine (Trees)</w:t>
            </w:r>
          </w:p>
          <w:p w14:paraId="7FCDFF12" w14:textId="29FCE4D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Support Vector Machines</w:t>
            </w:r>
          </w:p>
          <w:p w14:paraId="2DD71A4A" w14:textId="420B526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BERT Neural Network</w:t>
            </w:r>
          </w:p>
          <w:p w14:paraId="73F6DFA8" w14:textId="6F69A9A9" w:rsidR="67A5672C" w:rsidRDefault="67A5672C" w:rsidP="67A5672C">
            <w:pPr>
              <w:rPr>
                <w:color w:val="000000" w:themeColor="text1"/>
              </w:rPr>
            </w:pPr>
            <w:r w:rsidRPr="67A5672C">
              <w:rPr>
                <w:rFonts w:ascii="Helvetica" w:eastAsia="Helvetica" w:hAnsi="Helvetica" w:cs="Helvetica"/>
                <w:color w:val="000000" w:themeColor="text1"/>
              </w:rPr>
              <w:t>Unsupervised Machine Learning</w:t>
            </w:r>
          </w:p>
          <w:p w14:paraId="08AE4A1D" w14:textId="722639B7" w:rsidR="67A5672C" w:rsidRDefault="67A5672C" w:rsidP="67A5672C">
            <w:pPr>
              <w:pStyle w:val="ListParagraph"/>
              <w:numPr>
                <w:ilvl w:val="0"/>
                <w:numId w:val="2"/>
              </w:numPr>
              <w:ind w:left="504"/>
              <w:rPr>
                <w:i/>
                <w:iCs/>
                <w:color w:val="000000" w:themeColor="text1"/>
              </w:rPr>
            </w:pPr>
            <w:r w:rsidRPr="67A5672C">
              <w:rPr>
                <w:rFonts w:ascii="Helvetica" w:eastAsia="Helvetica" w:hAnsi="Helvetica" w:cs="Helvetica"/>
                <w:i/>
                <w:iCs/>
                <w:color w:val="000000" w:themeColor="text1"/>
              </w:rPr>
              <w:t>k-</w:t>
            </w:r>
            <w:r w:rsidRPr="67A5672C">
              <w:rPr>
                <w:rFonts w:ascii="Helvetica" w:eastAsia="Helvetica" w:hAnsi="Helvetica" w:cs="Helvetica"/>
                <w:color w:val="000000" w:themeColor="text1"/>
              </w:rPr>
              <w:t>Means clustering</w:t>
            </w:r>
          </w:p>
          <w:p w14:paraId="631FD719" w14:textId="79B4111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Hierarchical Clustering</w:t>
            </w:r>
          </w:p>
          <w:p w14:paraId="6DC35130" w14:textId="7ED1643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Bayesian Hierarchical Clustering</w:t>
            </w:r>
          </w:p>
          <w:p w14:paraId="5ADA1CC1" w14:textId="453AF88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Latent Dirichlet Allocation</w:t>
            </w:r>
          </w:p>
          <w:p w14:paraId="5AEC6C63" w14:textId="2AB6F36A" w:rsidR="67A5672C" w:rsidRDefault="67A5672C" w:rsidP="67A5672C">
            <w:pPr>
              <w:rPr>
                <w:rFonts w:ascii="Helvetica" w:eastAsia="Helvetica" w:hAnsi="Helvetica" w:cs="Helvetica"/>
                <w:color w:val="000000" w:themeColor="text1"/>
              </w:rPr>
            </w:pPr>
          </w:p>
        </w:tc>
        <w:tc>
          <w:tcPr>
            <w:tcW w:w="2895" w:type="dxa"/>
          </w:tcPr>
          <w:p w14:paraId="5211EF81" w14:textId="19C745CF" w:rsidR="67A5672C" w:rsidRDefault="67A5672C" w:rsidP="67A5672C">
            <w:pPr>
              <w:spacing w:after="160" w:line="259" w:lineRule="auto"/>
              <w:rPr>
                <w:color w:val="000000" w:themeColor="text1"/>
              </w:rPr>
            </w:pPr>
            <w:r w:rsidRPr="67A5672C">
              <w:rPr>
                <w:rFonts w:ascii="Helvetica" w:eastAsia="Helvetica" w:hAnsi="Helvetica" w:cs="Helvetica"/>
                <w:color w:val="000000" w:themeColor="text1"/>
              </w:rPr>
              <w:t>Tuning – optimized model parameters with 5-fold Cross Validation</w:t>
            </w:r>
          </w:p>
          <w:p w14:paraId="36607467" w14:textId="17DEEC97" w:rsidR="67A5672C" w:rsidRDefault="67A5672C" w:rsidP="67A5672C">
            <w:pPr>
              <w:rPr>
                <w:rFonts w:ascii="Helvetica" w:eastAsia="Helvetica" w:hAnsi="Helvetica" w:cs="Helvetica"/>
                <w:color w:val="000000" w:themeColor="text1"/>
              </w:rPr>
            </w:pPr>
          </w:p>
        </w:tc>
      </w:tr>
      <w:tr w:rsidR="67A5672C" w14:paraId="16D18967" w14:textId="77777777" w:rsidTr="67A5672C">
        <w:tc>
          <w:tcPr>
            <w:tcW w:w="1230" w:type="dxa"/>
          </w:tcPr>
          <w:p w14:paraId="34B89C80" w14:textId="61ACEBB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Optimize</w:t>
            </w:r>
          </w:p>
        </w:tc>
        <w:tc>
          <w:tcPr>
            <w:tcW w:w="5205" w:type="dxa"/>
          </w:tcPr>
          <w:p w14:paraId="211A3176" w14:textId="47DDE42D" w:rsidR="67A5672C" w:rsidRDefault="67A5672C" w:rsidP="67A5672C">
            <w:pPr>
              <w:rPr>
                <w:color w:val="000000" w:themeColor="text1"/>
              </w:rPr>
            </w:pPr>
            <w:r w:rsidRPr="67A5672C">
              <w:rPr>
                <w:rFonts w:ascii="Helvetica" w:eastAsia="Helvetica" w:hAnsi="Helvetica" w:cs="Helvetica"/>
                <w:color w:val="000000" w:themeColor="text1"/>
              </w:rPr>
              <w:t>Probability threshold for binary classification</w:t>
            </w:r>
          </w:p>
        </w:tc>
        <w:tc>
          <w:tcPr>
            <w:tcW w:w="2895" w:type="dxa"/>
          </w:tcPr>
          <w:p w14:paraId="37665E96" w14:textId="12F6197C" w:rsidR="67A5672C" w:rsidRDefault="67A5672C" w:rsidP="67A5672C">
            <w:pPr>
              <w:rPr>
                <w:color w:val="000000" w:themeColor="text1"/>
              </w:rPr>
            </w:pPr>
            <w:r w:rsidRPr="67A5672C">
              <w:rPr>
                <w:rFonts w:ascii="Helvetica" w:eastAsia="Helvetica" w:hAnsi="Helvetica" w:cs="Helvetica"/>
                <w:color w:val="000000" w:themeColor="text1"/>
              </w:rPr>
              <w:t xml:space="preserve">Select optimal threshold via minimization of false-negative </w:t>
            </w:r>
            <w:proofErr w:type="gramStart"/>
            <w:r w:rsidRPr="67A5672C">
              <w:rPr>
                <w:rFonts w:ascii="Helvetica" w:eastAsia="Helvetica" w:hAnsi="Helvetica" w:cs="Helvetica"/>
                <w:color w:val="000000" w:themeColor="text1"/>
              </w:rPr>
              <w:t>averse</w:t>
            </w:r>
            <w:proofErr w:type="gramEnd"/>
            <w:r w:rsidRPr="67A5672C">
              <w:rPr>
                <w:rFonts w:ascii="Helvetica" w:eastAsia="Helvetica" w:hAnsi="Helvetica" w:cs="Helvetica"/>
                <w:color w:val="000000" w:themeColor="text1"/>
              </w:rPr>
              <w:t xml:space="preserve"> cost matrix</w:t>
            </w:r>
          </w:p>
        </w:tc>
      </w:tr>
      <w:tr w:rsidR="67A5672C" w14:paraId="1D1BFA0C" w14:textId="77777777" w:rsidTr="67A5672C">
        <w:tc>
          <w:tcPr>
            <w:tcW w:w="1230" w:type="dxa"/>
          </w:tcPr>
          <w:p w14:paraId="03F6CE93" w14:textId="3D7062A6" w:rsidR="67A5672C" w:rsidRDefault="67A5672C" w:rsidP="67A5672C">
            <w:pPr>
              <w:spacing w:line="259" w:lineRule="auto"/>
              <w:rPr>
                <w:rFonts w:ascii="Helvetica" w:eastAsia="Helvetica" w:hAnsi="Helvetica" w:cs="Helvetica"/>
                <w:b/>
                <w:bCs/>
                <w:color w:val="000000" w:themeColor="text1"/>
              </w:rPr>
            </w:pPr>
            <w:r w:rsidRPr="67A5672C">
              <w:rPr>
                <w:rFonts w:ascii="Helvetica" w:eastAsia="Helvetica" w:hAnsi="Helvetica" w:cs="Helvetica"/>
                <w:b/>
                <w:bCs/>
                <w:color w:val="000000" w:themeColor="text1"/>
              </w:rPr>
              <w:t>Assess</w:t>
            </w:r>
          </w:p>
        </w:tc>
        <w:tc>
          <w:tcPr>
            <w:tcW w:w="5205" w:type="dxa"/>
          </w:tcPr>
          <w:p w14:paraId="5D0442F2" w14:textId="762B6732" w:rsidR="67A5672C" w:rsidRDefault="67A5672C" w:rsidP="67A5672C">
            <w:pPr>
              <w:rPr>
                <w:color w:val="000000" w:themeColor="text1"/>
              </w:rPr>
            </w:pPr>
            <w:r w:rsidRPr="67A5672C">
              <w:rPr>
                <w:rFonts w:ascii="Helvetica" w:eastAsia="Helvetica" w:hAnsi="Helvetica" w:cs="Helvetica"/>
                <w:color w:val="000000" w:themeColor="text1"/>
              </w:rPr>
              <w:t>Metrics</w:t>
            </w:r>
          </w:p>
          <w:p w14:paraId="6234DB4A" w14:textId="668A222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lastRenderedPageBreak/>
              <w:t>Receiver Operator Characteristic (ROC) Curves</w:t>
            </w:r>
          </w:p>
          <w:p w14:paraId="4A7F605C" w14:textId="2320249E"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Area Under the Curve (AUC)</w:t>
            </w:r>
          </w:p>
          <w:p w14:paraId="76EF5CF3" w14:textId="0A4D21E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Accuracy</w:t>
            </w:r>
          </w:p>
          <w:p w14:paraId="4C4EC66B" w14:textId="4D72B8B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Precision</w:t>
            </w:r>
          </w:p>
          <w:p w14:paraId="54C0CE01" w14:textId="72E65433" w:rsidR="67A5672C" w:rsidRDefault="67A5672C" w:rsidP="67A5672C">
            <w:pPr>
              <w:rPr>
                <w:color w:val="000000" w:themeColor="text1"/>
              </w:rPr>
            </w:pPr>
            <w:r w:rsidRPr="67A5672C">
              <w:rPr>
                <w:rFonts w:ascii="Helvetica" w:eastAsia="Helvetica" w:hAnsi="Helvetica" w:cs="Helvetica"/>
                <w:color w:val="000000" w:themeColor="text1"/>
              </w:rPr>
              <w:t>Bootstrap “Out-of-Bag” Validation</w:t>
            </w:r>
          </w:p>
          <w:p w14:paraId="36CD5CE3" w14:textId="04DC64BB" w:rsidR="67A5672C" w:rsidRDefault="67A5672C" w:rsidP="67A5672C">
            <w:pPr>
              <w:rPr>
                <w:rFonts w:ascii="Helvetica" w:eastAsia="Helvetica" w:hAnsi="Helvetica" w:cs="Helvetica"/>
                <w:color w:val="000000" w:themeColor="text1"/>
              </w:rPr>
            </w:pPr>
          </w:p>
        </w:tc>
        <w:tc>
          <w:tcPr>
            <w:tcW w:w="2895" w:type="dxa"/>
          </w:tcPr>
          <w:p w14:paraId="094A50D0" w14:textId="4A973868" w:rsidR="67A5672C" w:rsidRDefault="67A5672C" w:rsidP="67A5672C">
            <w:pPr>
              <w:rPr>
                <w:rFonts w:ascii="Helvetica" w:eastAsia="Helvetica" w:hAnsi="Helvetica" w:cs="Helvetica"/>
                <w:color w:val="000000" w:themeColor="text1"/>
              </w:rPr>
            </w:pPr>
          </w:p>
        </w:tc>
      </w:tr>
    </w:tbl>
    <w:p w14:paraId="61DB9974" w14:textId="588A3762" w:rsidR="67A5672C" w:rsidRDefault="67A5672C" w:rsidP="67A5672C">
      <w:pPr>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Table I. Outline of methods used to develop predictive models. </w:t>
      </w:r>
    </w:p>
    <w:p w14:paraId="490AD258" w14:textId="687AE586" w:rsidR="239A116E" w:rsidRDefault="239A116E" w:rsidP="239A116E">
      <w:r w:rsidRPr="239A116E">
        <w:rPr>
          <w:rFonts w:ascii="Helvetica" w:eastAsia="Helvetica" w:hAnsi="Helvetica" w:cs="Helvetica"/>
          <w:b/>
          <w:bCs/>
          <w:color w:val="000000" w:themeColor="text1"/>
        </w:rPr>
        <w:t>Results</w:t>
      </w:r>
    </w:p>
    <w:p w14:paraId="6280054C" w14:textId="5FD55D69"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First, all unsupervised methods elicited poor predictive models and Support Vector Machines failed to appropriately converge. Apart from Latent Dirichlet Allocation, which is a widely used method in topic-modeling in text analysis, results for these methods are omitted here. </w:t>
      </w:r>
    </w:p>
    <w:p w14:paraId="5BDA06E8" w14:textId="4DDE5A97"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Comparing the remaining supervised models across a variety of metrics, the BERT neural network performed exceptionally well for identifying articles which DNA labeled as concerning a new product, but such high performance was not mirrored for classifying innovation articles (Table I). The methods involving decision trees, Random Forest and Gradient Boosting Machines, consistently performed well with high ROC and accuracy (Table I,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14:paraId="37E5D2B5" w14:textId="79B80E43" w:rsidR="5D6F9F79" w:rsidRDefault="5D6F9F79" w:rsidP="5D6F9F79">
      <w:pPr>
        <w:ind w:firstLine="720"/>
        <w:rPr>
          <w:rFonts w:ascii="Helvetica" w:eastAsia="Helvetica" w:hAnsi="Helvetica" w:cs="Helvetica"/>
        </w:rPr>
      </w:pPr>
      <w:r>
        <w:rPr>
          <w:noProof/>
        </w:rPr>
        <w:drawing>
          <wp:inline distT="0" distB="0" distL="0" distR="0" wp14:anchorId="021C4FD1" wp14:editId="0065E595">
            <wp:extent cx="4572000" cy="2057400"/>
            <wp:effectExtent l="0" t="0" r="0" b="0"/>
            <wp:docPr id="28880360" name="Picture 2888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6FD5CAA4" w14:textId="4EF00FF2"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Table II. Performance metrics of supervised models against two sets of labeled DNA articles, manually-labeled and commercially-labeled. Manual labels were generated via survey to indicate whether an article described a new product; DNA labels were generated via the company’s own proprietary mechanism, a combination of sorting rules, machine-learning, and human input.</w:t>
      </w:r>
    </w:p>
    <w:p w14:paraId="15A2CDB5" w14:textId="3F98138F" w:rsidR="5D6F9F79" w:rsidRDefault="5D6F9F79" w:rsidP="67A5672C"/>
    <w:p w14:paraId="532F6C30" w14:textId="3ACD68AC" w:rsidR="5D6F9F79" w:rsidRDefault="5D6F9F79" w:rsidP="67A5672C">
      <w:pPr>
        <w:ind w:firstLine="720"/>
      </w:pPr>
      <w:r>
        <w:rPr>
          <w:noProof/>
        </w:rPr>
        <w:lastRenderedPageBreak/>
        <w:drawing>
          <wp:inline distT="0" distB="0" distL="0" distR="0" wp14:anchorId="6F43869D" wp14:editId="6C0D8023">
            <wp:extent cx="4572000" cy="2124075"/>
            <wp:effectExtent l="0" t="0" r="0" b="0"/>
            <wp:docPr id="1634965191" name="Picture 163496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inline>
        </w:drawing>
      </w:r>
    </w:p>
    <w:p w14:paraId="697A61A4" w14:textId="1CC70D8D" w:rsidR="5D6F9F79" w:rsidRDefault="5D6F9F79" w:rsidP="67A5672C">
      <w:pPr>
        <w:ind w:firstLine="720"/>
      </w:pPr>
    </w:p>
    <w:p w14:paraId="2254F5CC" w14:textId="40596895"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Figure 3A. ROC curves plotted with smoothed curves. LDA shows weakest performance; GBM and NN show strongest performance by accuracy and AUC. 3B. Violin plot for bootstrap out-of-bag results. GBM shows greatest performance by AUC and recall. </w:t>
      </w:r>
    </w:p>
    <w:p w14:paraId="58837A84" w14:textId="517BAF5E" w:rsidR="5D6F9F79" w:rsidRDefault="5D6F9F79" w:rsidP="5D6F9F79">
      <w:pPr>
        <w:ind w:firstLine="720"/>
        <w:rPr>
          <w:rFonts w:ascii="Helvetica" w:eastAsia="Helvetica" w:hAnsi="Helvetica" w:cs="Helvetica"/>
        </w:rPr>
      </w:pPr>
      <w:r w:rsidRPr="5D6F9F79">
        <w:rPr>
          <w:rFonts w:ascii="Helvetica" w:eastAsia="Helvetica" w:hAnsi="Helvetica" w:cs="Helvetica"/>
          <w:color w:val="595959" w:themeColor="text1" w:themeTint="A6"/>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14:paraId="2BBEE7B4" w14:textId="44B9904E" w:rsidR="5D6F9F79" w:rsidRDefault="239A116E" w:rsidP="239A116E">
      <w:pPr>
        <w:rPr>
          <w:rFonts w:ascii="Helvetica" w:eastAsia="Helvetica" w:hAnsi="Helvetica" w:cs="Helvetica"/>
          <w:b/>
          <w:bCs/>
        </w:rPr>
      </w:pPr>
      <w:r w:rsidRPr="239A116E">
        <w:rPr>
          <w:rFonts w:ascii="Helvetica" w:eastAsia="Helvetica" w:hAnsi="Helvetica" w:cs="Helvetica"/>
          <w:b/>
          <w:bCs/>
          <w:color w:val="000000" w:themeColor="text1"/>
        </w:rPr>
        <w:t>Discussion</w:t>
      </w:r>
    </w:p>
    <w:p w14:paraId="7A42B650" w14:textId="0FBADAEE"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Text classification is no simple task. Different publications boast different syntax, writing style, verbiage, and structure, with trends changing over time. Wading through a mire of news articles requires methods which can reduce the dimensionality of word usage and identify key words or phrases that indicate the outcome of choice, accounting for variability in authorship between articles and publishers. </w:t>
      </w:r>
    </w:p>
    <w:p w14:paraId="1C920AC3" w14:textId="52494F4D" w:rsidR="5D6F9F79" w:rsidRDefault="239A116E" w:rsidP="239A116E">
      <w:pPr>
        <w:ind w:firstLine="720"/>
        <w:rPr>
          <w:rFonts w:ascii="Helvetica" w:eastAsia="Helvetica" w:hAnsi="Helvetica" w:cs="Helvetica"/>
        </w:rPr>
      </w:pPr>
      <w:r w:rsidRPr="239A116E">
        <w:rPr>
          <w:rFonts w:ascii="Helvetica" w:eastAsia="Helvetica" w:hAnsi="Helvetica" w:cs="Helvetica"/>
          <w:color w:val="000000" w:themeColor="text1"/>
        </w:rPr>
        <w:t xml:space="preserve">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supplement the BIRDIS survey. </w:t>
      </w:r>
    </w:p>
    <w:p w14:paraId="1F4596C5" w14:textId="53C68961" w:rsidR="5D6F9F79" w:rsidRDefault="67A5672C" w:rsidP="67A5672C">
      <w:pPr>
        <w:ind w:firstLine="720"/>
        <w:rPr>
          <w:rFonts w:ascii="Helvetica" w:eastAsia="Helvetica" w:hAnsi="Helvetica" w:cs="Helvetica"/>
          <w:color w:val="000000" w:themeColor="text1"/>
        </w:rPr>
      </w:pPr>
      <w:r w:rsidRPr="67A5672C">
        <w:rPr>
          <w:rFonts w:ascii="Helvetica" w:eastAsia="Helvetica" w:hAnsi="Helvetica" w:cs="Helvetica"/>
          <w:color w:val="000000" w:themeColor="text1"/>
        </w:rPr>
        <w:t xml:space="preserve">Moving forward, as unsupervised machine learning methods (which do not rely on </w:t>
      </w:r>
      <w:r w:rsidRPr="67A5672C">
        <w:rPr>
          <w:rFonts w:ascii="Helvetica" w:eastAsia="Helvetica" w:hAnsi="Helvetica" w:cs="Helvetica"/>
          <w:i/>
          <w:iCs/>
          <w:color w:val="000000" w:themeColor="text1"/>
        </w:rPr>
        <w:t xml:space="preserve">a priori </w:t>
      </w:r>
      <w:r w:rsidRPr="67A5672C">
        <w:rPr>
          <w:rFonts w:ascii="Helvetica" w:eastAsia="Helvetica" w:hAnsi="Helvetica" w:cs="Helvetica"/>
          <w:color w:val="000000" w:themeColor="text1"/>
        </w:rPr>
        <w:t xml:space="preserve">labeled articles) were found to be insufficient predictors for innovation, this necessitates 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w:t>
      </w:r>
      <w:r w:rsidRPr="67A5672C">
        <w:rPr>
          <w:rFonts w:ascii="Helvetica" w:eastAsia="Helvetica" w:hAnsi="Helvetica" w:cs="Helvetica"/>
          <w:color w:val="000000" w:themeColor="text1"/>
        </w:rPr>
        <w:lastRenderedPageBreak/>
        <w:t xml:space="preserve">method investigated here. The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fine-tune the technical machinery, extend this methodology to other industries, and develop with NCSES a suitably innovative and dynamic tool to measure and understand innovation. </w:t>
      </w:r>
    </w:p>
    <w:p w14:paraId="5742B992" w14:textId="45F16BEB" w:rsidR="5D6F9F79" w:rsidRDefault="5D6F9F79" w:rsidP="5D6F9F79">
      <w:pPr>
        <w:ind w:firstLine="720"/>
        <w:rPr>
          <w:rFonts w:ascii="Helvetica" w:eastAsia="Helvetica" w:hAnsi="Helvetica" w:cs="Helvetica"/>
        </w:rPr>
      </w:pPr>
    </w:p>
    <w:p w14:paraId="1E417A73" w14:textId="0C9F5AC7" w:rsidR="5D6F9F79"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 xml:space="preserve">References: </w:t>
      </w:r>
    </w:p>
    <w:p w14:paraId="2E9AFF9B" w14:textId="160C7E03"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[1] OECD/Eurostat (2018). OSLO Manual 2018: Guidelines for Collecting Reporting and Using Data on Innovation, 4th Edition, The Measurement of Scientific Technological and Innovation Activities, OECD Publishing, Paris/Eurostat, Luxembourg.  </w:t>
      </w:r>
    </w:p>
    <w:p w14:paraId="441F641F" w14:textId="35F37DB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[2] Lan, Man et al. “Text Representations for Text Categorization: A Case Study in Biomedical Domain.” 2007 International Joint Conference on Neural Networks (2007): 2557-2562.</w:t>
      </w:r>
    </w:p>
    <w:p w14:paraId="41EFDB15" w14:textId="5196841D"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[3] </w:t>
      </w:r>
      <w:proofErr w:type="spellStart"/>
      <w:r w:rsidRPr="67A5672C">
        <w:rPr>
          <w:rFonts w:ascii="Helvetica" w:eastAsia="Helvetica" w:hAnsi="Helvetica" w:cs="Helvetica"/>
          <w:color w:val="000000" w:themeColor="text1"/>
        </w:rPr>
        <w:t>Siwei</w:t>
      </w:r>
      <w:proofErr w:type="spellEnd"/>
      <w:r w:rsidRPr="67A5672C">
        <w:rPr>
          <w:rFonts w:ascii="Helvetica" w:eastAsia="Helvetica" w:hAnsi="Helvetica" w:cs="Helvetica"/>
          <w:color w:val="000000" w:themeColor="text1"/>
        </w:rPr>
        <w:t xml:space="preserve"> Lai, </w:t>
      </w:r>
      <w:proofErr w:type="spellStart"/>
      <w:r w:rsidRPr="67A5672C">
        <w:rPr>
          <w:rFonts w:ascii="Helvetica" w:eastAsia="Helvetica" w:hAnsi="Helvetica" w:cs="Helvetica"/>
          <w:color w:val="000000" w:themeColor="text1"/>
        </w:rPr>
        <w:t>Liheng</w:t>
      </w:r>
      <w:proofErr w:type="spellEnd"/>
      <w:r w:rsidRPr="67A5672C">
        <w:rPr>
          <w:rFonts w:ascii="Helvetica" w:eastAsia="Helvetica" w:hAnsi="Helvetica" w:cs="Helvetica"/>
          <w:color w:val="000000" w:themeColor="text1"/>
        </w:rPr>
        <w:t xml:space="preserve"> Xu, Kang Liu, and Jun Zhao. Recurrent convolutional neural networks for text classification. In Proceedings of the Twenty-Ninth AAAI Conference on Artificial Intelligence (AAAI'15). 2015. AAAI Press 2267-2273.</w:t>
      </w:r>
    </w:p>
    <w:p w14:paraId="32D898DD" w14:textId="367953BC"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[4] Devlin, J; Chang, Ming-Wei; Lee, Kenton &amp; Toutanova, Kristina. “BERT: Pre-training of Deep Bidirectional Transformers for Language Understanding.” </w:t>
      </w:r>
      <w:proofErr w:type="spellStart"/>
      <w:r w:rsidRPr="67A5672C">
        <w:rPr>
          <w:rFonts w:ascii="Helvetica" w:eastAsia="Helvetica" w:hAnsi="Helvetica" w:cs="Helvetica"/>
          <w:color w:val="000000" w:themeColor="text1"/>
        </w:rPr>
        <w:t>CoRR.</w:t>
      </w:r>
      <w:proofErr w:type="spellEnd"/>
      <w:r w:rsidRPr="67A5672C">
        <w:rPr>
          <w:rFonts w:ascii="Helvetica" w:eastAsia="Helvetica" w:hAnsi="Helvetica" w:cs="Helvetica"/>
          <w:color w:val="000000" w:themeColor="text1"/>
        </w:rPr>
        <w:t xml:space="preserve"> October 2018.</w:t>
      </w:r>
    </w:p>
    <w:p w14:paraId="682551E2" w14:textId="5BB8747A" w:rsidR="67A5672C" w:rsidRDefault="67A5672C" w:rsidP="67A5672C">
      <w:pPr>
        <w:rPr>
          <w:rFonts w:ascii="Helvetica" w:eastAsia="Helvetica" w:hAnsi="Helvetica" w:cs="Helvetica"/>
        </w:rPr>
      </w:pPr>
    </w:p>
    <w:p w14:paraId="15750301" w14:textId="52AF4A96" w:rsidR="5D6F9F79" w:rsidRDefault="5D6F9F79" w:rsidP="5D6F9F79">
      <w:pPr>
        <w:spacing w:after="120"/>
        <w:rPr>
          <w:rFonts w:ascii="Arial" w:eastAsia="Arial" w:hAnsi="Arial" w:cs="Arial"/>
          <w:sz w:val="30"/>
          <w:szCs w:val="30"/>
        </w:rPr>
      </w:pPr>
    </w:p>
    <w:p w14:paraId="5028E3C2" w14:textId="2D1F94EA" w:rsidR="5D6F9F79" w:rsidRDefault="5D6F9F79" w:rsidP="5D6F9F79"/>
    <w:sectPr w:rsidR="5D6F9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E2281"/>
    <w:multiLevelType w:val="hybridMultilevel"/>
    <w:tmpl w:val="C068D38E"/>
    <w:lvl w:ilvl="0" w:tplc="9F249DA2">
      <w:start w:val="1"/>
      <w:numFmt w:val="decimal"/>
      <w:lvlText w:val="%1."/>
      <w:lvlJc w:val="left"/>
      <w:pPr>
        <w:ind w:left="720" w:hanging="360"/>
      </w:pPr>
    </w:lvl>
    <w:lvl w:ilvl="1" w:tplc="C4129DA2">
      <w:start w:val="1"/>
      <w:numFmt w:val="decimal"/>
      <w:lvlText w:val="%2."/>
      <w:lvlJc w:val="left"/>
      <w:pPr>
        <w:ind w:left="1440" w:hanging="360"/>
      </w:pPr>
    </w:lvl>
    <w:lvl w:ilvl="2" w:tplc="CEA04516">
      <w:start w:val="1"/>
      <w:numFmt w:val="lowerRoman"/>
      <w:lvlText w:val="%3."/>
      <w:lvlJc w:val="left"/>
      <w:pPr>
        <w:ind w:left="2160" w:hanging="180"/>
      </w:pPr>
    </w:lvl>
    <w:lvl w:ilvl="3" w:tplc="AF1E9E3C">
      <w:start w:val="1"/>
      <w:numFmt w:val="decimal"/>
      <w:lvlText w:val="%4."/>
      <w:lvlJc w:val="left"/>
      <w:pPr>
        <w:ind w:left="2880" w:hanging="360"/>
      </w:pPr>
    </w:lvl>
    <w:lvl w:ilvl="4" w:tplc="CBF87B44">
      <w:start w:val="1"/>
      <w:numFmt w:val="lowerLetter"/>
      <w:lvlText w:val="%5."/>
      <w:lvlJc w:val="left"/>
      <w:pPr>
        <w:ind w:left="3600" w:hanging="360"/>
      </w:pPr>
    </w:lvl>
    <w:lvl w:ilvl="5" w:tplc="3D22BA72">
      <w:start w:val="1"/>
      <w:numFmt w:val="lowerRoman"/>
      <w:lvlText w:val="%6."/>
      <w:lvlJc w:val="right"/>
      <w:pPr>
        <w:ind w:left="4320" w:hanging="180"/>
      </w:pPr>
    </w:lvl>
    <w:lvl w:ilvl="6" w:tplc="2FA09810">
      <w:start w:val="1"/>
      <w:numFmt w:val="decimal"/>
      <w:lvlText w:val="%7."/>
      <w:lvlJc w:val="left"/>
      <w:pPr>
        <w:ind w:left="5040" w:hanging="360"/>
      </w:pPr>
    </w:lvl>
    <w:lvl w:ilvl="7" w:tplc="168C7E08">
      <w:start w:val="1"/>
      <w:numFmt w:val="lowerLetter"/>
      <w:lvlText w:val="%8."/>
      <w:lvlJc w:val="left"/>
      <w:pPr>
        <w:ind w:left="5760" w:hanging="360"/>
      </w:pPr>
    </w:lvl>
    <w:lvl w:ilvl="8" w:tplc="77800D92">
      <w:start w:val="1"/>
      <w:numFmt w:val="lowerRoman"/>
      <w:lvlText w:val="%9."/>
      <w:lvlJc w:val="right"/>
      <w:pPr>
        <w:ind w:left="6480" w:hanging="180"/>
      </w:pPr>
    </w:lvl>
  </w:abstractNum>
  <w:abstractNum w:abstractNumId="1" w15:restartNumberingAfterBreak="0">
    <w:nsid w:val="41B50F40"/>
    <w:multiLevelType w:val="hybridMultilevel"/>
    <w:tmpl w:val="7FDEFE90"/>
    <w:lvl w:ilvl="0" w:tplc="77E4F250">
      <w:start w:val="1"/>
      <w:numFmt w:val="bullet"/>
      <w:lvlText w:val=""/>
      <w:lvlJc w:val="left"/>
      <w:pPr>
        <w:ind w:left="720" w:hanging="360"/>
      </w:pPr>
      <w:rPr>
        <w:rFonts w:ascii="Symbol" w:hAnsi="Symbol" w:hint="default"/>
      </w:rPr>
    </w:lvl>
    <w:lvl w:ilvl="1" w:tplc="85A46234">
      <w:start w:val="1"/>
      <w:numFmt w:val="bullet"/>
      <w:lvlText w:val="o"/>
      <w:lvlJc w:val="left"/>
      <w:pPr>
        <w:ind w:left="1440" w:hanging="360"/>
      </w:pPr>
      <w:rPr>
        <w:rFonts w:ascii="Courier New" w:hAnsi="Courier New" w:hint="default"/>
      </w:rPr>
    </w:lvl>
    <w:lvl w:ilvl="2" w:tplc="DF94B9EE">
      <w:start w:val="1"/>
      <w:numFmt w:val="bullet"/>
      <w:lvlText w:val=""/>
      <w:lvlJc w:val="left"/>
      <w:pPr>
        <w:ind w:left="2160" w:hanging="360"/>
      </w:pPr>
      <w:rPr>
        <w:rFonts w:ascii="Wingdings" w:hAnsi="Wingdings" w:hint="default"/>
      </w:rPr>
    </w:lvl>
    <w:lvl w:ilvl="3" w:tplc="7D9E8548">
      <w:start w:val="1"/>
      <w:numFmt w:val="bullet"/>
      <w:lvlText w:val=""/>
      <w:lvlJc w:val="left"/>
      <w:pPr>
        <w:ind w:left="2880" w:hanging="360"/>
      </w:pPr>
      <w:rPr>
        <w:rFonts w:ascii="Symbol" w:hAnsi="Symbol" w:hint="default"/>
      </w:rPr>
    </w:lvl>
    <w:lvl w:ilvl="4" w:tplc="7BC0D10C">
      <w:start w:val="1"/>
      <w:numFmt w:val="bullet"/>
      <w:lvlText w:val="o"/>
      <w:lvlJc w:val="left"/>
      <w:pPr>
        <w:ind w:left="3600" w:hanging="360"/>
      </w:pPr>
      <w:rPr>
        <w:rFonts w:ascii="Courier New" w:hAnsi="Courier New" w:hint="default"/>
      </w:rPr>
    </w:lvl>
    <w:lvl w:ilvl="5" w:tplc="6786E752">
      <w:start w:val="1"/>
      <w:numFmt w:val="bullet"/>
      <w:lvlText w:val=""/>
      <w:lvlJc w:val="left"/>
      <w:pPr>
        <w:ind w:left="4320" w:hanging="360"/>
      </w:pPr>
      <w:rPr>
        <w:rFonts w:ascii="Wingdings" w:hAnsi="Wingdings" w:hint="default"/>
      </w:rPr>
    </w:lvl>
    <w:lvl w:ilvl="6" w:tplc="E9A60FCC">
      <w:start w:val="1"/>
      <w:numFmt w:val="bullet"/>
      <w:lvlText w:val=""/>
      <w:lvlJc w:val="left"/>
      <w:pPr>
        <w:ind w:left="5040" w:hanging="360"/>
      </w:pPr>
      <w:rPr>
        <w:rFonts w:ascii="Symbol" w:hAnsi="Symbol" w:hint="default"/>
      </w:rPr>
    </w:lvl>
    <w:lvl w:ilvl="7" w:tplc="5D04F0DE">
      <w:start w:val="1"/>
      <w:numFmt w:val="bullet"/>
      <w:lvlText w:val="o"/>
      <w:lvlJc w:val="left"/>
      <w:pPr>
        <w:ind w:left="5760" w:hanging="360"/>
      </w:pPr>
      <w:rPr>
        <w:rFonts w:ascii="Courier New" w:hAnsi="Courier New" w:hint="default"/>
      </w:rPr>
    </w:lvl>
    <w:lvl w:ilvl="8" w:tplc="0A385E22">
      <w:start w:val="1"/>
      <w:numFmt w:val="bullet"/>
      <w:lvlText w:val=""/>
      <w:lvlJc w:val="left"/>
      <w:pPr>
        <w:ind w:left="6480" w:hanging="360"/>
      </w:pPr>
      <w:rPr>
        <w:rFonts w:ascii="Wingdings" w:hAnsi="Wingdings" w:hint="default"/>
      </w:rPr>
    </w:lvl>
  </w:abstractNum>
  <w:abstractNum w:abstractNumId="2" w15:restartNumberingAfterBreak="0">
    <w:nsid w:val="47F42DF8"/>
    <w:multiLevelType w:val="hybridMultilevel"/>
    <w:tmpl w:val="89F63CA4"/>
    <w:lvl w:ilvl="0" w:tplc="ED0C9CC2">
      <w:start w:val="1"/>
      <w:numFmt w:val="bullet"/>
      <w:lvlText w:val=""/>
      <w:lvlJc w:val="left"/>
      <w:pPr>
        <w:ind w:left="720" w:hanging="360"/>
      </w:pPr>
      <w:rPr>
        <w:rFonts w:ascii="Symbol" w:hAnsi="Symbol" w:hint="default"/>
      </w:rPr>
    </w:lvl>
    <w:lvl w:ilvl="1" w:tplc="56487366">
      <w:start w:val="1"/>
      <w:numFmt w:val="bullet"/>
      <w:lvlText w:val="o"/>
      <w:lvlJc w:val="left"/>
      <w:pPr>
        <w:ind w:left="1440" w:hanging="360"/>
      </w:pPr>
      <w:rPr>
        <w:rFonts w:ascii="Courier New" w:hAnsi="Courier New" w:hint="default"/>
      </w:rPr>
    </w:lvl>
    <w:lvl w:ilvl="2" w:tplc="9C12E7DE">
      <w:start w:val="1"/>
      <w:numFmt w:val="bullet"/>
      <w:lvlText w:val=""/>
      <w:lvlJc w:val="left"/>
      <w:pPr>
        <w:ind w:left="2160" w:hanging="360"/>
      </w:pPr>
      <w:rPr>
        <w:rFonts w:ascii="Wingdings" w:hAnsi="Wingdings" w:hint="default"/>
      </w:rPr>
    </w:lvl>
    <w:lvl w:ilvl="3" w:tplc="E9B4208C">
      <w:start w:val="1"/>
      <w:numFmt w:val="bullet"/>
      <w:lvlText w:val=""/>
      <w:lvlJc w:val="left"/>
      <w:pPr>
        <w:ind w:left="2880" w:hanging="360"/>
      </w:pPr>
      <w:rPr>
        <w:rFonts w:ascii="Symbol" w:hAnsi="Symbol" w:hint="default"/>
      </w:rPr>
    </w:lvl>
    <w:lvl w:ilvl="4" w:tplc="EB246A2A">
      <w:start w:val="1"/>
      <w:numFmt w:val="bullet"/>
      <w:lvlText w:val="o"/>
      <w:lvlJc w:val="left"/>
      <w:pPr>
        <w:ind w:left="3600" w:hanging="360"/>
      </w:pPr>
      <w:rPr>
        <w:rFonts w:ascii="Courier New" w:hAnsi="Courier New" w:hint="default"/>
      </w:rPr>
    </w:lvl>
    <w:lvl w:ilvl="5" w:tplc="3F74C5A0">
      <w:start w:val="1"/>
      <w:numFmt w:val="bullet"/>
      <w:lvlText w:val=""/>
      <w:lvlJc w:val="left"/>
      <w:pPr>
        <w:ind w:left="4320" w:hanging="360"/>
      </w:pPr>
      <w:rPr>
        <w:rFonts w:ascii="Wingdings" w:hAnsi="Wingdings" w:hint="default"/>
      </w:rPr>
    </w:lvl>
    <w:lvl w:ilvl="6" w:tplc="3AB6A580">
      <w:start w:val="1"/>
      <w:numFmt w:val="bullet"/>
      <w:lvlText w:val=""/>
      <w:lvlJc w:val="left"/>
      <w:pPr>
        <w:ind w:left="5040" w:hanging="360"/>
      </w:pPr>
      <w:rPr>
        <w:rFonts w:ascii="Symbol" w:hAnsi="Symbol" w:hint="default"/>
      </w:rPr>
    </w:lvl>
    <w:lvl w:ilvl="7" w:tplc="D1403FDA">
      <w:start w:val="1"/>
      <w:numFmt w:val="bullet"/>
      <w:lvlText w:val="o"/>
      <w:lvlJc w:val="left"/>
      <w:pPr>
        <w:ind w:left="5760" w:hanging="360"/>
      </w:pPr>
      <w:rPr>
        <w:rFonts w:ascii="Courier New" w:hAnsi="Courier New" w:hint="default"/>
      </w:rPr>
    </w:lvl>
    <w:lvl w:ilvl="8" w:tplc="0046E012">
      <w:start w:val="1"/>
      <w:numFmt w:val="bullet"/>
      <w:lvlText w:val=""/>
      <w:lvlJc w:val="left"/>
      <w:pPr>
        <w:ind w:left="6480" w:hanging="360"/>
      </w:pPr>
      <w:rPr>
        <w:rFonts w:ascii="Wingdings" w:hAnsi="Wingdings" w:hint="default"/>
      </w:rPr>
    </w:lvl>
  </w:abstractNum>
  <w:abstractNum w:abstractNumId="3" w15:restartNumberingAfterBreak="0">
    <w:nsid w:val="4A8E6B4E"/>
    <w:multiLevelType w:val="hybridMultilevel"/>
    <w:tmpl w:val="D360840A"/>
    <w:lvl w:ilvl="0" w:tplc="DFA2CEE6">
      <w:start w:val="1"/>
      <w:numFmt w:val="decimal"/>
      <w:lvlText w:val="%1."/>
      <w:lvlJc w:val="left"/>
      <w:pPr>
        <w:ind w:left="720" w:hanging="360"/>
      </w:pPr>
    </w:lvl>
    <w:lvl w:ilvl="1" w:tplc="E8EE9422">
      <w:start w:val="1"/>
      <w:numFmt w:val="lowerLetter"/>
      <w:lvlText w:val="%2."/>
      <w:lvlJc w:val="left"/>
      <w:pPr>
        <w:ind w:left="1440" w:hanging="360"/>
      </w:pPr>
    </w:lvl>
    <w:lvl w:ilvl="2" w:tplc="54DC1306">
      <w:start w:val="1"/>
      <w:numFmt w:val="lowerRoman"/>
      <w:lvlText w:val="%3."/>
      <w:lvlJc w:val="left"/>
      <w:pPr>
        <w:ind w:left="2160" w:hanging="180"/>
      </w:pPr>
    </w:lvl>
    <w:lvl w:ilvl="3" w:tplc="4DBCB02C">
      <w:start w:val="1"/>
      <w:numFmt w:val="decimal"/>
      <w:lvlText w:val="%4."/>
      <w:lvlJc w:val="left"/>
      <w:pPr>
        <w:ind w:left="2880" w:hanging="360"/>
      </w:pPr>
    </w:lvl>
    <w:lvl w:ilvl="4" w:tplc="1BB679BE">
      <w:start w:val="1"/>
      <w:numFmt w:val="lowerLetter"/>
      <w:lvlText w:val="%5."/>
      <w:lvlJc w:val="left"/>
      <w:pPr>
        <w:ind w:left="3600" w:hanging="360"/>
      </w:pPr>
    </w:lvl>
    <w:lvl w:ilvl="5" w:tplc="032055FE">
      <w:start w:val="1"/>
      <w:numFmt w:val="lowerRoman"/>
      <w:lvlText w:val="%6."/>
      <w:lvlJc w:val="right"/>
      <w:pPr>
        <w:ind w:left="4320" w:hanging="180"/>
      </w:pPr>
    </w:lvl>
    <w:lvl w:ilvl="6" w:tplc="6B007206">
      <w:start w:val="1"/>
      <w:numFmt w:val="decimal"/>
      <w:lvlText w:val="%7."/>
      <w:lvlJc w:val="left"/>
      <w:pPr>
        <w:ind w:left="5040" w:hanging="360"/>
      </w:pPr>
    </w:lvl>
    <w:lvl w:ilvl="7" w:tplc="C7A24210">
      <w:start w:val="1"/>
      <w:numFmt w:val="lowerLetter"/>
      <w:lvlText w:val="%8."/>
      <w:lvlJc w:val="left"/>
      <w:pPr>
        <w:ind w:left="5760" w:hanging="360"/>
      </w:pPr>
    </w:lvl>
    <w:lvl w:ilvl="8" w:tplc="D286DD16">
      <w:start w:val="1"/>
      <w:numFmt w:val="lowerRoman"/>
      <w:lvlText w:val="%9."/>
      <w:lvlJc w:val="right"/>
      <w:pPr>
        <w:ind w:left="6480" w:hanging="180"/>
      </w:pPr>
    </w:lvl>
  </w:abstractNum>
  <w:abstractNum w:abstractNumId="4" w15:restartNumberingAfterBreak="0">
    <w:nsid w:val="59D215A9"/>
    <w:multiLevelType w:val="hybridMultilevel"/>
    <w:tmpl w:val="3D762EC2"/>
    <w:lvl w:ilvl="0" w:tplc="59242F56">
      <w:start w:val="1"/>
      <w:numFmt w:val="bullet"/>
      <w:lvlText w:val=""/>
      <w:lvlJc w:val="left"/>
      <w:pPr>
        <w:ind w:left="720" w:hanging="360"/>
      </w:pPr>
      <w:rPr>
        <w:rFonts w:ascii="Symbol" w:hAnsi="Symbol" w:hint="default"/>
      </w:rPr>
    </w:lvl>
    <w:lvl w:ilvl="1" w:tplc="459CFC06">
      <w:start w:val="1"/>
      <w:numFmt w:val="bullet"/>
      <w:lvlText w:val=""/>
      <w:lvlJc w:val="left"/>
      <w:pPr>
        <w:ind w:left="1440" w:hanging="360"/>
      </w:pPr>
      <w:rPr>
        <w:rFonts w:ascii="Symbol" w:hAnsi="Symbol" w:hint="default"/>
      </w:rPr>
    </w:lvl>
    <w:lvl w:ilvl="2" w:tplc="195662FA">
      <w:start w:val="1"/>
      <w:numFmt w:val="bullet"/>
      <w:lvlText w:val=""/>
      <w:lvlJc w:val="left"/>
      <w:pPr>
        <w:ind w:left="2160" w:hanging="360"/>
      </w:pPr>
      <w:rPr>
        <w:rFonts w:ascii="Wingdings" w:hAnsi="Wingdings" w:hint="default"/>
      </w:rPr>
    </w:lvl>
    <w:lvl w:ilvl="3" w:tplc="8DEC3EC6">
      <w:start w:val="1"/>
      <w:numFmt w:val="bullet"/>
      <w:lvlText w:val=""/>
      <w:lvlJc w:val="left"/>
      <w:pPr>
        <w:ind w:left="2880" w:hanging="360"/>
      </w:pPr>
      <w:rPr>
        <w:rFonts w:ascii="Symbol" w:hAnsi="Symbol" w:hint="default"/>
      </w:rPr>
    </w:lvl>
    <w:lvl w:ilvl="4" w:tplc="814A93C4">
      <w:start w:val="1"/>
      <w:numFmt w:val="bullet"/>
      <w:lvlText w:val="o"/>
      <w:lvlJc w:val="left"/>
      <w:pPr>
        <w:ind w:left="3600" w:hanging="360"/>
      </w:pPr>
      <w:rPr>
        <w:rFonts w:ascii="Courier New" w:hAnsi="Courier New" w:hint="default"/>
      </w:rPr>
    </w:lvl>
    <w:lvl w:ilvl="5" w:tplc="465CB7F6">
      <w:start w:val="1"/>
      <w:numFmt w:val="bullet"/>
      <w:lvlText w:val=""/>
      <w:lvlJc w:val="left"/>
      <w:pPr>
        <w:ind w:left="4320" w:hanging="360"/>
      </w:pPr>
      <w:rPr>
        <w:rFonts w:ascii="Wingdings" w:hAnsi="Wingdings" w:hint="default"/>
      </w:rPr>
    </w:lvl>
    <w:lvl w:ilvl="6" w:tplc="CFF474F8">
      <w:start w:val="1"/>
      <w:numFmt w:val="bullet"/>
      <w:lvlText w:val=""/>
      <w:lvlJc w:val="left"/>
      <w:pPr>
        <w:ind w:left="5040" w:hanging="360"/>
      </w:pPr>
      <w:rPr>
        <w:rFonts w:ascii="Symbol" w:hAnsi="Symbol" w:hint="default"/>
      </w:rPr>
    </w:lvl>
    <w:lvl w:ilvl="7" w:tplc="CB006030">
      <w:start w:val="1"/>
      <w:numFmt w:val="bullet"/>
      <w:lvlText w:val="o"/>
      <w:lvlJc w:val="left"/>
      <w:pPr>
        <w:ind w:left="5760" w:hanging="360"/>
      </w:pPr>
      <w:rPr>
        <w:rFonts w:ascii="Courier New" w:hAnsi="Courier New" w:hint="default"/>
      </w:rPr>
    </w:lvl>
    <w:lvl w:ilvl="8" w:tplc="7820C412">
      <w:start w:val="1"/>
      <w:numFmt w:val="bullet"/>
      <w:lvlText w:val=""/>
      <w:lvlJc w:val="left"/>
      <w:pPr>
        <w:ind w:left="6480" w:hanging="360"/>
      </w:pPr>
      <w:rPr>
        <w:rFonts w:ascii="Wingdings" w:hAnsi="Wingdings" w:hint="default"/>
      </w:rPr>
    </w:lvl>
  </w:abstractNum>
  <w:abstractNum w:abstractNumId="5" w15:restartNumberingAfterBreak="0">
    <w:nsid w:val="5E6166D8"/>
    <w:multiLevelType w:val="hybridMultilevel"/>
    <w:tmpl w:val="64B01CB2"/>
    <w:lvl w:ilvl="0" w:tplc="5C5E192E">
      <w:start w:val="1"/>
      <w:numFmt w:val="bullet"/>
      <w:lvlText w:val=""/>
      <w:lvlJc w:val="left"/>
      <w:pPr>
        <w:ind w:left="720" w:hanging="360"/>
      </w:pPr>
      <w:rPr>
        <w:rFonts w:ascii="Symbol" w:hAnsi="Symbol" w:hint="default"/>
      </w:rPr>
    </w:lvl>
    <w:lvl w:ilvl="1" w:tplc="55DA0238">
      <w:start w:val="1"/>
      <w:numFmt w:val="bullet"/>
      <w:lvlText w:val="o"/>
      <w:lvlJc w:val="left"/>
      <w:pPr>
        <w:ind w:left="1440" w:hanging="360"/>
      </w:pPr>
      <w:rPr>
        <w:rFonts w:ascii="Courier New" w:hAnsi="Courier New" w:hint="default"/>
      </w:rPr>
    </w:lvl>
    <w:lvl w:ilvl="2" w:tplc="75549C96">
      <w:start w:val="1"/>
      <w:numFmt w:val="bullet"/>
      <w:lvlText w:val=""/>
      <w:lvlJc w:val="left"/>
      <w:pPr>
        <w:ind w:left="2160" w:hanging="360"/>
      </w:pPr>
      <w:rPr>
        <w:rFonts w:ascii="Wingdings" w:hAnsi="Wingdings" w:hint="default"/>
      </w:rPr>
    </w:lvl>
    <w:lvl w:ilvl="3" w:tplc="A914134C">
      <w:start w:val="1"/>
      <w:numFmt w:val="bullet"/>
      <w:lvlText w:val=""/>
      <w:lvlJc w:val="left"/>
      <w:pPr>
        <w:ind w:left="2880" w:hanging="360"/>
      </w:pPr>
      <w:rPr>
        <w:rFonts w:ascii="Symbol" w:hAnsi="Symbol" w:hint="default"/>
      </w:rPr>
    </w:lvl>
    <w:lvl w:ilvl="4" w:tplc="C59EE80C">
      <w:start w:val="1"/>
      <w:numFmt w:val="bullet"/>
      <w:lvlText w:val="o"/>
      <w:lvlJc w:val="left"/>
      <w:pPr>
        <w:ind w:left="3600" w:hanging="360"/>
      </w:pPr>
      <w:rPr>
        <w:rFonts w:ascii="Courier New" w:hAnsi="Courier New" w:hint="default"/>
      </w:rPr>
    </w:lvl>
    <w:lvl w:ilvl="5" w:tplc="960265E8">
      <w:start w:val="1"/>
      <w:numFmt w:val="bullet"/>
      <w:lvlText w:val=""/>
      <w:lvlJc w:val="left"/>
      <w:pPr>
        <w:ind w:left="4320" w:hanging="360"/>
      </w:pPr>
      <w:rPr>
        <w:rFonts w:ascii="Wingdings" w:hAnsi="Wingdings" w:hint="default"/>
      </w:rPr>
    </w:lvl>
    <w:lvl w:ilvl="6" w:tplc="F5600EA8">
      <w:start w:val="1"/>
      <w:numFmt w:val="bullet"/>
      <w:lvlText w:val=""/>
      <w:lvlJc w:val="left"/>
      <w:pPr>
        <w:ind w:left="5040" w:hanging="360"/>
      </w:pPr>
      <w:rPr>
        <w:rFonts w:ascii="Symbol" w:hAnsi="Symbol" w:hint="default"/>
      </w:rPr>
    </w:lvl>
    <w:lvl w:ilvl="7" w:tplc="895AB1F6">
      <w:start w:val="1"/>
      <w:numFmt w:val="bullet"/>
      <w:lvlText w:val="o"/>
      <w:lvlJc w:val="left"/>
      <w:pPr>
        <w:ind w:left="5760" w:hanging="360"/>
      </w:pPr>
      <w:rPr>
        <w:rFonts w:ascii="Courier New" w:hAnsi="Courier New" w:hint="default"/>
      </w:rPr>
    </w:lvl>
    <w:lvl w:ilvl="8" w:tplc="A498FE42">
      <w:start w:val="1"/>
      <w:numFmt w:val="bullet"/>
      <w:lvlText w:val=""/>
      <w:lvlJc w:val="left"/>
      <w:pPr>
        <w:ind w:left="6480" w:hanging="360"/>
      </w:pPr>
      <w:rPr>
        <w:rFonts w:ascii="Wingdings" w:hAnsi="Wingdings" w:hint="default"/>
      </w:rPr>
    </w:lvl>
  </w:abstractNum>
  <w:abstractNum w:abstractNumId="6" w15:restartNumberingAfterBreak="0">
    <w:nsid w:val="7C1A3446"/>
    <w:multiLevelType w:val="hybridMultilevel"/>
    <w:tmpl w:val="1EC26478"/>
    <w:lvl w:ilvl="0" w:tplc="E848B028">
      <w:start w:val="1"/>
      <w:numFmt w:val="bullet"/>
      <w:lvlText w:val=""/>
      <w:lvlJc w:val="left"/>
      <w:pPr>
        <w:ind w:left="720" w:hanging="360"/>
      </w:pPr>
      <w:rPr>
        <w:rFonts w:ascii="Symbol" w:hAnsi="Symbol" w:hint="default"/>
      </w:rPr>
    </w:lvl>
    <w:lvl w:ilvl="1" w:tplc="6CCC327E">
      <w:start w:val="1"/>
      <w:numFmt w:val="bullet"/>
      <w:lvlText w:val="o"/>
      <w:lvlJc w:val="left"/>
      <w:pPr>
        <w:ind w:left="1440" w:hanging="360"/>
      </w:pPr>
      <w:rPr>
        <w:rFonts w:ascii="Courier New" w:hAnsi="Courier New" w:hint="default"/>
      </w:rPr>
    </w:lvl>
    <w:lvl w:ilvl="2" w:tplc="92A676AC">
      <w:start w:val="1"/>
      <w:numFmt w:val="bullet"/>
      <w:lvlText w:val=""/>
      <w:lvlJc w:val="left"/>
      <w:pPr>
        <w:ind w:left="2160" w:hanging="360"/>
      </w:pPr>
      <w:rPr>
        <w:rFonts w:ascii="Wingdings" w:hAnsi="Wingdings" w:hint="default"/>
      </w:rPr>
    </w:lvl>
    <w:lvl w:ilvl="3" w:tplc="1C4E3E1A">
      <w:start w:val="1"/>
      <w:numFmt w:val="bullet"/>
      <w:lvlText w:val=""/>
      <w:lvlJc w:val="left"/>
      <w:pPr>
        <w:ind w:left="2880" w:hanging="360"/>
      </w:pPr>
      <w:rPr>
        <w:rFonts w:ascii="Symbol" w:hAnsi="Symbol" w:hint="default"/>
      </w:rPr>
    </w:lvl>
    <w:lvl w:ilvl="4" w:tplc="CC580382">
      <w:start w:val="1"/>
      <w:numFmt w:val="bullet"/>
      <w:lvlText w:val="o"/>
      <w:lvlJc w:val="left"/>
      <w:pPr>
        <w:ind w:left="3600" w:hanging="360"/>
      </w:pPr>
      <w:rPr>
        <w:rFonts w:ascii="Courier New" w:hAnsi="Courier New" w:hint="default"/>
      </w:rPr>
    </w:lvl>
    <w:lvl w:ilvl="5" w:tplc="EAC044AA">
      <w:start w:val="1"/>
      <w:numFmt w:val="bullet"/>
      <w:lvlText w:val=""/>
      <w:lvlJc w:val="left"/>
      <w:pPr>
        <w:ind w:left="4320" w:hanging="360"/>
      </w:pPr>
      <w:rPr>
        <w:rFonts w:ascii="Wingdings" w:hAnsi="Wingdings" w:hint="default"/>
      </w:rPr>
    </w:lvl>
    <w:lvl w:ilvl="6" w:tplc="A00A267E">
      <w:start w:val="1"/>
      <w:numFmt w:val="bullet"/>
      <w:lvlText w:val=""/>
      <w:lvlJc w:val="left"/>
      <w:pPr>
        <w:ind w:left="5040" w:hanging="360"/>
      </w:pPr>
      <w:rPr>
        <w:rFonts w:ascii="Symbol" w:hAnsi="Symbol" w:hint="default"/>
      </w:rPr>
    </w:lvl>
    <w:lvl w:ilvl="7" w:tplc="F58A33A0">
      <w:start w:val="1"/>
      <w:numFmt w:val="bullet"/>
      <w:lvlText w:val="o"/>
      <w:lvlJc w:val="left"/>
      <w:pPr>
        <w:ind w:left="5760" w:hanging="360"/>
      </w:pPr>
      <w:rPr>
        <w:rFonts w:ascii="Courier New" w:hAnsi="Courier New" w:hint="default"/>
      </w:rPr>
    </w:lvl>
    <w:lvl w:ilvl="8" w:tplc="EF20622E">
      <w:start w:val="1"/>
      <w:numFmt w:val="bullet"/>
      <w:lvlText w:val=""/>
      <w:lvlJc w:val="left"/>
      <w:pPr>
        <w:ind w:left="6480" w:hanging="360"/>
      </w:pPr>
      <w:rPr>
        <w:rFonts w:ascii="Wingdings" w:hAnsi="Wingdings" w:hint="default"/>
      </w:rPr>
    </w:lvl>
  </w:abstractNum>
  <w:abstractNum w:abstractNumId="7" w15:restartNumberingAfterBreak="0">
    <w:nsid w:val="7E3D4887"/>
    <w:multiLevelType w:val="hybridMultilevel"/>
    <w:tmpl w:val="717E734C"/>
    <w:lvl w:ilvl="0" w:tplc="AFA6F010">
      <w:start w:val="1"/>
      <w:numFmt w:val="bullet"/>
      <w:lvlText w:val=""/>
      <w:lvlJc w:val="left"/>
      <w:pPr>
        <w:ind w:left="720" w:hanging="360"/>
      </w:pPr>
      <w:rPr>
        <w:rFonts w:ascii="Symbol" w:hAnsi="Symbol" w:hint="default"/>
      </w:rPr>
    </w:lvl>
    <w:lvl w:ilvl="1" w:tplc="30EC4248">
      <w:start w:val="1"/>
      <w:numFmt w:val="bullet"/>
      <w:lvlText w:val="o"/>
      <w:lvlJc w:val="left"/>
      <w:pPr>
        <w:ind w:left="1440" w:hanging="360"/>
      </w:pPr>
      <w:rPr>
        <w:rFonts w:ascii="Courier New" w:hAnsi="Courier New" w:hint="default"/>
      </w:rPr>
    </w:lvl>
    <w:lvl w:ilvl="2" w:tplc="126CFDCE">
      <w:start w:val="1"/>
      <w:numFmt w:val="bullet"/>
      <w:lvlText w:val=""/>
      <w:lvlJc w:val="left"/>
      <w:pPr>
        <w:ind w:left="2160" w:hanging="360"/>
      </w:pPr>
      <w:rPr>
        <w:rFonts w:ascii="Wingdings" w:hAnsi="Wingdings" w:hint="default"/>
      </w:rPr>
    </w:lvl>
    <w:lvl w:ilvl="3" w:tplc="6A026F56">
      <w:start w:val="1"/>
      <w:numFmt w:val="bullet"/>
      <w:lvlText w:val=""/>
      <w:lvlJc w:val="left"/>
      <w:pPr>
        <w:ind w:left="2880" w:hanging="360"/>
      </w:pPr>
      <w:rPr>
        <w:rFonts w:ascii="Symbol" w:hAnsi="Symbol" w:hint="default"/>
      </w:rPr>
    </w:lvl>
    <w:lvl w:ilvl="4" w:tplc="B1489F2E">
      <w:start w:val="1"/>
      <w:numFmt w:val="bullet"/>
      <w:lvlText w:val="o"/>
      <w:lvlJc w:val="left"/>
      <w:pPr>
        <w:ind w:left="3600" w:hanging="360"/>
      </w:pPr>
      <w:rPr>
        <w:rFonts w:ascii="Courier New" w:hAnsi="Courier New" w:hint="default"/>
      </w:rPr>
    </w:lvl>
    <w:lvl w:ilvl="5" w:tplc="14741D34">
      <w:start w:val="1"/>
      <w:numFmt w:val="bullet"/>
      <w:lvlText w:val=""/>
      <w:lvlJc w:val="left"/>
      <w:pPr>
        <w:ind w:left="4320" w:hanging="360"/>
      </w:pPr>
      <w:rPr>
        <w:rFonts w:ascii="Wingdings" w:hAnsi="Wingdings" w:hint="default"/>
      </w:rPr>
    </w:lvl>
    <w:lvl w:ilvl="6" w:tplc="A9D85918">
      <w:start w:val="1"/>
      <w:numFmt w:val="bullet"/>
      <w:lvlText w:val=""/>
      <w:lvlJc w:val="left"/>
      <w:pPr>
        <w:ind w:left="5040" w:hanging="360"/>
      </w:pPr>
      <w:rPr>
        <w:rFonts w:ascii="Symbol" w:hAnsi="Symbol" w:hint="default"/>
      </w:rPr>
    </w:lvl>
    <w:lvl w:ilvl="7" w:tplc="80580F40">
      <w:start w:val="1"/>
      <w:numFmt w:val="bullet"/>
      <w:lvlText w:val="o"/>
      <w:lvlJc w:val="left"/>
      <w:pPr>
        <w:ind w:left="5760" w:hanging="360"/>
      </w:pPr>
      <w:rPr>
        <w:rFonts w:ascii="Courier New" w:hAnsi="Courier New" w:hint="default"/>
      </w:rPr>
    </w:lvl>
    <w:lvl w:ilvl="8" w:tplc="47F055F2">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7"/>
  </w:num>
  <w:num w:numId="5">
    <w:abstractNumId w:val="2"/>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229295"/>
    <w:rsid w:val="003F06E5"/>
    <w:rsid w:val="006111F7"/>
    <w:rsid w:val="00E95725"/>
    <w:rsid w:val="10229295"/>
    <w:rsid w:val="239A116E"/>
    <w:rsid w:val="4F979E21"/>
    <w:rsid w:val="5D6F9F79"/>
    <w:rsid w:val="67A5672C"/>
    <w:rsid w:val="69D9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546B"/>
  <w15:chartTrackingRefBased/>
  <w15:docId w15:val="{0D948FEF-D0D2-45AF-9984-B7B04CFF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7690C34B-C647-4210-992A-591DD8567167}"/>
</file>

<file path=customXml/itemProps2.xml><?xml version="1.0" encoding="utf-8"?>
<ds:datastoreItem xmlns:ds="http://schemas.openxmlformats.org/officeDocument/2006/customXml" ds:itemID="{50CD56EB-B03D-4975-934D-754DBB2F88E1}"/>
</file>

<file path=customXml/itemProps3.xml><?xml version="1.0" encoding="utf-8"?>
<ds:datastoreItem xmlns:ds="http://schemas.openxmlformats.org/officeDocument/2006/customXml" ds:itemID="{F295D7E2-FC84-44C5-9260-CE791A9CE2CE}"/>
</file>

<file path=docProps/app.xml><?xml version="1.0" encoding="utf-8"?>
<Properties xmlns="http://schemas.openxmlformats.org/officeDocument/2006/extended-properties" xmlns:vt="http://schemas.openxmlformats.org/officeDocument/2006/docPropsVTypes">
  <Template>Normal.dotm</Template>
  <TotalTime>6</TotalTime>
  <Pages>6</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Gizem Korkmaz</cp:lastModifiedBy>
  <cp:revision>4</cp:revision>
  <dcterms:created xsi:type="dcterms:W3CDTF">2019-08-20T14:31:00Z</dcterms:created>
  <dcterms:modified xsi:type="dcterms:W3CDTF">2019-08-20T14:59:00Z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