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268E0" w14:textId="47039494" w:rsidR="00620EE1" w:rsidRDefault="00472ADA" w:rsidP="000544F5">
      <w:pPr>
        <w:pStyle w:val="Title"/>
      </w:pPr>
      <w:r w:rsidRPr="00472ADA">
        <w:t>Cost of living write up</w:t>
      </w:r>
    </w:p>
    <w:p w14:paraId="4CE33810" w14:textId="0877EC70" w:rsidR="00472ADA" w:rsidRDefault="00472ADA" w:rsidP="000544F5">
      <w:pPr>
        <w:pStyle w:val="Heading1"/>
      </w:pPr>
      <w:r>
        <w:t>Introduction</w:t>
      </w:r>
      <w:r w:rsidR="00D8559C">
        <w:t xml:space="preserve"> </w:t>
      </w:r>
      <w:r w:rsidR="00D8559C" w:rsidRPr="00D51763">
        <w:rPr>
          <w:color w:val="7030A0"/>
        </w:rPr>
        <w:t>[Joanna]</w:t>
      </w:r>
    </w:p>
    <w:p w14:paraId="01DABFF0" w14:textId="04FB3439" w:rsidR="001F70DA" w:rsidRDefault="001F70DA" w:rsidP="000544F5">
      <w:pPr>
        <w:pStyle w:val="Heading1"/>
      </w:pPr>
      <w:r>
        <w:t>What is cost of living?</w:t>
      </w:r>
    </w:p>
    <w:p w14:paraId="65625A9E" w14:textId="08543024" w:rsidR="00642898" w:rsidRDefault="00642898" w:rsidP="000544F5">
      <w:pPr>
        <w:pStyle w:val="Heading1"/>
      </w:pPr>
      <w:r>
        <w:t>Motivation for calculating cost of living</w:t>
      </w:r>
    </w:p>
    <w:p w14:paraId="652EB184" w14:textId="21960AB6" w:rsidR="00472ADA" w:rsidRDefault="00472ADA" w:rsidP="000544F5">
      <w:pPr>
        <w:pStyle w:val="Heading1"/>
      </w:pPr>
      <w:r>
        <w:t>Review</w:t>
      </w:r>
      <w:r w:rsidR="008A561E">
        <w:t xml:space="preserve"> of Current </w:t>
      </w:r>
      <w:r w:rsidR="009818FE">
        <w:t>Calculators</w:t>
      </w:r>
    </w:p>
    <w:p w14:paraId="3C266BAD" w14:textId="5E001932" w:rsidR="00185394" w:rsidRDefault="00185394" w:rsidP="000544F5">
      <w:pPr>
        <w:pStyle w:val="Heading1"/>
      </w:pPr>
      <w:r>
        <w:t>Features of most calculators</w:t>
      </w:r>
      <w:r w:rsidR="0009113A">
        <w:t xml:space="preserve"> </w:t>
      </w:r>
      <w:r w:rsidR="0009113A" w:rsidRPr="00D51763">
        <w:rPr>
          <w:color w:val="92D050"/>
        </w:rPr>
        <w:t>[Cesar]</w:t>
      </w:r>
    </w:p>
    <w:p w14:paraId="359D91A0" w14:textId="77777777" w:rsidR="00FE2ABA" w:rsidRDefault="00185394" w:rsidP="000544F5">
      <w:pPr>
        <w:pStyle w:val="Heading2"/>
      </w:pPr>
      <w:r>
        <w:t>What categories a</w:t>
      </w:r>
      <w:r w:rsidR="00FE2ABA">
        <w:t>lways occur?</w:t>
      </w:r>
    </w:p>
    <w:p w14:paraId="6DDB9AB9" w14:textId="40B6E706" w:rsidR="00185394" w:rsidRDefault="00FE2ABA" w:rsidP="000544F5">
      <w:pPr>
        <w:pStyle w:val="Heading2"/>
      </w:pPr>
      <w:r>
        <w:t xml:space="preserve">Can have different sizes of families, kids </w:t>
      </w:r>
      <w:proofErr w:type="spellStart"/>
      <w:r>
        <w:t>etc</w:t>
      </w:r>
      <w:proofErr w:type="spellEnd"/>
    </w:p>
    <w:p w14:paraId="49D43404" w14:textId="230CDB59" w:rsidR="009818FE" w:rsidRDefault="009818FE" w:rsidP="000544F5">
      <w:pPr>
        <w:pStyle w:val="Heading1"/>
      </w:pPr>
      <w:r>
        <w:t>EPI Calculator</w:t>
      </w:r>
      <w:r w:rsidR="0009113A">
        <w:t xml:space="preserve"> </w:t>
      </w:r>
      <w:r w:rsidR="0009113A" w:rsidRPr="00D51763">
        <w:rPr>
          <w:color w:val="C00000"/>
        </w:rPr>
        <w:t>[Donovan]</w:t>
      </w:r>
    </w:p>
    <w:p w14:paraId="67308FEC" w14:textId="461D8F90" w:rsidR="00472ADA" w:rsidRDefault="009818FE" w:rsidP="000544F5">
      <w:pPr>
        <w:pStyle w:val="Heading2"/>
      </w:pPr>
      <w:r>
        <w:t>What is EPI?</w:t>
      </w:r>
    </w:p>
    <w:p w14:paraId="13275957" w14:textId="77777777" w:rsidR="008E238A" w:rsidRDefault="008E238A" w:rsidP="008E238A">
      <w:r>
        <w:t>-non-profit thinktank; primary funders are labor unions and foundations, sometimes associated with labor unions</w:t>
      </w:r>
    </w:p>
    <w:p w14:paraId="4C3B1F2A" w14:textId="2DC8A550" w:rsidR="008E238A" w:rsidRPr="008E238A" w:rsidRDefault="008E238A" w:rsidP="008E238A">
      <w:r>
        <w:t>-Institute has done work illustrating the problems with the current federal minimum wage, possible that they could have incentive to structure calculator to emphasize that point</w:t>
      </w:r>
    </w:p>
    <w:p w14:paraId="3F49A644" w14:textId="2BD4517D" w:rsidR="00706E71" w:rsidRPr="008E238A" w:rsidRDefault="00706E71" w:rsidP="008E238A">
      <w:r>
        <w:t>-Funding from labor unions also suggests incentive to report on necessity of higher wages via calculator</w:t>
      </w:r>
    </w:p>
    <w:p w14:paraId="54153BF3" w14:textId="53FF05D0" w:rsidR="00FE2ABA" w:rsidRDefault="00FE2ABA" w:rsidP="000544F5">
      <w:pPr>
        <w:pStyle w:val="Heading2"/>
      </w:pPr>
      <w:r>
        <w:t>Any history of their calculator</w:t>
      </w:r>
    </w:p>
    <w:p w14:paraId="0D545167" w14:textId="31A26F0F" w:rsidR="00F94512" w:rsidRPr="00F94512" w:rsidRDefault="00F94512" w:rsidP="00F94512">
      <w:r>
        <w:t>-Stated goal of the calculator is provide a more accurate perspective on economic security in America as compared to anything which could be achieved using federal poverty line as a benchmark</w:t>
      </w:r>
    </w:p>
    <w:p w14:paraId="5714995E" w14:textId="3C35EF52" w:rsidR="00AB097E" w:rsidRDefault="00AB097E" w:rsidP="000544F5">
      <w:pPr>
        <w:pStyle w:val="Heading2"/>
      </w:pPr>
      <w:r>
        <w:t>Any unique features of their calculator</w:t>
      </w:r>
    </w:p>
    <w:p w14:paraId="462D7EC7" w14:textId="77777777" w:rsidR="002D27D6" w:rsidRDefault="002D27D6" w:rsidP="002D27D6">
      <w:r>
        <w:t>-Generally, the EPI skews slightly higher than others in most categories, especially when looking at expenses of single adults</w:t>
      </w:r>
    </w:p>
    <w:p w14:paraId="6B1CAD33" w14:textId="6CF10892" w:rsidR="002D27D6" w:rsidRPr="002D27D6" w:rsidRDefault="002D27D6" w:rsidP="002D27D6">
      <w:r>
        <w:t>-Interestingly childcare numbers for EPI are typically lower, it uses Child Care Aware data as opposed to state market surveys which are often reported at 75</w:t>
      </w:r>
      <w:r w:rsidRPr="008E13E8">
        <w:rPr>
          <w:vertAlign w:val="superscript"/>
        </w:rPr>
        <w:t>th</w:t>
      </w:r>
      <w:r>
        <w:t xml:space="preserve"> percentile costs to meet federal suggestions. As a result, the calculator skews higher than others for families without children but occasionally lower for those with many, depending on the region. </w:t>
      </w:r>
    </w:p>
    <w:p w14:paraId="204FA1B7" w14:textId="4312828C" w:rsidR="00B84BCD" w:rsidRPr="00B84BCD" w:rsidRDefault="00CC7AB4" w:rsidP="00CC7AB4">
      <w:r>
        <w:t>-1</w:t>
      </w:r>
      <w:r w:rsidRPr="00CC7AB4">
        <w:rPr>
          <w:vertAlign w:val="superscript"/>
        </w:rPr>
        <w:t>st</w:t>
      </w:r>
      <w:r>
        <w:t>, 2</w:t>
      </w:r>
      <w:r w:rsidRPr="00CC7AB4">
        <w:rPr>
          <w:vertAlign w:val="superscript"/>
        </w:rPr>
        <w:t>nd</w:t>
      </w:r>
      <w:r>
        <w:t>, 3</w:t>
      </w:r>
      <w:r w:rsidRPr="00CC7AB4">
        <w:rPr>
          <w:vertAlign w:val="superscript"/>
        </w:rPr>
        <w:t>rd</w:t>
      </w:r>
      <w:r>
        <w:t>, and 4</w:t>
      </w:r>
      <w:r w:rsidRPr="00CC7AB4">
        <w:rPr>
          <w:vertAlign w:val="superscript"/>
        </w:rPr>
        <w:t>th</w:t>
      </w:r>
      <w:r>
        <w:t xml:space="preserve"> children assumed to be 4, 8, 12, and 16 </w:t>
      </w:r>
      <w:proofErr w:type="spellStart"/>
      <w:r>
        <w:t>repsectively</w:t>
      </w:r>
      <w:proofErr w:type="spellEnd"/>
      <w:r>
        <w:t>.</w:t>
      </w:r>
    </w:p>
    <w:p w14:paraId="6ACC3A50" w14:textId="77777777" w:rsidR="000544F5" w:rsidRPr="000544F5" w:rsidRDefault="000544F5" w:rsidP="000544F5"/>
    <w:p w14:paraId="275AB60D" w14:textId="23196B84" w:rsidR="00AB097E" w:rsidRDefault="00AB097E" w:rsidP="000544F5">
      <w:pPr>
        <w:pStyle w:val="Heading1"/>
        <w:rPr>
          <w:color w:val="FFC000" w:themeColor="accent4"/>
        </w:rPr>
      </w:pPr>
      <w:r>
        <w:t>MIT Calculator</w:t>
      </w:r>
      <w:r w:rsidR="0009113A">
        <w:t xml:space="preserve"> </w:t>
      </w:r>
      <w:r w:rsidR="0009113A" w:rsidRPr="590C153B">
        <w:rPr>
          <w:color w:val="FFC000" w:themeColor="accent4"/>
        </w:rPr>
        <w:t>[Steve]</w:t>
      </w:r>
    </w:p>
    <w:p w14:paraId="5E06E8B0" w14:textId="40B6E706" w:rsidR="00AB097E" w:rsidRDefault="0072116D" w:rsidP="000544F5">
      <w:pPr>
        <w:pStyle w:val="Heading2"/>
      </w:pPr>
      <w:r>
        <w:t>Calculator overview</w:t>
      </w:r>
    </w:p>
    <w:p w14:paraId="0CCB6E2D" w14:textId="40B6E706" w:rsidR="00787657" w:rsidRDefault="00540A79" w:rsidP="00787657">
      <w:pPr>
        <w:ind w:firstLine="576"/>
      </w:pPr>
      <w:r>
        <w:t>The Living Wage Calculator</w:t>
      </w:r>
      <w:r w:rsidR="000B5562">
        <w:t xml:space="preserve"> is built</w:t>
      </w:r>
      <w:r w:rsidR="00D4293D">
        <w:t xml:space="preserve"> and maintained</w:t>
      </w:r>
      <w:r w:rsidR="000B5562">
        <w:t xml:space="preserve"> by </w:t>
      </w:r>
      <w:r w:rsidR="00D030E0">
        <w:t xml:space="preserve">the Department of Urban Studies and </w:t>
      </w:r>
      <w:r w:rsidR="00676709">
        <w:t>Planning</w:t>
      </w:r>
      <w:r w:rsidR="00A43D51">
        <w:t xml:space="preserve"> (DUSP) at the Massachusetts Institute of Technology.</w:t>
      </w:r>
      <w:r w:rsidR="0072116D">
        <w:t xml:space="preserve"> It was first created Dr. Amy K. Glasmeier in 2004.</w:t>
      </w:r>
      <w:r w:rsidR="00A43D51">
        <w:t xml:space="preserve"> </w:t>
      </w:r>
      <w:r w:rsidR="00D0576E" w:rsidRPr="00D0576E">
        <w:t>It is a market-based approach that draws upon geographically specific expenditure data related to a family’s likely minimum food, childcare, health insurance, housing, transportation, and other basic necessities (e.g. clothing, personal care items, etc.) costs. The living wage draws on these cost elements and the rough effects of income and payroll taxes to determine the minimum employment earnings necessary to meet a family’s basic needs while also maintaining self-sufficiency</w:t>
      </w:r>
      <w:r w:rsidR="00907F1C">
        <w:t xml:space="preserve"> </w:t>
      </w:r>
      <w:r w:rsidR="004A13FF">
        <w:t>(Nadeau et al., 2022).</w:t>
      </w:r>
    </w:p>
    <w:p w14:paraId="0419EECE" w14:textId="40B6E706" w:rsidR="00841B72" w:rsidRDefault="0072116D" w:rsidP="00841B72">
      <w:pPr>
        <w:pStyle w:val="Heading2"/>
      </w:pPr>
      <w:r>
        <w:t>Unique features</w:t>
      </w:r>
    </w:p>
    <w:p w14:paraId="27C815F2" w14:textId="2A38A12A" w:rsidR="00787657" w:rsidRPr="00787657" w:rsidRDefault="00787657" w:rsidP="0028741A">
      <w:pPr>
        <w:ind w:firstLine="576"/>
      </w:pPr>
      <w:r>
        <w:t xml:space="preserve">The </w:t>
      </w:r>
      <w:r w:rsidR="00B43574">
        <w:t xml:space="preserve">MIT calculator provides </w:t>
      </w:r>
      <w:r w:rsidR="00B0013E">
        <w:t>estimation of typical</w:t>
      </w:r>
      <w:r w:rsidR="00B43574">
        <w:t xml:space="preserve"> expense in each category based on </w:t>
      </w:r>
      <w:r w:rsidR="004A18FF">
        <w:t xml:space="preserve">their presumed </w:t>
      </w:r>
      <w:r w:rsidR="00CF516C">
        <w:t xml:space="preserve">family </w:t>
      </w:r>
      <w:r w:rsidR="00B0013E">
        <w:t xml:space="preserve">and age </w:t>
      </w:r>
      <w:r w:rsidR="00CF516C">
        <w:t>composition</w:t>
      </w:r>
      <w:r w:rsidR="006C6625">
        <w:t xml:space="preserve"> at county level, covering</w:t>
      </w:r>
      <w:r w:rsidR="00B0013E">
        <w:t xml:space="preserve"> the 50 states and the District of Columbia.</w:t>
      </w:r>
      <w:r w:rsidR="0017612E">
        <w:t xml:space="preserve"> </w:t>
      </w:r>
      <w:r w:rsidR="00A45D70">
        <w:t>The assumption for family and age composition is</w:t>
      </w:r>
      <w:r w:rsidR="00C750F2">
        <w:t xml:space="preserve"> “</w:t>
      </w:r>
      <w:r w:rsidR="0028741A">
        <w:t>Families with one child are assumed to have a ‘young child’ (4 years old). Families with two children are assumed to have a ‘young child’ and a ‘child’ (9 years old). Families with three children are assumed to have a ‘young child’, a ‘child’, and a ‘teenager’ (15 years old).</w:t>
      </w:r>
      <w:r w:rsidR="00C750F2">
        <w:t>”</w:t>
      </w:r>
      <w:r w:rsidR="00621E5B">
        <w:t xml:space="preserve"> Two-adult families are assumed to have either two full-time employees, or one full-time employee and one full-time childcare </w:t>
      </w:r>
      <w:r w:rsidR="009E02F2">
        <w:t xml:space="preserve">at home. </w:t>
      </w:r>
      <w:r w:rsidR="0039056D">
        <w:t>Users cannot adjust other parameters such as adult age</w:t>
      </w:r>
      <w:r w:rsidR="00342108">
        <w:t xml:space="preserve"> and smoker vs. non-smoker.</w:t>
      </w:r>
    </w:p>
    <w:p w14:paraId="14D76C19" w14:textId="40B6E706" w:rsidR="00AB097E" w:rsidRPr="00D51763" w:rsidRDefault="00761450" w:rsidP="000544F5">
      <w:pPr>
        <w:pStyle w:val="Heading1"/>
        <w:rPr>
          <w:color w:val="00B0F0"/>
        </w:rPr>
      </w:pPr>
      <w:r>
        <w:t>CFWW Calculator</w:t>
      </w:r>
      <w:r w:rsidR="0009113A">
        <w:t xml:space="preserve"> </w:t>
      </w:r>
      <w:r w:rsidR="0009113A" w:rsidRPr="00D51763">
        <w:rPr>
          <w:color w:val="00B0F0"/>
        </w:rPr>
        <w:t>[Kishore]</w:t>
      </w:r>
    </w:p>
    <w:p w14:paraId="60C7A2FF" w14:textId="40B6E706" w:rsidR="00761450" w:rsidRDefault="00761450" w:rsidP="000544F5">
      <w:pPr>
        <w:pStyle w:val="Heading2"/>
      </w:pPr>
      <w:r>
        <w:t>What is CFWW?</w:t>
      </w:r>
    </w:p>
    <w:p w14:paraId="49AF1560" w14:textId="456865DA" w:rsidR="57E5ACC9" w:rsidRDefault="57E5ACC9" w:rsidP="42AB6B24">
      <w:pPr>
        <w:jc w:val="both"/>
        <w:rPr>
          <w:rFonts w:eastAsiaTheme="minorEastAsia"/>
          <w:color w:val="000000" w:themeColor="text1"/>
        </w:rPr>
      </w:pPr>
      <w:r>
        <w:t xml:space="preserve">        </w:t>
      </w:r>
      <w:r w:rsidR="3DDF81E5" w:rsidRPr="3DDF81E5">
        <w:rPr>
          <w:rFonts w:eastAsiaTheme="minorEastAsia"/>
          <w:color w:val="000000" w:themeColor="text1"/>
        </w:rPr>
        <w:t xml:space="preserve">Created to advance economic justice for women and their families, the Center for Women’s Welfare </w:t>
      </w:r>
      <w:r w:rsidR="5D0BF5B3" w:rsidRPr="5D0BF5B3">
        <w:rPr>
          <w:rFonts w:eastAsiaTheme="minorEastAsia"/>
          <w:color w:val="000000" w:themeColor="text1"/>
        </w:rPr>
        <w:t>research</w:t>
      </w:r>
      <w:r w:rsidR="3DDF81E5" w:rsidRPr="3DDF81E5">
        <w:rPr>
          <w:rFonts w:eastAsiaTheme="minorEastAsia"/>
          <w:color w:val="000000" w:themeColor="text1"/>
        </w:rPr>
        <w:t xml:space="preserve"> issues around income inequality and economic opportunity. Its primary tool is the Self-Sufficiency Standard, which measures how much income is needed to meet basic living needs without additional public or private support.</w:t>
      </w:r>
    </w:p>
    <w:p w14:paraId="4EB3AD12" w14:textId="40B6E706" w:rsidR="00761450" w:rsidRDefault="00761450" w:rsidP="000544F5">
      <w:pPr>
        <w:pStyle w:val="Heading2"/>
      </w:pPr>
      <w:r>
        <w:t>Any history of their calculator</w:t>
      </w:r>
    </w:p>
    <w:p w14:paraId="09EBF8B0" w14:textId="2E42F3D0" w:rsidR="17B02AC7" w:rsidRDefault="6B9CAEF2" w:rsidP="4A246FCF">
      <w:pPr>
        <w:jc w:val="both"/>
        <w:rPr>
          <w:rFonts w:eastAsiaTheme="minorEastAsia"/>
          <w:color w:val="000000" w:themeColor="text1"/>
        </w:rPr>
      </w:pPr>
      <w:r>
        <w:t xml:space="preserve">           </w:t>
      </w:r>
      <w:r w:rsidRPr="6B9CAEF2">
        <w:rPr>
          <w:rFonts w:eastAsiaTheme="minorEastAsia"/>
          <w:color w:val="000000" w:themeColor="text1"/>
        </w:rPr>
        <w:t xml:space="preserve">Created to advance economic justice for women and their families, the Center for Women’s Welfare </w:t>
      </w:r>
      <w:r w:rsidR="5D0BF5B3" w:rsidRPr="5D0BF5B3">
        <w:rPr>
          <w:rFonts w:eastAsiaTheme="minorEastAsia"/>
          <w:color w:val="000000" w:themeColor="text1"/>
        </w:rPr>
        <w:t>research</w:t>
      </w:r>
      <w:r w:rsidRPr="6B9CAEF2">
        <w:rPr>
          <w:rFonts w:eastAsiaTheme="minorEastAsia"/>
          <w:color w:val="000000" w:themeColor="text1"/>
        </w:rPr>
        <w:t xml:space="preserve"> issues around income inequality and economic opportunity. Its primary tool is the Self-Sufficiency Standard, which measures how much income is needed to meet basic living needs without additional public or private support.</w:t>
      </w:r>
    </w:p>
    <w:p w14:paraId="5E035AA9" w14:textId="40B6E706" w:rsidR="00761450" w:rsidRDefault="00761450" w:rsidP="000544F5">
      <w:pPr>
        <w:pStyle w:val="Heading2"/>
      </w:pPr>
      <w:r>
        <w:t>Any unique features of their calculator</w:t>
      </w:r>
    </w:p>
    <w:p w14:paraId="2521CAA2" w14:textId="3B774D97" w:rsidR="3240DB01" w:rsidRDefault="08073611" w:rsidP="3B93B690">
      <w:pPr>
        <w:jc w:val="both"/>
      </w:pPr>
      <w:r>
        <w:t xml:space="preserve">          The Self-Sufficiency Standard measure calculates how much income a family must earn to meet basic needs, with the amount varying by family composition and where they live.   The Standard is a tool that can be used in a variety of ways by clients of workforce and training programs seeking paths to self-sufficiency, by program managers to evaluate program effectiveness, and by policymakers and legislators seeking to create programs and pathways that lead to self-sufficiency for working families.  Its use has transformed the way policies and programs for low-income workers are structured and has contributed to a greater understanding of what it takes to have adequate income to meet one’s basic needs in the United States.</w:t>
      </w:r>
    </w:p>
    <w:p w14:paraId="680977C5" w14:textId="7B636FF1" w:rsidR="00B176AA" w:rsidRDefault="00B176AA" w:rsidP="000544F5">
      <w:pPr>
        <w:pStyle w:val="Heading1"/>
      </w:pPr>
      <w:r>
        <w:t>Comparisons of these three calculators in the NCR</w:t>
      </w:r>
    </w:p>
    <w:p w14:paraId="40C5FCDA" w14:textId="5C2643A3" w:rsidR="00B614B5" w:rsidRDefault="00B614B5" w:rsidP="000544F5">
      <w:pPr>
        <w:pStyle w:val="Heading2"/>
      </w:pPr>
      <w:r>
        <w:t>Tables</w:t>
      </w:r>
      <w:r w:rsidR="00FC2336">
        <w:t>/maps/distribution</w:t>
      </w:r>
    </w:p>
    <w:p w14:paraId="5F210735" w14:textId="6028A44E" w:rsidR="00B176AA" w:rsidRPr="00472ADA" w:rsidRDefault="00B176AA" w:rsidP="000544F5">
      <w:pPr>
        <w:pStyle w:val="Heading2"/>
      </w:pPr>
      <w:r>
        <w:t>Motivation for a new solution</w:t>
      </w:r>
    </w:p>
    <w:p w14:paraId="0F4B16BB" w14:textId="61EF0801" w:rsidR="00761450" w:rsidRDefault="00B45691" w:rsidP="000544F5">
      <w:pPr>
        <w:pStyle w:val="Heading1"/>
      </w:pPr>
      <w:r>
        <w:t>Diving Deeper into Data Sources</w:t>
      </w:r>
    </w:p>
    <w:p w14:paraId="35CF9D1E" w14:textId="379CBC0E" w:rsidR="00B45691" w:rsidRDefault="00B45691" w:rsidP="000544F5">
      <w:pPr>
        <w:pStyle w:val="Heading1"/>
      </w:pPr>
      <w:r>
        <w:t>Review of data sources for housing</w:t>
      </w:r>
      <w:r w:rsidR="005E2988">
        <w:t xml:space="preserve"> </w:t>
      </w:r>
      <w:r w:rsidR="005E2988" w:rsidRPr="00D51763">
        <w:rPr>
          <w:color w:val="C00000"/>
        </w:rPr>
        <w:t>[Donovan]</w:t>
      </w:r>
    </w:p>
    <w:p w14:paraId="033282F8" w14:textId="41FBD921" w:rsidR="00B176AA" w:rsidRDefault="00B176AA" w:rsidP="000544F5">
      <w:pPr>
        <w:pStyle w:val="Heading2"/>
      </w:pPr>
      <w:r>
        <w:t>Discuss limitations</w:t>
      </w:r>
    </w:p>
    <w:p w14:paraId="057202C9" w14:textId="6D81EE88" w:rsidR="00B45691" w:rsidRDefault="00B45691" w:rsidP="000544F5">
      <w:pPr>
        <w:pStyle w:val="Heading1"/>
        <w:rPr>
          <w:color w:val="FFC000" w:themeColor="accent4"/>
        </w:rPr>
      </w:pPr>
      <w:r>
        <w:t>Review of data sources for food</w:t>
      </w:r>
      <w:r w:rsidR="005E2988">
        <w:t xml:space="preserve"> </w:t>
      </w:r>
      <w:r w:rsidR="005E2988" w:rsidRPr="590C153B">
        <w:rPr>
          <w:color w:val="FFC000" w:themeColor="accent4"/>
        </w:rPr>
        <w:t>[Steve]</w:t>
      </w:r>
    </w:p>
    <w:p w14:paraId="700EBB70" w14:textId="5D9B3D19" w:rsidR="00015E7C" w:rsidRPr="00015E7C" w:rsidRDefault="00113F75" w:rsidP="00015E7C">
      <w:pPr>
        <w:ind w:firstLine="432"/>
      </w:pPr>
      <w:r>
        <w:t xml:space="preserve">All calculators </w:t>
      </w:r>
      <w:r w:rsidR="008E54FB">
        <w:t>cited the</w:t>
      </w:r>
      <w:r w:rsidR="00754300">
        <w:t>ir</w:t>
      </w:r>
      <w:r>
        <w:t xml:space="preserve"> </w:t>
      </w:r>
      <w:r w:rsidR="00BF7CDB">
        <w:t xml:space="preserve">food </w:t>
      </w:r>
      <w:r>
        <w:t>cost from the United States Department of</w:t>
      </w:r>
      <w:r w:rsidR="00BF7CDB">
        <w:t xml:space="preserve"> </w:t>
      </w:r>
      <w:r>
        <w:t>Agriculture (USDA)</w:t>
      </w:r>
      <w:r w:rsidR="00BF7CDB">
        <w:t xml:space="preserve">. Among the four levels of food plan, </w:t>
      </w:r>
      <w:r w:rsidR="00455C47">
        <w:t xml:space="preserve">they choose </w:t>
      </w:r>
      <w:r w:rsidR="00BF7CDB">
        <w:t xml:space="preserve">the </w:t>
      </w:r>
      <w:r w:rsidR="00B53662">
        <w:t>second-</w:t>
      </w:r>
      <w:r w:rsidR="007B279F">
        <w:t>least expensive “low-cost plan”</w:t>
      </w:r>
      <w:r w:rsidR="008E54FB">
        <w:t xml:space="preserve"> as a national benchmark</w:t>
      </w:r>
      <w:r w:rsidR="00AE3B8C">
        <w:t xml:space="preserve">, implicitly assuming that every household buys </w:t>
      </w:r>
      <w:r w:rsidR="00207CCC">
        <w:t>raw food from grocery stores and prepare meals at home</w:t>
      </w:r>
      <w:r w:rsidR="005B48C8">
        <w:t xml:space="preserve"> (U.S. Department of Agriculture, 2022)</w:t>
      </w:r>
      <w:r w:rsidR="00207CCC">
        <w:t>.</w:t>
      </w:r>
      <w:r w:rsidR="00B4629B">
        <w:t xml:space="preserve"> In addition to the </w:t>
      </w:r>
      <w:r w:rsidR="003869B2">
        <w:t xml:space="preserve">national benchmark cost, they apply a </w:t>
      </w:r>
      <w:r w:rsidR="000139ED">
        <w:t>geographic</w:t>
      </w:r>
      <w:r w:rsidR="003869B2">
        <w:t xml:space="preserve"> adjuster to reflect the difference in food cost from county to county.</w:t>
      </w:r>
      <w:r w:rsidR="000139ED">
        <w:t xml:space="preserve"> While the MIT calculator used </w:t>
      </w:r>
      <w:r w:rsidR="003D5367">
        <w:t>their own empirical</w:t>
      </w:r>
      <w:r w:rsidR="000139ED">
        <w:t xml:space="preserve"> </w:t>
      </w:r>
      <w:r w:rsidR="003D5367">
        <w:t>estimator for</w:t>
      </w:r>
      <w:r w:rsidR="00036368">
        <w:t xml:space="preserve"> census regions (namely</w:t>
      </w:r>
      <w:r w:rsidR="003D5367">
        <w:t xml:space="preserve"> Northeast, Midwest, </w:t>
      </w:r>
      <w:r w:rsidR="002547C9">
        <w:t>West, and South</w:t>
      </w:r>
      <w:r w:rsidR="00036368">
        <w:t xml:space="preserve">), </w:t>
      </w:r>
      <w:r w:rsidR="001C20A9">
        <w:t xml:space="preserve">the EPI and the Washington calculators approach this difference with the average per-meal cost </w:t>
      </w:r>
      <w:r w:rsidR="00CC6046">
        <w:t>data from Feeding America</w:t>
      </w:r>
      <w:r w:rsidR="00015E7C">
        <w:t xml:space="preserve">’s </w:t>
      </w:r>
      <w:r w:rsidR="00015E7C">
        <w:rPr>
          <w:i/>
          <w:iCs/>
        </w:rPr>
        <w:t xml:space="preserve">Map the Meal Gap </w:t>
      </w:r>
      <w:r w:rsidR="00015E7C">
        <w:t>initiative</w:t>
      </w:r>
      <w:r w:rsidR="0019706D">
        <w:t xml:space="preserve">, which offers higher </w:t>
      </w:r>
      <w:r w:rsidR="003409DD">
        <w:t xml:space="preserve">granularity than </w:t>
      </w:r>
      <w:r w:rsidR="00DC354A">
        <w:t>census regions.</w:t>
      </w:r>
    </w:p>
    <w:p w14:paraId="3FBCEB79" w14:textId="3AB6AEEE" w:rsidR="00DC354A" w:rsidRPr="00015E7C" w:rsidRDefault="00DC354A" w:rsidP="0019706D">
      <w:pPr>
        <w:ind w:firstLine="432"/>
      </w:pPr>
      <w:r>
        <w:t xml:space="preserve">Nevertheless, the data </w:t>
      </w:r>
      <w:r w:rsidR="00745C09">
        <w:t xml:space="preserve">we have requested </w:t>
      </w:r>
      <w:r>
        <w:t xml:space="preserve">from Feeding America only goes down to </w:t>
      </w:r>
      <w:r w:rsidR="00DD1BF1">
        <w:t>the level of counties</w:t>
      </w:r>
      <w:r w:rsidR="00E877B4">
        <w:t>,</w:t>
      </w:r>
      <w:r w:rsidR="009F0303">
        <w:t xml:space="preserve"> and </w:t>
      </w:r>
      <w:r w:rsidR="00E877B4">
        <w:t xml:space="preserve">their latest report </w:t>
      </w:r>
      <w:r w:rsidR="009F0303">
        <w:t xml:space="preserve">is based on 2019 data (Feeding America, 2021). </w:t>
      </w:r>
      <w:r w:rsidR="00D91DA8">
        <w:t xml:space="preserve">This </w:t>
      </w:r>
      <w:r w:rsidR="00717254">
        <w:t xml:space="preserve">poses </w:t>
      </w:r>
      <w:r w:rsidR="00F63C18">
        <w:t xml:space="preserve">the necessity of discussing whether we need to have </w:t>
      </w:r>
      <w:r w:rsidR="00717EBF">
        <w:t xml:space="preserve">a </w:t>
      </w:r>
      <w:r w:rsidR="00575F43">
        <w:t>census-track level food cost data to reflect sub-county regional differences</w:t>
      </w:r>
      <w:r w:rsidR="006175C2">
        <w:t xml:space="preserve">, and whether the regional differences have </w:t>
      </w:r>
      <w:r w:rsidR="00EB05AA">
        <w:t>undergone</w:t>
      </w:r>
      <w:r w:rsidR="00F4669A">
        <w:t xml:space="preserve"> </w:t>
      </w:r>
      <w:r w:rsidR="00A13953">
        <w:t xml:space="preserve">significant </w:t>
      </w:r>
      <w:r w:rsidR="004873D1">
        <w:t>changes during the past two years.</w:t>
      </w:r>
    </w:p>
    <w:p w14:paraId="434D2006" w14:textId="140882DC" w:rsidR="00B45691" w:rsidRDefault="00B45691" w:rsidP="000544F5">
      <w:pPr>
        <w:pStyle w:val="Heading1"/>
        <w:rPr>
          <w:color w:val="C00000"/>
        </w:rPr>
      </w:pPr>
      <w:r>
        <w:t>Review of data sources for child care</w:t>
      </w:r>
      <w:r w:rsidR="005E2988">
        <w:t xml:space="preserve"> </w:t>
      </w:r>
      <w:r w:rsidR="005E2988" w:rsidRPr="00D51763">
        <w:rPr>
          <w:color w:val="C00000"/>
        </w:rPr>
        <w:t>[Donovan]</w:t>
      </w:r>
    </w:p>
    <w:p w14:paraId="08F9F308" w14:textId="64CBD4E0" w:rsidR="00B176AA" w:rsidRDefault="00B176AA" w:rsidP="000544F5">
      <w:pPr>
        <w:pStyle w:val="Heading2"/>
      </w:pPr>
      <w:r>
        <w:t>Discuss limitations</w:t>
      </w:r>
    </w:p>
    <w:p w14:paraId="66810135" w14:textId="5BC982C7" w:rsidR="00B45691" w:rsidRDefault="00B45691" w:rsidP="000544F5">
      <w:pPr>
        <w:pStyle w:val="Heading1"/>
        <w:rPr>
          <w:color w:val="00B0F0"/>
        </w:rPr>
      </w:pPr>
      <w:r>
        <w:t>Review of data sources for transportation</w:t>
      </w:r>
      <w:r w:rsidR="005E2988">
        <w:t xml:space="preserve"> </w:t>
      </w:r>
      <w:r w:rsidR="005E2988" w:rsidRPr="00D51763">
        <w:rPr>
          <w:color w:val="00B0F0"/>
        </w:rPr>
        <w:t>[Kishore]</w:t>
      </w:r>
    </w:p>
    <w:p w14:paraId="6A998F0A" w14:textId="2A0A071A" w:rsidR="01DDE79B" w:rsidRDefault="0559E7D4" w:rsidP="01DDE79B">
      <w:pPr>
        <w:jc w:val="both"/>
      </w:pPr>
      <w:r>
        <w:t xml:space="preserve"> </w:t>
      </w:r>
    </w:p>
    <w:p w14:paraId="5C04A57F" w14:textId="4DB0D893" w:rsidR="34C0F8EB" w:rsidRDefault="423976B3" w:rsidP="34C0F8EB">
      <w:pPr>
        <w:jc w:val="both"/>
      </w:pPr>
      <w:r>
        <w:t xml:space="preserve"> </w:t>
      </w:r>
      <w:r w:rsidR="4ACAB6D5">
        <w:t xml:space="preserve">Economic Policy </w:t>
      </w:r>
      <w:r w:rsidR="6E1CCCDC">
        <w:t xml:space="preserve">Institute </w:t>
      </w:r>
      <w:r w:rsidR="34C0F8EB">
        <w:t>Calculator</w:t>
      </w:r>
    </w:p>
    <w:p w14:paraId="19F0F333" w14:textId="7F1676FD" w:rsidR="423976B3" w:rsidRDefault="20D608D4" w:rsidP="1A3048B1">
      <w:pPr>
        <w:jc w:val="both"/>
      </w:pPr>
      <w:r>
        <w:t xml:space="preserve"> </w:t>
      </w:r>
      <w:r w:rsidR="4F96A014">
        <w:t xml:space="preserve"> </w:t>
      </w:r>
      <w:r w:rsidR="33EDB463">
        <w:t xml:space="preserve">  </w:t>
      </w:r>
      <w:r w:rsidR="34C0F8EB">
        <w:t xml:space="preserve"> The</w:t>
      </w:r>
      <w:r w:rsidR="423976B3">
        <w:t xml:space="preserve"> calculator uses data provided by the Center for Neighborhood Technology (CNT) and derived from CNT’s Housing and Transportation affordability Index (H+T Affordability Index). Transportation costs in the H+T index are estimated by adding up three major components of transportation costs: auto ownership, auto use, and transit use. These components were estimated by CNT using data from the Consumer Expenditure Survey, the 2015 National Transit Database, CNTs </w:t>
      </w:r>
      <w:r w:rsidR="615E629D">
        <w:t>All Transit</w:t>
      </w:r>
      <w:r w:rsidR="423976B3">
        <w:t xml:space="preserve"> database, and the Illinois Department of Natural Resources (CNT 2017). In the data provided to EPI, CNT modified these costs to account for the different family sizes in the Family Budget Calculator, as well as to account for assumptions made about trip </w:t>
      </w:r>
      <w:r w:rsidR="21D97307">
        <w:t>purposes.</w:t>
      </w:r>
      <w:r w:rsidR="423976B3">
        <w:t xml:space="preserve"> Adults in all family types are assumed to be working and, for the purposes of CNTs cost model, are assumed to be commuters. At our request, CNT adjusted the miles traveled component of their equation to only include work and nonsocial trips for the first adult in a household, and only work trips for the second adult (in two-adult households). Using national data from the 2009 National Highway Transportation Survey, this comes to 72 percent of average total vehicle miles traveled for the first adult, and 45 percent of average total vehicle miles traveled for the second adult, if applicable. </w:t>
      </w:r>
    </w:p>
    <w:p w14:paraId="05B21295" w14:textId="7AA0BB7F" w:rsidR="423976B3" w:rsidRDefault="423976B3" w:rsidP="1A3048B1">
      <w:pPr>
        <w:jc w:val="both"/>
      </w:pPr>
      <w:r>
        <w:t xml:space="preserve"> </w:t>
      </w:r>
    </w:p>
    <w:p w14:paraId="699FD1FC" w14:textId="2B998EBA" w:rsidR="423976B3" w:rsidRDefault="423976B3" w:rsidP="1A3048B1">
      <w:pPr>
        <w:jc w:val="both"/>
      </w:pPr>
      <w:r>
        <w:t>One unique feature of H+T is that we can get the tract level data from their website which includes major components involved in the calculation.</w:t>
      </w:r>
    </w:p>
    <w:p w14:paraId="01B6A106" w14:textId="29D65C70" w:rsidR="501EE430" w:rsidRDefault="501EE430" w:rsidP="501EE430">
      <w:pPr>
        <w:jc w:val="both"/>
      </w:pPr>
    </w:p>
    <w:p w14:paraId="4E396335" w14:textId="76A1BB44" w:rsidR="501EE430" w:rsidRDefault="0087462C" w:rsidP="501EE430">
      <w:pPr>
        <w:jc w:val="both"/>
      </w:pPr>
      <w:hyperlink r:id="rId9">
        <w:r w:rsidR="501EE430" w:rsidRPr="501EE430">
          <w:rPr>
            <w:rStyle w:val="Hyperlink"/>
          </w:rPr>
          <w:t>https://htaindex.cnt.org/about/HTMethods_2016.pdf</w:t>
        </w:r>
      </w:hyperlink>
    </w:p>
    <w:p w14:paraId="49B6939B" w14:textId="5B39E1FD" w:rsidR="398CE22A" w:rsidRDefault="398CE22A" w:rsidP="398CE22A">
      <w:pPr>
        <w:jc w:val="both"/>
      </w:pPr>
    </w:p>
    <w:p w14:paraId="3BC31508" w14:textId="7B3A14A2" w:rsidR="0BA2B79B" w:rsidRDefault="0BA2B79B" w:rsidP="0BA2B79B">
      <w:pPr>
        <w:jc w:val="both"/>
      </w:pPr>
      <w:r>
        <w:t xml:space="preserve">MIT Living wage </w:t>
      </w:r>
    </w:p>
    <w:p w14:paraId="75907201" w14:textId="33275C8E" w:rsidR="0BA2B79B" w:rsidRDefault="193006A7" w:rsidP="0BA2B79B">
      <w:pPr>
        <w:jc w:val="both"/>
      </w:pPr>
      <w:r>
        <w:t xml:space="preserve"> </w:t>
      </w:r>
      <w:r w:rsidR="1A034B2F">
        <w:t xml:space="preserve">   </w:t>
      </w:r>
      <w:r w:rsidR="0BA2B79B">
        <w:t>The transportation component is constructed using 2019 national expenditure data by household size from the 2020 Bureau of Labor Statistics Consumer Expenditure Survey including: (1) Cars and trucks (used), (2) gasoline and motor oil, (3) other vehicle expenses, and (4) public transportation. Transportation costs cover operational expenses such as fuel and routine maintenance as well as vehicle financing and vehicle insurance but do not include the costs of purchasing a new automobile.18 These costs were further adjusted for regional differences using annual expenditure shares reported by region.19 Expenditures were selected by household size, instead of as a share of household income because transportation cost (i.e. gas, repairs, etc.) are roughly the same for all persons regardless of income. Values were inflated from 2020 to 2021 (23.9%) dollars using the Consumer Price Index inflation multiplier from the Bureau of Labor Statistics.</w:t>
      </w:r>
    </w:p>
    <w:p w14:paraId="67445A9C" w14:textId="4540281A" w:rsidR="6FC9A63E" w:rsidRDefault="6FC9A63E" w:rsidP="6FC9A63E">
      <w:pPr>
        <w:jc w:val="both"/>
      </w:pPr>
    </w:p>
    <w:p w14:paraId="7DFBD984" w14:textId="1A8A74ED" w:rsidR="131BBC46" w:rsidRDefault="131BBC46" w:rsidP="131BBC46">
      <w:pPr>
        <w:jc w:val="both"/>
      </w:pPr>
      <w:r>
        <w:t>Washington Self Sufficiency Standard</w:t>
      </w:r>
    </w:p>
    <w:p w14:paraId="7FABFF99" w14:textId="393E4318" w:rsidR="131BBC46" w:rsidRDefault="131BBC46" w:rsidP="131BBC46">
      <w:pPr>
        <w:jc w:val="both"/>
      </w:pPr>
      <w:r>
        <w:t xml:space="preserve"> </w:t>
      </w:r>
    </w:p>
    <w:p w14:paraId="16554F1E" w14:textId="689BFB42" w:rsidR="131BBC46" w:rsidRDefault="131BBC46" w:rsidP="131BBC46">
      <w:pPr>
        <w:jc w:val="both"/>
      </w:pPr>
      <w:r>
        <w:t>If there is an “adequate” public transportation system in a given area, the Standard assumes workers use public transportation to get to and from work. A public transportation system is considered “adequate” if it is used by 7% or more of the working population in a given county. The cost of public transportation is calculated based on the price of a monthly adult pass.</w:t>
      </w:r>
    </w:p>
    <w:p w14:paraId="4B94478C" w14:textId="4875D9EE" w:rsidR="131BBC46" w:rsidRDefault="131BBC46" w:rsidP="131BBC46">
      <w:pPr>
        <w:jc w:val="both"/>
      </w:pPr>
      <w:r>
        <w:t xml:space="preserve"> </w:t>
      </w:r>
    </w:p>
    <w:p w14:paraId="43F25FC5" w14:textId="5865C5F7" w:rsidR="131BBC46" w:rsidRDefault="131BBC46" w:rsidP="131BBC46">
      <w:pPr>
        <w:jc w:val="both"/>
      </w:pPr>
      <w:r>
        <w:t>If the area lacks “adequate” public transportation, private transportation is assumed. Private transportation costs are based on the average cost of owning and operating a car. One car is assumed for households with one adult and two cars are assumed for households with two adults (as both are working, but presumably at different places and/or different hours). Costs are calculated assuming that the car(s) will be used to commute to and from work five days per week, plus one trip per week per household for shopping and errands.</w:t>
      </w:r>
    </w:p>
    <w:p w14:paraId="7D7F5C31" w14:textId="29F74566" w:rsidR="131BBC46" w:rsidRDefault="131BBC46" w:rsidP="131BBC46">
      <w:pPr>
        <w:jc w:val="both"/>
      </w:pPr>
      <w:r>
        <w:t xml:space="preserve"> </w:t>
      </w:r>
    </w:p>
    <w:p w14:paraId="486B6465" w14:textId="558A3C51" w:rsidR="131BBC46" w:rsidRDefault="131BBC46" w:rsidP="131BBC46">
      <w:pPr>
        <w:jc w:val="both"/>
      </w:pPr>
      <w:r>
        <w:t>One adult in each household with young children is assumed to have a slightly longer weekday trip to allow for “linking” trips to a daycare site. For per-mile costs, driving cost data from the American Automobile Association is used. The local commuting distance is computed from the National Household Travel Survey. The auto insurance premium is the average premium cost for a given state, calculated by the National Association of Insurance Commissioners. Geographic ratios are created using premiums for the automobile insurance companies with the largest market shares in the state.</w:t>
      </w:r>
    </w:p>
    <w:p w14:paraId="629E0F6D" w14:textId="4CAAA083" w:rsidR="131BBC46" w:rsidRDefault="131BBC46" w:rsidP="131BBC46">
      <w:pPr>
        <w:jc w:val="both"/>
      </w:pPr>
      <w:r>
        <w:t xml:space="preserve"> </w:t>
      </w:r>
    </w:p>
    <w:p w14:paraId="0AFC9B63" w14:textId="4254B950" w:rsidR="3847A931" w:rsidRDefault="131BBC46" w:rsidP="3847A931">
      <w:pPr>
        <w:jc w:val="both"/>
      </w:pPr>
      <w:r>
        <w:t xml:space="preserve">To estimate the fixed costs of car ownership, the Standard uses Consumer Expenditure Survey amounts for families with incomes between the 20th and 40th percentile. The fixed costs include expenses such as fire, theft, property damage and liability insurance, license, registration, taxes, repairs, monthly payments, and finance charges. </w:t>
      </w:r>
      <w:r w:rsidR="3847A931">
        <w:t>The monthly variable costs (e.g., gas, oil, tires, and maintenance) are also included, but the initial cost of purchasing a car is not.</w:t>
      </w:r>
    </w:p>
    <w:p w14:paraId="05F65F93" w14:textId="3EF470C5" w:rsidR="70FA0DF3" w:rsidRDefault="70FA0DF3" w:rsidP="20D608D4">
      <w:pPr>
        <w:jc w:val="both"/>
      </w:pPr>
    </w:p>
    <w:p w14:paraId="2C2D4DF6" w14:textId="1E79CB0C" w:rsidR="00B176AA" w:rsidRDefault="00B176AA" w:rsidP="000544F5">
      <w:pPr>
        <w:pStyle w:val="Heading2"/>
      </w:pPr>
      <w:r>
        <w:t>Discuss limitations</w:t>
      </w:r>
    </w:p>
    <w:p w14:paraId="61AD2818" w14:textId="56FE65F1" w:rsidR="1EA236EC" w:rsidRDefault="1EA236EC" w:rsidP="676530CD">
      <w:pPr>
        <w:jc w:val="both"/>
      </w:pPr>
      <w:r>
        <w:t xml:space="preserve">        The values provided by the Washington Self Sufficiency standard </w:t>
      </w:r>
      <w:r w:rsidR="75C5C461">
        <w:t>do</w:t>
      </w:r>
      <w:r>
        <w:t xml:space="preserve"> not look like an adequate value and </w:t>
      </w:r>
      <w:r w:rsidR="676530CD">
        <w:t>it’s</w:t>
      </w:r>
      <w:r>
        <w:t xml:space="preserve"> relatively very low and it doesn’t sound like accounting all possible factors in calculation. </w:t>
      </w:r>
    </w:p>
    <w:p w14:paraId="3B113429" w14:textId="2A38E1CC" w:rsidR="1EA236EC" w:rsidRDefault="72D3B206" w:rsidP="676530CD">
      <w:pPr>
        <w:jc w:val="both"/>
      </w:pPr>
      <w:r>
        <w:t xml:space="preserve"> </w:t>
      </w:r>
      <w:r w:rsidR="21944947">
        <w:t xml:space="preserve">         </w:t>
      </w:r>
      <w:r w:rsidR="1EA236EC">
        <w:t>While providing transportation data to EPI, CNT provided some modified versions to account for different family sizes and those modified data are not accessible.</w:t>
      </w:r>
    </w:p>
    <w:p w14:paraId="5994B166" w14:textId="21FEBEAF" w:rsidR="1159DECF" w:rsidRDefault="1159DECF" w:rsidP="1159DECF"/>
    <w:p w14:paraId="0A5DF435" w14:textId="530616ED" w:rsidR="00B45691" w:rsidRDefault="00B45691" w:rsidP="000544F5">
      <w:pPr>
        <w:pStyle w:val="Heading1"/>
        <w:rPr>
          <w:color w:val="FFC000" w:themeColor="accent4"/>
        </w:rPr>
      </w:pPr>
      <w:r>
        <w:t>Review of data sources for healthcare</w:t>
      </w:r>
      <w:r w:rsidR="005E2988">
        <w:t xml:space="preserve"> </w:t>
      </w:r>
      <w:r w:rsidR="005E2988" w:rsidRPr="70FA0DF3">
        <w:rPr>
          <w:color w:val="FFC000" w:themeColor="accent4"/>
        </w:rPr>
        <w:t>[</w:t>
      </w:r>
      <w:r w:rsidR="00D8559C" w:rsidRPr="70FA0DF3">
        <w:rPr>
          <w:color w:val="FFC000" w:themeColor="accent4"/>
        </w:rPr>
        <w:t>Steve]</w:t>
      </w:r>
    </w:p>
    <w:p w14:paraId="723908AE" w14:textId="59880A75" w:rsidR="001D1274" w:rsidRPr="001D1274" w:rsidRDefault="001142B5" w:rsidP="001D1274">
      <w:pPr>
        <w:pStyle w:val="Heading2"/>
      </w:pPr>
      <w:r>
        <w:t>Health insurance</w:t>
      </w:r>
    </w:p>
    <w:p w14:paraId="1780B40B" w14:textId="1AC73FBB" w:rsidR="0011623B" w:rsidRDefault="003B51C9" w:rsidP="003B51C9">
      <w:pPr>
        <w:ind w:firstLine="432"/>
      </w:pPr>
      <w:r>
        <w:t xml:space="preserve">Healthcare cost consists of two components: cost of health insurance and out-of-pocket expenses. </w:t>
      </w:r>
      <w:r w:rsidR="00337BB0">
        <w:t xml:space="preserve">There are multiple available data sources for </w:t>
      </w:r>
      <w:r w:rsidR="00A571D5">
        <w:t>insurance premiums</w:t>
      </w:r>
      <w:r w:rsidR="00873449">
        <w:t>, and one of them is the marketplace data from HHS (Department of Health and Human Services, 2022)</w:t>
      </w:r>
      <w:r w:rsidR="00DA72D8">
        <w:t xml:space="preserve">. </w:t>
      </w:r>
      <w:r w:rsidR="00E466C2">
        <w:t>The HHS</w:t>
      </w:r>
      <w:r w:rsidR="00DA72D8">
        <w:t xml:space="preserve"> provide</w:t>
      </w:r>
      <w:r w:rsidR="00F0480F">
        <w:t xml:space="preserve"> the</w:t>
      </w:r>
      <w:r w:rsidR="00DA72D8">
        <w:t xml:space="preserve"> data of healthcare plan</w:t>
      </w:r>
      <w:r w:rsidR="00F0480F">
        <w:t>s</w:t>
      </w:r>
      <w:r w:rsidR="003C0E07">
        <w:t xml:space="preserve">, </w:t>
      </w:r>
      <w:r w:rsidR="009B2D9A">
        <w:t>open to</w:t>
      </w:r>
      <w:r w:rsidR="003C0E07">
        <w:t xml:space="preserve"> </w:t>
      </w:r>
      <w:r w:rsidR="009B2D9A">
        <w:t xml:space="preserve">individual purchase and </w:t>
      </w:r>
      <w:r w:rsidR="003C0E07">
        <w:t xml:space="preserve">qualified for </w:t>
      </w:r>
      <w:r w:rsidR="009B2D9A">
        <w:t xml:space="preserve">government </w:t>
      </w:r>
      <w:r w:rsidR="003C0E07">
        <w:t xml:space="preserve">subsidies under </w:t>
      </w:r>
      <w:r w:rsidR="009B2D9A">
        <w:t xml:space="preserve">the </w:t>
      </w:r>
      <w:r w:rsidR="003C0E07">
        <w:t>ACA,</w:t>
      </w:r>
      <w:r w:rsidR="00DA72D8">
        <w:t xml:space="preserve"> at different levels of insurance in </w:t>
      </w:r>
      <w:r w:rsidR="00CB7F76">
        <w:t>each county</w:t>
      </w:r>
      <w:r w:rsidR="00E466C2">
        <w:t xml:space="preserve"> in states </w:t>
      </w:r>
      <w:r w:rsidR="00B12060">
        <w:t>that participate in the federal marketplace</w:t>
      </w:r>
      <w:r w:rsidR="00E466C2">
        <w:t xml:space="preserve">. Data on other states are provided by HHS’s state-level counterparts. </w:t>
      </w:r>
      <w:r w:rsidR="004C350F">
        <w:t>This synthesis of state</w:t>
      </w:r>
      <w:r w:rsidR="00AB7B2A">
        <w:t xml:space="preserve"> and federal data can be found at Kaiser’s Family Foundation </w:t>
      </w:r>
      <w:r w:rsidR="00175A9E">
        <w:t>(2021)</w:t>
      </w:r>
      <w:r w:rsidR="002372FA">
        <w:t>.</w:t>
      </w:r>
      <w:r w:rsidR="005D0F2C">
        <w:t xml:space="preserve"> </w:t>
      </w:r>
      <w:r w:rsidR="00BF563A">
        <w:t xml:space="preserve">A caveat of this source is that most people in the US obtain their health insurance through employer-sponsored programs, while the price provided in this database is </w:t>
      </w:r>
      <w:r w:rsidR="007F23AE">
        <w:t>the price for individual purchases.</w:t>
      </w:r>
    </w:p>
    <w:p w14:paraId="66488CB4" w14:textId="7DBDA584" w:rsidR="00B176AA" w:rsidRDefault="005D0F2C" w:rsidP="003B51C9">
      <w:pPr>
        <w:ind w:firstLine="432"/>
      </w:pPr>
      <w:r>
        <w:t xml:space="preserve">Another data source </w:t>
      </w:r>
      <w:r w:rsidR="0011623B">
        <w:t>of aid</w:t>
      </w:r>
      <w:r>
        <w:t xml:space="preserve"> is the</w:t>
      </w:r>
      <w:r w:rsidR="00201438">
        <w:t xml:space="preserve"> </w:t>
      </w:r>
      <w:r w:rsidR="002B7809">
        <w:t>Medical Panel Expenditure Survey (MEPS). They provide</w:t>
      </w:r>
      <w:r>
        <w:t xml:space="preserve"> </w:t>
      </w:r>
      <w:r w:rsidR="00BB5F98">
        <w:t>state-wide</w:t>
      </w:r>
      <w:r>
        <w:t xml:space="preserve"> average </w:t>
      </w:r>
      <w:r w:rsidR="009240F5">
        <w:t>premiums</w:t>
      </w:r>
      <w:r w:rsidR="005B5781">
        <w:t xml:space="preserve"> of employer-sponsored </w:t>
      </w:r>
      <w:r w:rsidR="002B7809">
        <w:t xml:space="preserve">health </w:t>
      </w:r>
      <w:r w:rsidR="009240F5">
        <w:t>insurance</w:t>
      </w:r>
      <w:r w:rsidR="002B7809">
        <w:t>, for individual, employee-plus-one, or family</w:t>
      </w:r>
      <w:r w:rsidR="009240F5">
        <w:t xml:space="preserve"> </w:t>
      </w:r>
      <w:r w:rsidR="00130C93">
        <w:t>plans</w:t>
      </w:r>
      <w:r w:rsidR="002B7809">
        <w:t>.</w:t>
      </w:r>
      <w:r w:rsidR="0011623B">
        <w:t xml:space="preserve"> Nevertheless, this offers </w:t>
      </w:r>
      <w:r w:rsidR="0073197D">
        <w:t>only</w:t>
      </w:r>
      <w:r w:rsidR="004223EB">
        <w:t xml:space="preserve"> </w:t>
      </w:r>
      <w:r w:rsidR="00C523D3">
        <w:t>the</w:t>
      </w:r>
      <w:r w:rsidR="004223EB">
        <w:t xml:space="preserve"> geographic </w:t>
      </w:r>
      <w:r w:rsidR="003F3A7D">
        <w:t>granularity</w:t>
      </w:r>
      <w:r w:rsidR="0073197D">
        <w:t xml:space="preserve"> at the state level</w:t>
      </w:r>
      <w:r w:rsidR="005570FA">
        <w:t xml:space="preserve"> </w:t>
      </w:r>
      <w:r w:rsidR="007C2FB2">
        <w:t>(Agency for Healthcare Research and Quality, 2020)</w:t>
      </w:r>
      <w:r w:rsidR="00AB3395">
        <w:t xml:space="preserve">, which poses </w:t>
      </w:r>
      <w:r w:rsidR="002705D0">
        <w:t xml:space="preserve">challenges in being of </w:t>
      </w:r>
      <w:r w:rsidR="00CF779E">
        <w:t xml:space="preserve">direct </w:t>
      </w:r>
      <w:r w:rsidR="002705D0">
        <w:t>help for policymakers.</w:t>
      </w:r>
    </w:p>
    <w:p w14:paraId="0F25C39C" w14:textId="59BA2F5F" w:rsidR="001142B5" w:rsidRDefault="001142B5" w:rsidP="001142B5">
      <w:pPr>
        <w:pStyle w:val="Heading2"/>
      </w:pPr>
      <w:r>
        <w:t>Out-of-pocket expenses</w:t>
      </w:r>
    </w:p>
    <w:p w14:paraId="40A182DA" w14:textId="6DACFC4F" w:rsidR="001142B5" w:rsidRDefault="001142B5" w:rsidP="003B51C9">
      <w:pPr>
        <w:ind w:firstLine="432"/>
      </w:pPr>
      <w:r>
        <w:t xml:space="preserve">The availability of data on out-of-pocket expenses is very limited. </w:t>
      </w:r>
      <w:r w:rsidR="00A6037C">
        <w:t xml:space="preserve">The MEPS </w:t>
      </w:r>
      <w:r w:rsidR="006D66A7">
        <w:t xml:space="preserve">household-component data provides </w:t>
      </w:r>
      <w:r w:rsidR="00552A53">
        <w:t xml:space="preserve">by-age average </w:t>
      </w:r>
      <w:r w:rsidR="007F0E12">
        <w:t>out-of-pocket medical expenses at the level of census regions</w:t>
      </w:r>
      <w:r w:rsidR="00DE1D34">
        <w:t xml:space="preserve"> and differentiated between metropolitan and non-metropolitan areas</w:t>
      </w:r>
      <w:r w:rsidR="00B66A92">
        <w:t xml:space="preserve">. Another </w:t>
      </w:r>
      <w:r w:rsidR="00D0675F">
        <w:t>possible source, the Consumer Expenditure Survey</w:t>
      </w:r>
      <w:r w:rsidR="00045479">
        <w:t>s</w:t>
      </w:r>
      <w:r w:rsidR="00D0675F">
        <w:t xml:space="preserve"> </w:t>
      </w:r>
      <w:r w:rsidR="00877B22">
        <w:t>(2021)</w:t>
      </w:r>
      <w:r w:rsidR="00D0675F">
        <w:t xml:space="preserve">, provides data on </w:t>
      </w:r>
      <w:r w:rsidR="008B6419">
        <w:t xml:space="preserve">the national </w:t>
      </w:r>
      <w:r w:rsidR="00D0675F">
        <w:t xml:space="preserve">average expenses on </w:t>
      </w:r>
      <w:r w:rsidR="00BF7332">
        <w:t xml:space="preserve">“Medical Service, Drugs, and Medical Supplies”, which is </w:t>
      </w:r>
      <w:r w:rsidR="008A1856">
        <w:t xml:space="preserve">debatably </w:t>
      </w:r>
      <w:r w:rsidR="00BF7332">
        <w:t xml:space="preserve">considered by the MIT calculator as </w:t>
      </w:r>
      <w:r w:rsidR="008A1856">
        <w:t>a</w:t>
      </w:r>
      <w:r w:rsidR="00F00967">
        <w:t xml:space="preserve">n </w:t>
      </w:r>
      <w:r w:rsidR="00EB3045">
        <w:t xml:space="preserve">estimation </w:t>
      </w:r>
      <w:r w:rsidR="00F00967">
        <w:t>for total</w:t>
      </w:r>
      <w:r w:rsidR="00BF7332">
        <w:t xml:space="preserve"> out-of-pocket </w:t>
      </w:r>
      <w:r w:rsidR="008A1856">
        <w:t>expenses</w:t>
      </w:r>
      <w:r w:rsidR="00EB3045">
        <w:t>, also at</w:t>
      </w:r>
      <w:r w:rsidR="00B12060">
        <w:t xml:space="preserve"> </w:t>
      </w:r>
      <w:r w:rsidR="00C216FF">
        <w:t>the level of census regions.</w:t>
      </w:r>
    </w:p>
    <w:p w14:paraId="0A82E969" w14:textId="31026896" w:rsidR="00D968AF" w:rsidRDefault="00DE1D34" w:rsidP="003B51C9">
      <w:pPr>
        <w:ind w:firstLine="432"/>
      </w:pPr>
      <w:r>
        <w:t xml:space="preserve">With the lack of </w:t>
      </w:r>
      <w:r w:rsidR="006D2D64">
        <w:t xml:space="preserve">additional and </w:t>
      </w:r>
      <w:r w:rsidR="00164540">
        <w:t xml:space="preserve">more granular data, we need to </w:t>
      </w:r>
      <w:r w:rsidR="00B03B68">
        <w:t xml:space="preserve">evaluate the statistical and economic significance of the possible </w:t>
      </w:r>
      <w:r w:rsidR="002C6A30">
        <w:t xml:space="preserve">divergence </w:t>
      </w:r>
      <w:r w:rsidR="00546FB5">
        <w:t>of health expenditures between counties</w:t>
      </w:r>
      <w:r w:rsidR="00320C84">
        <w:t xml:space="preserve">, namely how much does the price of the same drug/medical supply vary </w:t>
      </w:r>
      <w:r w:rsidR="00F108E1">
        <w:t>from one county to another, if there exists such a gap.</w:t>
      </w:r>
    </w:p>
    <w:p w14:paraId="1B0268EC" w14:textId="1008C43F" w:rsidR="00B45691" w:rsidRDefault="00B45691" w:rsidP="000544F5">
      <w:pPr>
        <w:pStyle w:val="Heading1"/>
      </w:pPr>
      <w:r>
        <w:t>Review of data sources for other necessities</w:t>
      </w:r>
    </w:p>
    <w:p w14:paraId="14A34B17" w14:textId="0762333B" w:rsidR="00B176AA" w:rsidRDefault="00B176AA" w:rsidP="000544F5">
      <w:pPr>
        <w:pStyle w:val="Heading2"/>
      </w:pPr>
      <w:r>
        <w:t>Discuss limitations</w:t>
      </w:r>
    </w:p>
    <w:p w14:paraId="3B5D5C69" w14:textId="693438D7" w:rsidR="00B45691" w:rsidRDefault="00B45691" w:rsidP="000544F5">
      <w:pPr>
        <w:pStyle w:val="Heading1"/>
        <w:rPr>
          <w:color w:val="00B0F0"/>
        </w:rPr>
      </w:pPr>
      <w:r>
        <w:t>Review of data sources for taxes</w:t>
      </w:r>
      <w:r w:rsidR="00D8559C">
        <w:t xml:space="preserve"> </w:t>
      </w:r>
      <w:r w:rsidR="00D8559C" w:rsidRPr="00D51763">
        <w:rPr>
          <w:color w:val="00B0F0"/>
        </w:rPr>
        <w:t>[Kishore]</w:t>
      </w:r>
    </w:p>
    <w:p w14:paraId="1D4AECB9" w14:textId="4E295B19" w:rsidR="046882C1" w:rsidRDefault="6C84EDF2" w:rsidP="046882C1">
      <w:r>
        <w:t xml:space="preserve">     </w:t>
      </w:r>
      <w:r w:rsidR="4932D7EB">
        <w:t xml:space="preserve">   </w:t>
      </w:r>
    </w:p>
    <w:p w14:paraId="4FA0B1DA" w14:textId="09B70D9D" w:rsidR="046882C1" w:rsidRDefault="046882C1" w:rsidP="0042E088">
      <w:pPr>
        <w:jc w:val="both"/>
        <w:rPr>
          <w:b/>
        </w:rPr>
      </w:pPr>
      <w:r w:rsidRPr="2180A5F8">
        <w:rPr>
          <w:b/>
        </w:rPr>
        <w:t>Economic Policy Institute Calculator</w:t>
      </w:r>
    </w:p>
    <w:p w14:paraId="6A04F250" w14:textId="22B4E77D" w:rsidR="046882C1" w:rsidRDefault="046882C1" w:rsidP="0042E088">
      <w:pPr>
        <w:jc w:val="both"/>
      </w:pPr>
      <w:r>
        <w:t xml:space="preserve"> </w:t>
      </w:r>
    </w:p>
    <w:p w14:paraId="64F496D6" w14:textId="516D3E78" w:rsidR="046882C1" w:rsidRDefault="046882C1" w:rsidP="0042E088">
      <w:pPr>
        <w:jc w:val="both"/>
      </w:pPr>
      <w:r>
        <w:t>Taxes are calculated from the National Bureau of Economic Research’s Internet TAXSIM, an online tool that calculates information on federal personal income taxes, state income taxes, and federal Social Security and Medicare payroll taxes.</w:t>
      </w:r>
    </w:p>
    <w:p w14:paraId="441FC1B0" w14:textId="35E21595" w:rsidR="046882C1" w:rsidRDefault="046882C1" w:rsidP="0042E088">
      <w:pPr>
        <w:jc w:val="both"/>
      </w:pPr>
      <w:r>
        <w:t xml:space="preserve"> </w:t>
      </w:r>
    </w:p>
    <w:p w14:paraId="0FCDAF36" w14:textId="3C206E06" w:rsidR="046882C1" w:rsidRDefault="046882C1" w:rsidP="0042E088">
      <w:pPr>
        <w:jc w:val="both"/>
      </w:pPr>
      <w:r>
        <w:t>The family budget components, without taxes, sum to the family’s post-tax income. To calculate the family budget tax component, a pre-tax income level must be estimated using a tax rate and the post-tax income.</w:t>
      </w:r>
    </w:p>
    <w:p w14:paraId="50A61D39" w14:textId="0DBA3D5C" w:rsidR="046882C1" w:rsidRDefault="046882C1" w:rsidP="0042E088">
      <w:pPr>
        <w:jc w:val="both"/>
      </w:pPr>
      <w:r>
        <w:t xml:space="preserve"> </w:t>
      </w:r>
    </w:p>
    <w:p w14:paraId="52476DAA" w14:textId="747819E6" w:rsidR="046882C1" w:rsidRDefault="046882C1" w:rsidP="0042E088">
      <w:pPr>
        <w:jc w:val="both"/>
      </w:pPr>
      <w:r>
        <w:t xml:space="preserve">We use the National Bureau of Economic Research’s TAXSIM, a microsimulation model of the U.S. federal and state income tax systems accessed online. We use Version 32 to calculate these tax rates (NBER 2021). The TAXSIM model accepts 32 input variables, including state, marital status, dependent exemptions, wage income, other incomes, rent paid, </w:t>
      </w:r>
      <w:r w:rsidR="424B4902">
        <w:t>childcare</w:t>
      </w:r>
      <w:r>
        <w:t xml:space="preserve"> expenses, and capital gains and losses (</w:t>
      </w:r>
      <w:proofErr w:type="spellStart"/>
      <w:r>
        <w:t>Feenberg</w:t>
      </w:r>
      <w:proofErr w:type="spellEnd"/>
      <w:r>
        <w:t xml:space="preserve"> and Coutts 1993). We run the TAXSIM model for each family type across all county and metro areas. Although the TAXSIM Version 32 includes the Economic Impact Payments as part of the Coronavirus Aid, Relief, and Economic Security Act, we remove them to reflect a more evergreen and less idiosyncratic Family Budget Calculator.</w:t>
      </w:r>
    </w:p>
    <w:p w14:paraId="3D6E3D21" w14:textId="2CE269CE" w:rsidR="378A63E2" w:rsidRDefault="378A63E2" w:rsidP="378A63E2">
      <w:pPr>
        <w:jc w:val="both"/>
      </w:pPr>
    </w:p>
    <w:p w14:paraId="5C115966" w14:textId="1F557E69" w:rsidR="0457DE67" w:rsidRDefault="00201AB9" w:rsidP="0457DE67">
      <w:pPr>
        <w:jc w:val="both"/>
      </w:pPr>
      <w:hyperlink r:id="rId10">
        <w:r w:rsidR="033FA2F0" w:rsidRPr="033FA2F0">
          <w:rPr>
            <w:rStyle w:val="Hyperlink"/>
          </w:rPr>
          <w:t>https://www.epi.org/publication/family-budget-calculator-documentation/</w:t>
        </w:r>
      </w:hyperlink>
    </w:p>
    <w:p w14:paraId="7F799000" w14:textId="71010CA2" w:rsidR="033FA2F0" w:rsidRDefault="033FA2F0" w:rsidP="033FA2F0">
      <w:pPr>
        <w:jc w:val="both"/>
      </w:pPr>
    </w:p>
    <w:p w14:paraId="67B10A04" w14:textId="6C404DBB" w:rsidR="688F7164" w:rsidRDefault="688F7164" w:rsidP="0042E088">
      <w:pPr>
        <w:jc w:val="both"/>
      </w:pPr>
    </w:p>
    <w:p w14:paraId="213CE717" w14:textId="5DDCBA8C" w:rsidR="249860C2" w:rsidRDefault="249860C2" w:rsidP="0042E088">
      <w:pPr>
        <w:jc w:val="both"/>
        <w:rPr>
          <w:b/>
        </w:rPr>
      </w:pPr>
      <w:r w:rsidRPr="2180A5F8">
        <w:rPr>
          <w:b/>
        </w:rPr>
        <w:t>MIT Living Wage Calculator</w:t>
      </w:r>
    </w:p>
    <w:p w14:paraId="7F95436B" w14:textId="775AD2EF" w:rsidR="249860C2" w:rsidRDefault="249860C2" w:rsidP="0042E088">
      <w:pPr>
        <w:jc w:val="both"/>
      </w:pPr>
      <w:r>
        <w:t xml:space="preserve"> </w:t>
      </w:r>
    </w:p>
    <w:p w14:paraId="38C877BE" w14:textId="03C6883A" w:rsidR="249860C2" w:rsidRDefault="249860C2" w:rsidP="0042E088">
      <w:pPr>
        <w:jc w:val="both"/>
      </w:pPr>
      <w:r>
        <w:t xml:space="preserve">Estimates for federal and state taxes are included in the calculation of a living wage. Property taxes and sales taxes are already represented in the budget estimates through the cost of rent and other necessities. </w:t>
      </w:r>
    </w:p>
    <w:p w14:paraId="2709EB83" w14:textId="2E917649" w:rsidR="249860C2" w:rsidRDefault="249860C2" w:rsidP="0042E088">
      <w:pPr>
        <w:jc w:val="both"/>
      </w:pPr>
      <w:r>
        <w:t xml:space="preserve"> </w:t>
      </w:r>
    </w:p>
    <w:p w14:paraId="1A7092F3" w14:textId="4E38DF4A" w:rsidR="249860C2" w:rsidRDefault="249860C2" w:rsidP="0042E088">
      <w:pPr>
        <w:jc w:val="both"/>
      </w:pPr>
      <w:r>
        <w:t xml:space="preserve">Federal taxes are taken from the Urban-Brookings Tax Policy Center Microsimulation Model (version 0217-1)32 and include: individual income taxes (after tax credits including the refundable portion of earned income and child tax credits), payroll taxes (including both the employee and employer portion of social security and Medicare taxes), corporate income tax, estate tax, and excise tax. The federal tax rate for the middle quintile was 14.0% in 2017. </w:t>
      </w:r>
    </w:p>
    <w:p w14:paraId="5D7EB3CE" w14:textId="46EAB944" w:rsidR="249860C2" w:rsidRDefault="249860C2" w:rsidP="0042E088">
      <w:pPr>
        <w:jc w:val="both"/>
      </w:pPr>
      <w:r>
        <w:t xml:space="preserve"> </w:t>
      </w:r>
    </w:p>
    <w:p w14:paraId="775206E9" w14:textId="636CA40F" w:rsidR="249860C2" w:rsidRDefault="249860C2" w:rsidP="0042E088">
      <w:pPr>
        <w:jc w:val="both"/>
      </w:pPr>
      <w:r>
        <w:t>The state tax rate is taken from the state income tax rate, as reported by the CCH State Tax Handbook 2015, which reports 2016 tax rates.33 The tax rate tier applied is determined by the pretax living wage and includes deductions.34 The 2016 tax rate has been inflated on an annual basis in succession and updated to 2020. The gap between 2016 and 2020 is due to the irregular printing of the State Tax Handbook.</w:t>
      </w:r>
    </w:p>
    <w:p w14:paraId="48EA358D" w14:textId="6BBD1762" w:rsidR="378A63E2" w:rsidRDefault="378A63E2" w:rsidP="378A63E2">
      <w:pPr>
        <w:jc w:val="both"/>
      </w:pPr>
    </w:p>
    <w:p w14:paraId="53F691ED" w14:textId="64025143" w:rsidR="061233FA" w:rsidRDefault="00F22135" w:rsidP="0042E088">
      <w:pPr>
        <w:jc w:val="both"/>
      </w:pPr>
      <w:hyperlink r:id="rId11">
        <w:r w:rsidR="166C1FC3" w:rsidRPr="166C1FC3">
          <w:rPr>
            <w:rStyle w:val="Hyperlink"/>
          </w:rPr>
          <w:t>https://livingwage.mit.edu/resources/Living-Wage-Users-Guide-Technical-Documentation-2022-05-10.pdf</w:t>
        </w:r>
      </w:hyperlink>
    </w:p>
    <w:p w14:paraId="70D94883" w14:textId="751F4C0A" w:rsidR="166C1FC3" w:rsidRDefault="166C1FC3" w:rsidP="166C1FC3">
      <w:pPr>
        <w:jc w:val="both"/>
      </w:pPr>
    </w:p>
    <w:p w14:paraId="66415844" w14:textId="16522EBC" w:rsidR="061233FA" w:rsidRDefault="061233FA" w:rsidP="0042E088">
      <w:pPr>
        <w:jc w:val="both"/>
      </w:pPr>
    </w:p>
    <w:p w14:paraId="78CEF38F" w14:textId="18ED4D11" w:rsidR="1EC90D50" w:rsidRDefault="1EC90D50" w:rsidP="0042E088">
      <w:pPr>
        <w:jc w:val="both"/>
        <w:rPr>
          <w:b/>
        </w:rPr>
      </w:pPr>
      <w:r w:rsidRPr="6824D206">
        <w:rPr>
          <w:b/>
        </w:rPr>
        <w:t>Washington Self Sufficiency Standard</w:t>
      </w:r>
    </w:p>
    <w:p w14:paraId="7CCAEB19" w14:textId="467CC18A" w:rsidR="1EC90D50" w:rsidRDefault="1EC90D50" w:rsidP="0042E088">
      <w:pPr>
        <w:jc w:val="both"/>
      </w:pPr>
      <w:r>
        <w:t xml:space="preserve"> </w:t>
      </w:r>
    </w:p>
    <w:p w14:paraId="5FDB8507" w14:textId="61945919" w:rsidR="1EC90D50" w:rsidRDefault="1EC90D50" w:rsidP="0042E088">
      <w:pPr>
        <w:jc w:val="both"/>
      </w:pPr>
      <w:r>
        <w:t>Taxes include federal and state income tax, payroll taxes (Social Security), and state and local sales taxes where applicable. Additionally, the Standard includes federal tax credits (the Earned Income Tax Credit, the Child and Dependent Care Tax Credit, and the Child Tax Credit) and applicable state tax credits.</w:t>
      </w:r>
    </w:p>
    <w:p w14:paraId="230CEC17" w14:textId="5BFA9A4C" w:rsidR="3EBC315F" w:rsidRDefault="3EBC315F" w:rsidP="3EBC315F">
      <w:pPr>
        <w:jc w:val="both"/>
      </w:pPr>
    </w:p>
    <w:p w14:paraId="6BFD9B5F" w14:textId="07A12982" w:rsidR="1EC90D50" w:rsidRDefault="1EC90D50" w:rsidP="0042E088">
      <w:pPr>
        <w:jc w:val="both"/>
      </w:pPr>
      <w:r>
        <w:t xml:space="preserve"> </w:t>
      </w:r>
    </w:p>
    <w:p w14:paraId="69D8241A" w14:textId="19CC1461" w:rsidR="1EC90D50" w:rsidRDefault="1EC90D50" w:rsidP="0042E088">
      <w:pPr>
        <w:jc w:val="both"/>
      </w:pPr>
      <w:r>
        <w:t>Federal taxes</w:t>
      </w:r>
    </w:p>
    <w:p w14:paraId="11BCE279" w14:textId="07795BD5" w:rsidR="1EC90D50" w:rsidRDefault="1EC90D50" w:rsidP="0042E088">
      <w:pPr>
        <w:jc w:val="both"/>
      </w:pPr>
      <w:r>
        <w:t>Federal taxes calculated in the Standard include income tax and payroll taxes. The first two adults in a family are assumed to be a married couple and taxes are calculated for the whole household together (i.e., as a family), with additional adults counted as adult dependents.</w:t>
      </w:r>
    </w:p>
    <w:p w14:paraId="71C40AE5" w14:textId="7E2DB59E" w:rsidR="1EC90D50" w:rsidRDefault="1EC90D50" w:rsidP="0042E088">
      <w:pPr>
        <w:jc w:val="both"/>
      </w:pPr>
      <w:r>
        <w:t xml:space="preserve"> </w:t>
      </w:r>
    </w:p>
    <w:p w14:paraId="0A43B5E9" w14:textId="0F0C0BF7" w:rsidR="1EC90D50" w:rsidRDefault="1EC90D50" w:rsidP="0042E088">
      <w:pPr>
        <w:jc w:val="both"/>
      </w:pPr>
      <w:r>
        <w:t>Indirect taxes (e.g., property taxes paid by the landlord on housing) are assumed to be included in the price of housing passed on by the landlord to the tenant. Taxes on gasoline and automobiles are included in the calculated cost of owning and running a car and wireless taxes are included in the cost of a cell phone.</w:t>
      </w:r>
    </w:p>
    <w:p w14:paraId="76F12C36" w14:textId="0EDF4944" w:rsidR="1EC90D50" w:rsidRDefault="1EC90D50" w:rsidP="0042E088">
      <w:pPr>
        <w:jc w:val="both"/>
      </w:pPr>
      <w:r>
        <w:t xml:space="preserve"> </w:t>
      </w:r>
    </w:p>
    <w:p w14:paraId="041F1CC8" w14:textId="331C2311" w:rsidR="1EC90D50" w:rsidRDefault="1EC90D50" w:rsidP="0042E088">
      <w:pPr>
        <w:jc w:val="both"/>
      </w:pPr>
      <w:r>
        <w:t>The Standard includes federal tax credits (the Earned Income Tax Credit, the Child Care Tax Credit, and the Child Tax Credit) and applicable state tax credits. Tax credits are shown as received monthly in the Standard.</w:t>
      </w:r>
    </w:p>
    <w:p w14:paraId="52B45758" w14:textId="7F3B1AA3" w:rsidR="1EC90D50" w:rsidRDefault="1EC90D50" w:rsidP="0042E088">
      <w:pPr>
        <w:jc w:val="both"/>
      </w:pPr>
      <w:r>
        <w:t xml:space="preserve"> </w:t>
      </w:r>
    </w:p>
    <w:p w14:paraId="7D2DAEBE" w14:textId="56E1A4E6" w:rsidR="1EC90D50" w:rsidRDefault="1EC90D50" w:rsidP="0042E088">
      <w:pPr>
        <w:jc w:val="both"/>
      </w:pPr>
      <w:r>
        <w:t xml:space="preserve">The Earned Income Tax Credit (EITC), or as it is also called, the Earned Income Credit, is a federal tax refund intended to offset the loss of income from payroll taxes owed by low-income working families. The EITC is a “refundable” tax credit, meaning working adults may receive the tax credit whether they owe any federal taxes. The Child Care Tax Credit (CCTC), also known as the Child and Dependent Care Tax Credit, is a federal tax credit that allows working parents to deduct a percentage of their childcare costs from the federal income taxes they owe. Like the EITC, the CCTC is deducted from the total amount of money a family needs to be self-sufficient. Unlike the EITC, the federal CCTC is not a refundable federal tax credit; that is, a family may only receive the CCTC as a credit against federal income taxes owed. Therefore, families who owe very little or nothing in federal income taxes will receive little or no CCTC. Up to $3,000 in </w:t>
      </w:r>
      <w:r w:rsidR="421B2357">
        <w:t>childcare</w:t>
      </w:r>
      <w:r>
        <w:t xml:space="preserve"> costs are deductible for one qualifying child and up to $6,000 for two or more qualifying children.</w:t>
      </w:r>
    </w:p>
    <w:p w14:paraId="0449CC3F" w14:textId="6AD177A7" w:rsidR="1EC90D50" w:rsidRDefault="1EC90D50" w:rsidP="0042E088">
      <w:pPr>
        <w:jc w:val="both"/>
      </w:pPr>
      <w:r>
        <w:t xml:space="preserve"> </w:t>
      </w:r>
    </w:p>
    <w:p w14:paraId="1CA95EBA" w14:textId="781DA410" w:rsidR="1EC90D50" w:rsidRDefault="1EC90D50" w:rsidP="0042E088">
      <w:pPr>
        <w:jc w:val="both"/>
      </w:pPr>
      <w:r>
        <w:t xml:space="preserve">The Child Tax Credit (CTC) is like the EITC in that it is a refundable federal tax credit. Since 2018, </w:t>
      </w:r>
      <w:r w:rsidR="7D95C51B">
        <w:t>the CTC</w:t>
      </w:r>
      <w:r>
        <w:t xml:space="preserve"> provides parents with a nonrefundable credit up to $2,000 for each child under 17 years old and up to $1,400 as a refundable credit. For the Standard, the CTC is shown as received monthly</w:t>
      </w:r>
    </w:p>
    <w:p w14:paraId="347FA0D4" w14:textId="1615D8E8" w:rsidR="6920E726" w:rsidRDefault="6920E726" w:rsidP="6920E726">
      <w:pPr>
        <w:jc w:val="both"/>
      </w:pPr>
    </w:p>
    <w:p w14:paraId="61E11DE4" w14:textId="4841F4EF" w:rsidR="6920E726" w:rsidRDefault="6920E726" w:rsidP="6920E726">
      <w:pPr>
        <w:jc w:val="both"/>
      </w:pPr>
    </w:p>
    <w:p w14:paraId="7BC0AE5C" w14:textId="5136C772" w:rsidR="76693F43" w:rsidRDefault="76693F43" w:rsidP="76693F43">
      <w:pPr>
        <w:rPr>
          <w:b/>
        </w:rPr>
      </w:pPr>
      <w:r w:rsidRPr="0B76E80E">
        <w:rPr>
          <w:b/>
        </w:rPr>
        <w:t>DATA SOURCES FOR ALL STATES</w:t>
      </w:r>
    </w:p>
    <w:p w14:paraId="09E37652" w14:textId="17B482F2" w:rsidR="76693F43" w:rsidRDefault="76693F43" w:rsidP="76693F43">
      <w:r>
        <w:t xml:space="preserve"> </w:t>
      </w:r>
    </w:p>
    <w:p w14:paraId="2BF4FF5F" w14:textId="34234101" w:rsidR="76693F43" w:rsidRDefault="76693F43" w:rsidP="76693F43">
      <w:r>
        <w:t>Federal Tax Updates (2022): Internal Revenue Service, Revenue Procedure 2021-45,</w:t>
      </w:r>
    </w:p>
    <w:p w14:paraId="5DDB1643" w14:textId="36C9784F" w:rsidR="65133E5A" w:rsidRDefault="00BD29AF" w:rsidP="65133E5A">
      <w:pPr>
        <w:rPr>
          <w:rStyle w:val="Hyperlink"/>
        </w:rPr>
      </w:pPr>
      <w:hyperlink r:id="rId12">
        <w:r w:rsidR="65133E5A" w:rsidRPr="65133E5A">
          <w:rPr>
            <w:rStyle w:val="Hyperlink"/>
          </w:rPr>
          <w:t>https://www.irs.gov/pub/irs-drop/rp-21-45.pdf</w:t>
        </w:r>
      </w:hyperlink>
    </w:p>
    <w:p w14:paraId="71B49F2E" w14:textId="4C8B44CC" w:rsidR="76693F43" w:rsidRDefault="65133E5A" w:rsidP="76693F43">
      <w:r>
        <w:t xml:space="preserve"> </w:t>
      </w:r>
    </w:p>
    <w:p w14:paraId="112396B0" w14:textId="3EB1736F" w:rsidR="76693F43" w:rsidRDefault="76693F43" w:rsidP="76693F43">
      <w:r>
        <w:t xml:space="preserve">Federal Income Tax: Internal Revenue Service, “1040 Instructions,” </w:t>
      </w:r>
    </w:p>
    <w:p w14:paraId="409182BA" w14:textId="5A2DE9A6" w:rsidR="76693F43" w:rsidRDefault="4DF144F9" w:rsidP="76693F43">
      <w:pPr>
        <w:rPr>
          <w:rStyle w:val="Hyperlink"/>
        </w:rPr>
      </w:pPr>
      <w:r>
        <w:t xml:space="preserve"> </w:t>
      </w:r>
      <w:hyperlink r:id="rId13">
        <w:r w:rsidRPr="4DF144F9">
          <w:rPr>
            <w:rStyle w:val="Hyperlink"/>
          </w:rPr>
          <w:t>https://www.irs.gov/pub/irs-pdf/p972.pdf</w:t>
        </w:r>
      </w:hyperlink>
    </w:p>
    <w:p w14:paraId="780C29B2" w14:textId="0B84DC91" w:rsidR="4DF144F9" w:rsidRDefault="4DF144F9" w:rsidP="4DF144F9"/>
    <w:p w14:paraId="09403F06" w14:textId="50BDE165" w:rsidR="76693F43" w:rsidRDefault="76693F43" w:rsidP="76693F43">
      <w:r>
        <w:t>Federal Child Tax Credit: Internal Revenue Service, “Publication 972. Child Tax Credit,”</w:t>
      </w:r>
    </w:p>
    <w:p w14:paraId="61919D67" w14:textId="70E159BB" w:rsidR="76693F43" w:rsidRDefault="25E816F7" w:rsidP="76693F43">
      <w:pPr>
        <w:rPr>
          <w:rStyle w:val="Hyperlink"/>
        </w:rPr>
      </w:pPr>
      <w:r>
        <w:t xml:space="preserve"> </w:t>
      </w:r>
      <w:hyperlink r:id="rId14">
        <w:r w:rsidRPr="25E816F7">
          <w:rPr>
            <w:rStyle w:val="Hyperlink"/>
          </w:rPr>
          <w:t>https://www.irs.gov/pub/irs-pdf/p972.pdf</w:t>
        </w:r>
      </w:hyperlink>
    </w:p>
    <w:p w14:paraId="2561007E" w14:textId="1280D1C2" w:rsidR="25E816F7" w:rsidRDefault="25E816F7" w:rsidP="25E816F7"/>
    <w:p w14:paraId="53D02DA2" w14:textId="4EBCDBB3" w:rsidR="76693F43" w:rsidRDefault="76693F43" w:rsidP="76693F43">
      <w:r>
        <w:t xml:space="preserve">Federal Earned Income Tax Credit: Internal Revenue Service, “Publication 596. Earned Income Credit,” </w:t>
      </w:r>
    </w:p>
    <w:p w14:paraId="6611954D" w14:textId="03C4F2A7" w:rsidR="325D2A8C" w:rsidRDefault="325D2A8C" w:rsidP="325D2A8C">
      <w:r>
        <w:t xml:space="preserve"> </w:t>
      </w:r>
      <w:hyperlink r:id="rId15">
        <w:r w:rsidRPr="325D2A8C">
          <w:rPr>
            <w:rStyle w:val="Hyperlink"/>
          </w:rPr>
          <w:t>https://www.irs.gov/pub/irs-pdf/p596.pdf</w:t>
        </w:r>
      </w:hyperlink>
    </w:p>
    <w:p w14:paraId="3E8F3948" w14:textId="4C05C411" w:rsidR="6285A43F" w:rsidRDefault="6285A43F" w:rsidP="6285A43F"/>
    <w:p w14:paraId="1BA0F95A" w14:textId="0D27F5AF" w:rsidR="6285A43F" w:rsidRDefault="6285A43F" w:rsidP="6285A43F"/>
    <w:p w14:paraId="7D3349A8" w14:textId="2A150DF3" w:rsidR="76693F43" w:rsidRDefault="76693F43" w:rsidP="76693F43">
      <w:pPr>
        <w:rPr>
          <w:b/>
        </w:rPr>
      </w:pPr>
      <w:r w:rsidRPr="75B22112">
        <w:rPr>
          <w:b/>
        </w:rPr>
        <w:t>State Taxes</w:t>
      </w:r>
    </w:p>
    <w:p w14:paraId="49DAB734" w14:textId="56C1D72A" w:rsidR="76693F43" w:rsidRDefault="76693F43" w:rsidP="76693F43">
      <w:r>
        <w:t xml:space="preserve"> </w:t>
      </w:r>
    </w:p>
    <w:p w14:paraId="15343AE0" w14:textId="32F32E24" w:rsidR="76693F43" w:rsidRDefault="76693F43" w:rsidP="76693F43">
      <w:r>
        <w:t>State taxes calculated in the Standard include income tax, payroll taxes, and state sales tax where applicable. State sales taxes are assumed to apply to the miscellaneous amount plus groceries where it is taxed.</w:t>
      </w:r>
    </w:p>
    <w:p w14:paraId="0D82F620" w14:textId="154EF7B9" w:rsidR="76693F43" w:rsidRDefault="76693F43" w:rsidP="76693F43">
      <w:r>
        <w:t xml:space="preserve"> </w:t>
      </w:r>
    </w:p>
    <w:p w14:paraId="6C6F0F83" w14:textId="21268FCC" w:rsidR="76693F43" w:rsidRDefault="76693F43" w:rsidP="76693F43">
      <w:r>
        <w:t>If the state has an EITC, child tax credit, childcare tax credit, or similar family or low-income credit, it is included in the tax calculations. Renter’s credits and other tax credits that would be applicable to the population are included as well.</w:t>
      </w:r>
    </w:p>
    <w:p w14:paraId="371DDE93" w14:textId="1B11BEE1" w:rsidR="76693F43" w:rsidRDefault="76693F43" w:rsidP="76693F43">
      <w:r>
        <w:t xml:space="preserve"> </w:t>
      </w:r>
    </w:p>
    <w:p w14:paraId="6E62FE30" w14:textId="793E61A9" w:rsidR="76693F43" w:rsidRDefault="76693F43" w:rsidP="76693F43">
      <w:pPr>
        <w:rPr>
          <w:b/>
        </w:rPr>
      </w:pPr>
      <w:r w:rsidRPr="756D2A23">
        <w:rPr>
          <w:b/>
        </w:rPr>
        <w:t>DATA SOURCES FOR ALL STATES</w:t>
      </w:r>
    </w:p>
    <w:p w14:paraId="06940948" w14:textId="493FD4C2" w:rsidR="76693F43" w:rsidRDefault="76693F43" w:rsidP="76693F43">
      <w:r>
        <w:t xml:space="preserve"> </w:t>
      </w:r>
    </w:p>
    <w:p w14:paraId="4121F81F" w14:textId="09BB960A" w:rsidR="76693F43" w:rsidRDefault="76693F43" w:rsidP="76693F43">
      <w:pPr>
        <w:rPr>
          <w:rStyle w:val="Hyperlink"/>
        </w:rPr>
      </w:pPr>
      <w:r>
        <w:t xml:space="preserve">Sales Tax: Tax Foundation, Janelle </w:t>
      </w:r>
      <w:proofErr w:type="spellStart"/>
      <w:r>
        <w:t>Cammenga</w:t>
      </w:r>
      <w:proofErr w:type="spellEnd"/>
      <w:r>
        <w:t xml:space="preserve">, “State and Local Sales Tax Rates, Midyear 2021,” </w:t>
      </w:r>
      <w:hyperlink r:id="rId16">
        <w:r w:rsidR="65A4B41C" w:rsidRPr="65A4B41C">
          <w:rPr>
            <w:rStyle w:val="Hyperlink"/>
          </w:rPr>
          <w:t>https://azdor.gov/file/12181/download?token=NuPzufb8</w:t>
        </w:r>
      </w:hyperlink>
    </w:p>
    <w:p w14:paraId="116CDDFE" w14:textId="22192E55" w:rsidR="65A4B41C" w:rsidRDefault="65A4B41C" w:rsidP="65A4B41C"/>
    <w:p w14:paraId="23666998" w14:textId="76165A1B" w:rsidR="76693F43" w:rsidRDefault="76693F43" w:rsidP="76693F43">
      <w:r>
        <w:t xml:space="preserve"> </w:t>
      </w:r>
    </w:p>
    <w:p w14:paraId="57C0617C" w14:textId="2BBD17E3" w:rsidR="0F9C8A47" w:rsidRDefault="76693F43" w:rsidP="0F9C8A47">
      <w:pPr>
        <w:rPr>
          <w:rStyle w:val="Hyperlink"/>
        </w:rPr>
      </w:pPr>
      <w:r>
        <w:t xml:space="preserve">Grocery Tax: Tax Foundation, Janelle </w:t>
      </w:r>
      <w:proofErr w:type="spellStart"/>
      <w:r>
        <w:t>Cammenga</w:t>
      </w:r>
      <w:proofErr w:type="spellEnd"/>
      <w:r>
        <w:t xml:space="preserve">,, "Tax Treatment of Groceries, Candy, and Soda Can Get Tricky"   </w:t>
      </w:r>
      <w:hyperlink r:id="rId17">
        <w:r w:rsidR="0F9C8A47" w:rsidRPr="0F9C8A47">
          <w:rPr>
            <w:rStyle w:val="Hyperlink"/>
          </w:rPr>
          <w:t>https://azdor.gov/file/12181/download?token=NuPzufb8</w:t>
        </w:r>
      </w:hyperlink>
    </w:p>
    <w:p w14:paraId="51A5B957" w14:textId="7D4214DA" w:rsidR="76693F43" w:rsidRDefault="76693F43" w:rsidP="76693F43">
      <w:r>
        <w:t>(</w:t>
      </w:r>
      <w:r w:rsidR="3D0D6B52">
        <w:t>Accessed</w:t>
      </w:r>
      <w:r>
        <w:t xml:space="preserve"> April 13, 2021). Center on Budget Priorities, Eric </w:t>
      </w:r>
      <w:proofErr w:type="spellStart"/>
      <w:r>
        <w:t>Figuroa</w:t>
      </w:r>
      <w:proofErr w:type="spellEnd"/>
      <w:r>
        <w:t xml:space="preserve"> and Juliette Legendre, “States that Still Impose Sales Taxes on Groceries Should Consider Reducing or Eliminating Them,” </w:t>
      </w:r>
    </w:p>
    <w:p w14:paraId="27A848AF" w14:textId="1F6C6E21" w:rsidR="528D088D" w:rsidRDefault="00B4271A" w:rsidP="32D1E089">
      <w:pPr>
        <w:rPr>
          <w:rStyle w:val="Hyperlink"/>
        </w:rPr>
      </w:pPr>
      <w:hyperlink r:id="rId18" w:anchor="_ftn12">
        <w:r w:rsidR="1818F925" w:rsidRPr="1818F925">
          <w:rPr>
            <w:rStyle w:val="Hyperlink"/>
          </w:rPr>
          <w:t>https://www.cbpp.org/research/state-budget-and-tax/states-that-still-impose-sales-taxes-on-groceries-should-consider#_ftn12</w:t>
        </w:r>
      </w:hyperlink>
    </w:p>
    <w:p w14:paraId="7509B6C8" w14:textId="64ADF4E1" w:rsidR="1818F925" w:rsidRDefault="1818F925" w:rsidP="1818F925">
      <w:pPr>
        <w:spacing w:line="259" w:lineRule="auto"/>
        <w:rPr>
          <w:u w:val="single"/>
        </w:rPr>
      </w:pPr>
    </w:p>
    <w:p w14:paraId="3DD03A77" w14:textId="78A6A56D" w:rsidR="76693F43" w:rsidRDefault="76693F43" w:rsidP="76693F43">
      <w:r>
        <w:t xml:space="preserve"> </w:t>
      </w:r>
    </w:p>
    <w:p w14:paraId="72E1AA32" w14:textId="653B2415" w:rsidR="76693F43" w:rsidRDefault="76693F43" w:rsidP="76693F43">
      <w:pPr>
        <w:rPr>
          <w:b/>
        </w:rPr>
      </w:pPr>
      <w:r w:rsidRPr="69FEA8EA">
        <w:rPr>
          <w:b/>
        </w:rPr>
        <w:t xml:space="preserve">2022 METHODOLOGY BY STATE - FULL UPDATES </w:t>
      </w:r>
    </w:p>
    <w:p w14:paraId="44C22688" w14:textId="75A16565" w:rsidR="76693F43" w:rsidRDefault="76693F43" w:rsidP="76693F43">
      <w:r>
        <w:t xml:space="preserve"> </w:t>
      </w:r>
    </w:p>
    <w:p w14:paraId="36010BFE" w14:textId="0A28DC9F" w:rsidR="76693F43" w:rsidRDefault="76693F43" w:rsidP="76693F43">
      <w:pPr>
        <w:rPr>
          <w:b/>
        </w:rPr>
      </w:pPr>
      <w:r w:rsidRPr="5E9027B1">
        <w:rPr>
          <w:b/>
        </w:rPr>
        <w:t>Virginia</w:t>
      </w:r>
    </w:p>
    <w:p w14:paraId="74DE3728" w14:textId="0B422D5D" w:rsidR="76693F43" w:rsidRDefault="76693F43" w:rsidP="76693F43">
      <w:r>
        <w:t xml:space="preserve">Income Tax and Credits: Virginia Department of Taxation, "Resident Individual Income </w:t>
      </w:r>
      <w:r w:rsidR="7FBC1AD2">
        <w:t>Tax Booklet</w:t>
      </w:r>
      <w:r>
        <w:t xml:space="preserve">,"  </w:t>
      </w:r>
    </w:p>
    <w:p w14:paraId="0EC417F8" w14:textId="4A75AAF9" w:rsidR="51899E5A" w:rsidRDefault="00B1468F" w:rsidP="51899E5A">
      <w:pPr>
        <w:rPr>
          <w:rStyle w:val="Hyperlink"/>
        </w:rPr>
      </w:pPr>
      <w:hyperlink r:id="rId19">
        <w:r w:rsidR="51899E5A" w:rsidRPr="51899E5A">
          <w:rPr>
            <w:rStyle w:val="Hyperlink"/>
          </w:rPr>
          <w:t>https://www.tax.virginia.gov/sites/default/files/vatax-pdf/2020-form-760-instructions.pdf</w:t>
        </w:r>
      </w:hyperlink>
    </w:p>
    <w:p w14:paraId="76103C66" w14:textId="06B4DC79" w:rsidR="76693F43" w:rsidRDefault="76693F43" w:rsidP="76693F43">
      <w:r>
        <w:t>(accessed December 23, 2020).</w:t>
      </w:r>
    </w:p>
    <w:p w14:paraId="1AF87A29" w14:textId="2323C8EF" w:rsidR="42AF8E71" w:rsidRDefault="42AF8E71" w:rsidP="42AF8E71"/>
    <w:p w14:paraId="6AF60FB4" w14:textId="1DD428F5" w:rsidR="4071721E" w:rsidRDefault="007E5D73" w:rsidP="4071721E">
      <w:pPr>
        <w:rPr>
          <w:rStyle w:val="Hyperlink"/>
        </w:rPr>
      </w:pPr>
      <w:hyperlink r:id="rId20">
        <w:r w:rsidR="0CBF4930" w:rsidRPr="0CBF4930">
          <w:rPr>
            <w:rStyle w:val="Hyperlink"/>
          </w:rPr>
          <w:t>https://selfsufficiencystandard.org/wp-content/uploads/2022/03/SSS2022_TechnicalBrief_03032022.pdf</w:t>
        </w:r>
      </w:hyperlink>
    </w:p>
    <w:p w14:paraId="18EB0B4B" w14:textId="05A2AE59" w:rsidR="0CBF4930" w:rsidRDefault="0CBF4930" w:rsidP="0CBF4930"/>
    <w:p w14:paraId="64111F55" w14:textId="04991A6B" w:rsidR="4932D7EB" w:rsidRDefault="4932D7EB" w:rsidP="4932D7EB"/>
    <w:p w14:paraId="2C20802F" w14:textId="0C35A775" w:rsidR="00B45691" w:rsidRDefault="00B614B5" w:rsidP="000544F5">
      <w:pPr>
        <w:pStyle w:val="Heading1"/>
      </w:pPr>
      <w:proofErr w:type="spellStart"/>
      <w:r>
        <w:t>Frankencalculator</w:t>
      </w:r>
      <w:proofErr w:type="spellEnd"/>
      <w:r>
        <w:t xml:space="preserve"> </w:t>
      </w:r>
      <w:r w:rsidR="00B176AA">
        <w:t>solution</w:t>
      </w:r>
    </w:p>
    <w:p w14:paraId="227A8859" w14:textId="616B0011" w:rsidR="007A6607" w:rsidRDefault="00B176AA" w:rsidP="000544F5">
      <w:pPr>
        <w:pStyle w:val="Heading1"/>
      </w:pPr>
      <w:r>
        <w:t>Overview of chosen data sources</w:t>
      </w:r>
    </w:p>
    <w:p w14:paraId="629426C8" w14:textId="2F835FC7" w:rsidR="00B176AA" w:rsidRDefault="00B176AA" w:rsidP="000544F5">
      <w:pPr>
        <w:pStyle w:val="Heading1"/>
      </w:pPr>
      <w:r>
        <w:t>Methods</w:t>
      </w:r>
    </w:p>
    <w:p w14:paraId="37B4F7A1" w14:textId="5DBB9D6A" w:rsidR="007A6607" w:rsidRDefault="007A6607" w:rsidP="000544F5">
      <w:pPr>
        <w:pStyle w:val="Heading2"/>
      </w:pPr>
      <w:r>
        <w:t>Benchmarking (</w:t>
      </w:r>
      <w:r w:rsidR="005006B6">
        <w:t>CEX data on % spending)</w:t>
      </w:r>
    </w:p>
    <w:p w14:paraId="7735AD21" w14:textId="6D22410D" w:rsidR="00B176AA" w:rsidRDefault="00B176AA" w:rsidP="000544F5">
      <w:pPr>
        <w:pStyle w:val="Heading1"/>
      </w:pPr>
      <w:r>
        <w:t>Results/Insights</w:t>
      </w:r>
    </w:p>
    <w:p w14:paraId="3E45E7D1" w14:textId="2E437E42" w:rsidR="000405C7" w:rsidRDefault="00B176AA" w:rsidP="000405C7">
      <w:pPr>
        <w:pStyle w:val="Heading1"/>
      </w:pPr>
      <w:r>
        <w:t>Conclusions/Recommendations</w:t>
      </w:r>
    </w:p>
    <w:p w14:paraId="14C8CDE6" w14:textId="77777777" w:rsidR="006048B6" w:rsidRDefault="006048B6">
      <w:pPr>
        <w:rPr>
          <w:rFonts w:asciiTheme="majorHAnsi" w:eastAsiaTheme="majorEastAsia" w:hAnsiTheme="majorHAnsi" w:cstheme="majorBidi"/>
          <w:color w:val="000000" w:themeColor="text1"/>
          <w:sz w:val="32"/>
          <w:szCs w:val="32"/>
        </w:rPr>
      </w:pPr>
      <w:r>
        <w:br w:type="page"/>
      </w:r>
    </w:p>
    <w:p w14:paraId="5CE23BBF" w14:textId="172C2D0B" w:rsidR="000405C7" w:rsidRDefault="000405C7" w:rsidP="006048B6">
      <w:pPr>
        <w:pStyle w:val="Heading1"/>
        <w:numPr>
          <w:ilvl w:val="0"/>
          <w:numId w:val="0"/>
        </w:numPr>
      </w:pPr>
      <w:r>
        <w:t>Bibliography</w:t>
      </w:r>
    </w:p>
    <w:p w14:paraId="56F8A281" w14:textId="77777777" w:rsidR="000405C7" w:rsidRDefault="000405C7" w:rsidP="000405C7"/>
    <w:p w14:paraId="7379C389" w14:textId="32774042" w:rsidR="00223792" w:rsidRDefault="00223792" w:rsidP="00223792">
      <w:pPr>
        <w:spacing w:line="480" w:lineRule="auto"/>
        <w:ind w:left="720" w:hanging="720"/>
        <w:rPr>
          <w:rFonts w:ascii="Times New Roman" w:eastAsia="Times New Roman" w:hAnsi="Times New Roman" w:cs="Times New Roman"/>
          <w:lang w:eastAsia="zh-CN"/>
        </w:rPr>
      </w:pPr>
      <w:r w:rsidRPr="001D1274">
        <w:rPr>
          <w:rFonts w:ascii="Times New Roman" w:eastAsia="Times New Roman" w:hAnsi="Times New Roman" w:cs="Times New Roman"/>
          <w:lang w:eastAsia="zh-CN"/>
        </w:rPr>
        <w:t xml:space="preserve">Agency for Healthcare Research and Quality. (2020). </w:t>
      </w:r>
      <w:r w:rsidRPr="001D1274">
        <w:rPr>
          <w:rFonts w:ascii="Times New Roman" w:eastAsia="Times New Roman" w:hAnsi="Times New Roman" w:cs="Times New Roman"/>
          <w:i/>
          <w:iCs/>
          <w:lang w:eastAsia="zh-CN"/>
        </w:rPr>
        <w:t>MEPS-IC data tools | AHRQ data tools</w:t>
      </w:r>
      <w:r w:rsidRPr="001D1274">
        <w:rPr>
          <w:rFonts w:ascii="Times New Roman" w:eastAsia="Times New Roman" w:hAnsi="Times New Roman" w:cs="Times New Roman"/>
          <w:lang w:eastAsia="zh-CN"/>
        </w:rPr>
        <w:t xml:space="preserve">. AHRQ.Gov. Retrieved July 20, 2022, from </w:t>
      </w:r>
      <w:hyperlink r:id="rId21" w:history="1">
        <w:r w:rsidRPr="00E552CC">
          <w:rPr>
            <w:rStyle w:val="Hyperlink"/>
            <w:rFonts w:ascii="Times New Roman" w:eastAsia="Times New Roman" w:hAnsi="Times New Roman" w:cs="Times New Roman"/>
            <w:lang w:eastAsia="zh-CN"/>
          </w:rPr>
          <w:t>https://datatools.ahrq.gov/meps-ic</w:t>
        </w:r>
      </w:hyperlink>
    </w:p>
    <w:p w14:paraId="1E9A18A5" w14:textId="4A889FFD" w:rsidR="00B6035D" w:rsidRDefault="00B6035D" w:rsidP="00B6035D">
      <w:pPr>
        <w:spacing w:line="480" w:lineRule="auto"/>
        <w:ind w:left="720" w:hanging="720"/>
        <w:rPr>
          <w:rFonts w:ascii="Times New Roman" w:eastAsia="Times New Roman" w:hAnsi="Times New Roman" w:cs="Times New Roman"/>
          <w:lang w:eastAsia="zh-CN"/>
        </w:rPr>
      </w:pPr>
      <w:r w:rsidRPr="00B6035D">
        <w:rPr>
          <w:rFonts w:ascii="Times New Roman" w:eastAsia="Times New Roman" w:hAnsi="Times New Roman" w:cs="Times New Roman"/>
          <w:lang w:eastAsia="zh-CN"/>
        </w:rPr>
        <w:t xml:space="preserve">Consumer Expenditure Surveys. (2021, September). </w:t>
      </w:r>
      <w:r w:rsidRPr="00B6035D">
        <w:rPr>
          <w:rFonts w:ascii="Times New Roman" w:eastAsia="Times New Roman" w:hAnsi="Times New Roman" w:cs="Times New Roman"/>
          <w:i/>
          <w:iCs/>
          <w:lang w:eastAsia="zh-CN"/>
        </w:rPr>
        <w:t>Table 1400. Size of consumer unit: Annual expenditure means, shares, standard errors, and coefficients of variation</w:t>
      </w:r>
      <w:r w:rsidRPr="00B6035D">
        <w:rPr>
          <w:rFonts w:ascii="Times New Roman" w:eastAsia="Times New Roman" w:hAnsi="Times New Roman" w:cs="Times New Roman"/>
          <w:lang w:eastAsia="zh-CN"/>
        </w:rPr>
        <w:t xml:space="preserve"> [Dataset]. U.S. Bureau of Labor Statistics. </w:t>
      </w:r>
      <w:hyperlink r:id="rId22" w:history="1">
        <w:r w:rsidRPr="00B6035D">
          <w:rPr>
            <w:rStyle w:val="Hyperlink"/>
            <w:rFonts w:ascii="Times New Roman" w:eastAsia="Times New Roman" w:hAnsi="Times New Roman" w:cs="Times New Roman"/>
            <w:lang w:eastAsia="zh-CN"/>
          </w:rPr>
          <w:t>https://www.bls.gov/cex/tables/calendar-year/mean-item-share-average-standard-error/cu-size-2020.pdf</w:t>
        </w:r>
      </w:hyperlink>
    </w:p>
    <w:p w14:paraId="07A61D85" w14:textId="0B10B160" w:rsidR="00223792" w:rsidRPr="00106B3E" w:rsidRDefault="00223792" w:rsidP="00223792">
      <w:pPr>
        <w:spacing w:line="480" w:lineRule="auto"/>
        <w:ind w:left="720" w:hanging="720"/>
        <w:rPr>
          <w:rFonts w:ascii="Times New Roman" w:eastAsia="Times New Roman" w:hAnsi="Times New Roman" w:cs="Times New Roman"/>
          <w:lang w:eastAsia="zh-CN"/>
        </w:rPr>
      </w:pPr>
      <w:r w:rsidRPr="00106B3E">
        <w:rPr>
          <w:rFonts w:ascii="Times New Roman" w:eastAsia="Times New Roman" w:hAnsi="Times New Roman" w:cs="Times New Roman"/>
          <w:lang w:eastAsia="zh-CN"/>
        </w:rPr>
        <w:t xml:space="preserve">Department of Health and Human Services. (2022). </w:t>
      </w:r>
      <w:r w:rsidRPr="00106B3E">
        <w:rPr>
          <w:rFonts w:ascii="Times New Roman" w:eastAsia="Times New Roman" w:hAnsi="Times New Roman" w:cs="Times New Roman"/>
          <w:i/>
          <w:iCs/>
          <w:lang w:eastAsia="zh-CN"/>
        </w:rPr>
        <w:t>Health and dental plan datasets for researchers and issuers</w:t>
      </w:r>
      <w:r w:rsidRPr="00106B3E">
        <w:rPr>
          <w:rFonts w:ascii="Times New Roman" w:eastAsia="Times New Roman" w:hAnsi="Times New Roman" w:cs="Times New Roman"/>
          <w:lang w:eastAsia="zh-CN"/>
        </w:rPr>
        <w:t xml:space="preserve">. HealthCare.Gov. Retrieved July 20, 2022, from </w:t>
      </w:r>
      <w:hyperlink r:id="rId23" w:history="1">
        <w:r w:rsidRPr="00106B3E">
          <w:rPr>
            <w:rStyle w:val="Hyperlink"/>
            <w:rFonts w:ascii="Times New Roman" w:eastAsia="Times New Roman" w:hAnsi="Times New Roman" w:cs="Times New Roman"/>
            <w:lang w:eastAsia="zh-CN"/>
          </w:rPr>
          <w:t>https://www.healthcare.gov/health-and-dental-plan-datasets-for-researchers-and-issuers/</w:t>
        </w:r>
      </w:hyperlink>
    </w:p>
    <w:p w14:paraId="26AF3DFE" w14:textId="77777777" w:rsidR="00223792" w:rsidRPr="009F0303" w:rsidRDefault="00223792" w:rsidP="00223792">
      <w:pPr>
        <w:spacing w:line="480" w:lineRule="auto"/>
        <w:ind w:left="720" w:hanging="720"/>
        <w:rPr>
          <w:rFonts w:ascii="Times New Roman" w:eastAsia="Times New Roman" w:hAnsi="Times New Roman" w:cs="Times New Roman"/>
          <w:lang w:eastAsia="zh-CN"/>
        </w:rPr>
      </w:pPr>
      <w:r w:rsidRPr="009F0303">
        <w:rPr>
          <w:rFonts w:ascii="Times New Roman" w:eastAsia="Times New Roman" w:hAnsi="Times New Roman" w:cs="Times New Roman"/>
          <w:lang w:eastAsia="zh-CN"/>
        </w:rPr>
        <w:t xml:space="preserve">Feeding America. (2021). </w:t>
      </w:r>
      <w:r w:rsidRPr="009F0303">
        <w:rPr>
          <w:rFonts w:ascii="Times New Roman" w:eastAsia="Times New Roman" w:hAnsi="Times New Roman" w:cs="Times New Roman"/>
          <w:i/>
          <w:iCs/>
          <w:lang w:eastAsia="zh-CN"/>
        </w:rPr>
        <w:t>Request food insecurity data for your county</w:t>
      </w:r>
      <w:r w:rsidRPr="009F0303">
        <w:rPr>
          <w:rFonts w:ascii="Times New Roman" w:eastAsia="Times New Roman" w:hAnsi="Times New Roman" w:cs="Times New Roman"/>
          <w:lang w:eastAsia="zh-CN"/>
        </w:rPr>
        <w:t xml:space="preserve">. Retrieved July 20, 2022, from </w:t>
      </w:r>
      <w:hyperlink r:id="rId24" w:history="1">
        <w:r w:rsidRPr="009F0303">
          <w:rPr>
            <w:rStyle w:val="Hyperlink"/>
            <w:rFonts w:ascii="Times New Roman" w:eastAsia="Times New Roman" w:hAnsi="Times New Roman" w:cs="Times New Roman"/>
            <w:lang w:eastAsia="zh-CN"/>
          </w:rPr>
          <w:t>https://www.feedingamerica.org/research/map-the-meal-gap/by-county</w:t>
        </w:r>
      </w:hyperlink>
    </w:p>
    <w:p w14:paraId="5681403E" w14:textId="6862993C" w:rsidR="00223792" w:rsidRPr="00223792" w:rsidRDefault="00223792" w:rsidP="00223792">
      <w:pPr>
        <w:spacing w:line="480" w:lineRule="auto"/>
        <w:ind w:left="720" w:hanging="720"/>
        <w:rPr>
          <w:rFonts w:ascii="Times New Roman" w:eastAsia="Times New Roman" w:hAnsi="Times New Roman" w:cs="Times New Roman"/>
          <w:lang w:eastAsia="zh-CN"/>
        </w:rPr>
      </w:pPr>
      <w:r w:rsidRPr="00175A9E">
        <w:rPr>
          <w:rFonts w:ascii="Times New Roman" w:eastAsia="Times New Roman" w:hAnsi="Times New Roman" w:cs="Times New Roman"/>
          <w:lang w:eastAsia="zh-CN"/>
        </w:rPr>
        <w:t xml:space="preserve">Kaiser Family Foundation. (2021, October 29). </w:t>
      </w:r>
      <w:r w:rsidRPr="00175A9E">
        <w:rPr>
          <w:rFonts w:ascii="Times New Roman" w:eastAsia="Times New Roman" w:hAnsi="Times New Roman" w:cs="Times New Roman"/>
          <w:i/>
          <w:iCs/>
          <w:lang w:eastAsia="zh-CN"/>
        </w:rPr>
        <w:t>Health insurance marketplace calculator</w:t>
      </w:r>
      <w:r w:rsidRPr="00175A9E">
        <w:rPr>
          <w:rFonts w:ascii="Times New Roman" w:eastAsia="Times New Roman" w:hAnsi="Times New Roman" w:cs="Times New Roman"/>
          <w:lang w:eastAsia="zh-CN"/>
        </w:rPr>
        <w:t xml:space="preserve">. KFF. Retrieved July 20, 2022, from </w:t>
      </w:r>
      <w:hyperlink r:id="rId25" w:history="1">
        <w:r w:rsidRPr="00175A9E">
          <w:rPr>
            <w:rStyle w:val="Hyperlink"/>
            <w:rFonts w:ascii="Times New Roman" w:eastAsia="Times New Roman" w:hAnsi="Times New Roman" w:cs="Times New Roman"/>
            <w:lang w:eastAsia="zh-CN"/>
          </w:rPr>
          <w:t>https://www.kff.org/interactive/subsidy-calculator/</w:t>
        </w:r>
      </w:hyperlink>
    </w:p>
    <w:p w14:paraId="2988A77C" w14:textId="12F0636C" w:rsidR="000C5F30" w:rsidRDefault="000C5F30" w:rsidP="000C5F30">
      <w:pPr>
        <w:spacing w:line="480" w:lineRule="auto"/>
        <w:ind w:left="720" w:hanging="720"/>
        <w:rPr>
          <w:rFonts w:ascii="Times New Roman" w:eastAsia="Times New Roman" w:hAnsi="Times New Roman" w:cs="Times New Roman"/>
          <w:lang w:eastAsia="zh-CN"/>
        </w:rPr>
      </w:pPr>
      <w:r w:rsidRPr="000C5F30">
        <w:rPr>
          <w:rFonts w:ascii="Times New Roman" w:eastAsia="Times New Roman" w:hAnsi="Times New Roman" w:cs="Times New Roman"/>
          <w:lang w:eastAsia="zh-CN"/>
        </w:rPr>
        <w:t xml:space="preserve">Nadeau, C. A., Moser, S., &amp; Glasmeier, A. K. (2022, May). </w:t>
      </w:r>
      <w:r w:rsidRPr="000C5F30">
        <w:rPr>
          <w:rFonts w:ascii="Times New Roman" w:eastAsia="Times New Roman" w:hAnsi="Times New Roman" w:cs="Times New Roman"/>
          <w:i/>
          <w:iCs/>
          <w:lang w:eastAsia="zh-CN"/>
        </w:rPr>
        <w:t>Living wage calculator user’s guide / technical notes</w:t>
      </w:r>
      <w:r w:rsidRPr="000C5F30">
        <w:rPr>
          <w:rFonts w:ascii="Times New Roman" w:eastAsia="Times New Roman" w:hAnsi="Times New Roman" w:cs="Times New Roman"/>
          <w:lang w:eastAsia="zh-CN"/>
        </w:rPr>
        <w:t xml:space="preserve">. MIT Department of Urban Studies and Planning. </w:t>
      </w:r>
      <w:hyperlink r:id="rId26" w:history="1">
        <w:r w:rsidR="00223792" w:rsidRPr="000C5F30">
          <w:rPr>
            <w:rStyle w:val="Hyperlink"/>
            <w:rFonts w:ascii="Times New Roman" w:eastAsia="Times New Roman" w:hAnsi="Times New Roman" w:cs="Times New Roman"/>
            <w:lang w:eastAsia="zh-CN"/>
          </w:rPr>
          <w:t>https://livingwage.mit.edu/resources/Living-Wage-Users-Guide-Technical-Documentation-2022-05-10.pdf</w:t>
        </w:r>
      </w:hyperlink>
    </w:p>
    <w:p w14:paraId="37347179" w14:textId="4C21217F" w:rsidR="00FB3236" w:rsidRPr="009F0303" w:rsidRDefault="00FB3236" w:rsidP="00B6035D">
      <w:pPr>
        <w:spacing w:line="480" w:lineRule="auto"/>
        <w:ind w:left="720" w:hanging="720"/>
        <w:rPr>
          <w:rFonts w:ascii="Times New Roman" w:eastAsia="Times New Roman" w:hAnsi="Times New Roman" w:cs="Times New Roman"/>
          <w:lang w:eastAsia="zh-CN"/>
        </w:rPr>
      </w:pPr>
      <w:r w:rsidRPr="00FB3236">
        <w:rPr>
          <w:rFonts w:ascii="Times New Roman" w:eastAsia="Times New Roman" w:hAnsi="Times New Roman" w:cs="Times New Roman"/>
          <w:lang w:eastAsia="zh-CN"/>
        </w:rPr>
        <w:t xml:space="preserve">U.S. Department of Agriculture. (2022, June). </w:t>
      </w:r>
      <w:r w:rsidRPr="00FB3236">
        <w:rPr>
          <w:rFonts w:ascii="Times New Roman" w:eastAsia="Times New Roman" w:hAnsi="Times New Roman" w:cs="Times New Roman"/>
          <w:i/>
          <w:iCs/>
          <w:lang w:eastAsia="zh-CN"/>
        </w:rPr>
        <w:t>Official USDA food plans: Cost of food at home at three levels</w:t>
      </w:r>
      <w:r w:rsidRPr="00FB3236">
        <w:rPr>
          <w:rFonts w:ascii="Times New Roman" w:eastAsia="Times New Roman" w:hAnsi="Times New Roman" w:cs="Times New Roman"/>
          <w:lang w:eastAsia="zh-CN"/>
        </w:rPr>
        <w:t xml:space="preserve">. </w:t>
      </w:r>
      <w:hyperlink r:id="rId27" w:history="1">
        <w:r w:rsidR="00223792" w:rsidRPr="00E552CC">
          <w:rPr>
            <w:rStyle w:val="Hyperlink"/>
            <w:rFonts w:ascii="Times New Roman" w:eastAsia="Times New Roman" w:hAnsi="Times New Roman" w:cs="Times New Roman"/>
            <w:lang w:eastAsia="zh-CN"/>
          </w:rPr>
          <w:t>https://fns-prod.azureedge.us/sites/default/files/media/file/CostofFoodMay2022LowModLib.pdf</w:t>
        </w:r>
      </w:hyperlink>
    </w:p>
    <w:p w14:paraId="011E66DD" w14:textId="65FBDCF9" w:rsidR="006048B6" w:rsidRPr="000405C7" w:rsidRDefault="006048B6" w:rsidP="000405C7"/>
    <w:sectPr w:rsidR="006048B6" w:rsidRPr="000405C7" w:rsidSect="000C73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0000000000000000000"/>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A409EA"/>
    <w:multiLevelType w:val="hybridMultilevel"/>
    <w:tmpl w:val="FD74D8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3B7BBE"/>
    <w:multiLevelType w:val="multilevel"/>
    <w:tmpl w:val="B19E8B90"/>
    <w:lvl w:ilvl="0">
      <w:start w:val="1"/>
      <w:numFmt w:val="decimal"/>
      <w:pStyle w:val="Heading1"/>
      <w:lvlText w:val="%1"/>
      <w:lvlJc w:val="left"/>
      <w:pPr>
        <w:ind w:left="432" w:hanging="432"/>
      </w:pPr>
      <w:rPr>
        <w:color w:val="000000" w:themeColor="text1"/>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061040A"/>
    <w:multiLevelType w:val="hybridMultilevel"/>
    <w:tmpl w:val="2528C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4E70F3"/>
    <w:multiLevelType w:val="hybridMultilevel"/>
    <w:tmpl w:val="E870C7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8326C8"/>
    <w:multiLevelType w:val="hybridMultilevel"/>
    <w:tmpl w:val="FAB0D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3817638">
    <w:abstractNumId w:val="2"/>
  </w:num>
  <w:num w:numId="2" w16cid:durableId="1482307380">
    <w:abstractNumId w:val="4"/>
  </w:num>
  <w:num w:numId="3" w16cid:durableId="1208100704">
    <w:abstractNumId w:val="0"/>
  </w:num>
  <w:num w:numId="4" w16cid:durableId="634723695">
    <w:abstractNumId w:val="3"/>
  </w:num>
  <w:num w:numId="5" w16cid:durableId="1048920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999"/>
    <w:rsid w:val="0000057A"/>
    <w:rsid w:val="00001562"/>
    <w:rsid w:val="00003DD5"/>
    <w:rsid w:val="00004266"/>
    <w:rsid w:val="00007941"/>
    <w:rsid w:val="00012575"/>
    <w:rsid w:val="000139ED"/>
    <w:rsid w:val="00015E7C"/>
    <w:rsid w:val="00021710"/>
    <w:rsid w:val="00023889"/>
    <w:rsid w:val="000256A0"/>
    <w:rsid w:val="00026400"/>
    <w:rsid w:val="000304BF"/>
    <w:rsid w:val="00036368"/>
    <w:rsid w:val="000405C7"/>
    <w:rsid w:val="0004487B"/>
    <w:rsid w:val="00045479"/>
    <w:rsid w:val="00047D5A"/>
    <w:rsid w:val="000544F5"/>
    <w:rsid w:val="00056F66"/>
    <w:rsid w:val="000620CC"/>
    <w:rsid w:val="00080154"/>
    <w:rsid w:val="00081DFB"/>
    <w:rsid w:val="00090E26"/>
    <w:rsid w:val="0009113A"/>
    <w:rsid w:val="00091819"/>
    <w:rsid w:val="000918B7"/>
    <w:rsid w:val="0009308A"/>
    <w:rsid w:val="000B02D5"/>
    <w:rsid w:val="000B5562"/>
    <w:rsid w:val="000C00A5"/>
    <w:rsid w:val="000C45F6"/>
    <w:rsid w:val="000C5F30"/>
    <w:rsid w:val="000C7376"/>
    <w:rsid w:val="000E3765"/>
    <w:rsid w:val="000E6492"/>
    <w:rsid w:val="0010034F"/>
    <w:rsid w:val="00102E33"/>
    <w:rsid w:val="00105501"/>
    <w:rsid w:val="001062AF"/>
    <w:rsid w:val="00106B3E"/>
    <w:rsid w:val="00111A64"/>
    <w:rsid w:val="00113F75"/>
    <w:rsid w:val="001142B5"/>
    <w:rsid w:val="0011623B"/>
    <w:rsid w:val="0011643A"/>
    <w:rsid w:val="00121AAE"/>
    <w:rsid w:val="00122D76"/>
    <w:rsid w:val="00124AB8"/>
    <w:rsid w:val="001258BF"/>
    <w:rsid w:val="00125A23"/>
    <w:rsid w:val="00127A87"/>
    <w:rsid w:val="00130C8E"/>
    <w:rsid w:val="00130C93"/>
    <w:rsid w:val="00136D5D"/>
    <w:rsid w:val="00151A21"/>
    <w:rsid w:val="00151B9C"/>
    <w:rsid w:val="0015476F"/>
    <w:rsid w:val="00163E8E"/>
    <w:rsid w:val="001641DA"/>
    <w:rsid w:val="00164540"/>
    <w:rsid w:val="001662F9"/>
    <w:rsid w:val="0016753B"/>
    <w:rsid w:val="00175A9E"/>
    <w:rsid w:val="0017612E"/>
    <w:rsid w:val="00185394"/>
    <w:rsid w:val="00190151"/>
    <w:rsid w:val="0019706D"/>
    <w:rsid w:val="0019737E"/>
    <w:rsid w:val="001B0031"/>
    <w:rsid w:val="001B13C8"/>
    <w:rsid w:val="001B584A"/>
    <w:rsid w:val="001B7286"/>
    <w:rsid w:val="001B7718"/>
    <w:rsid w:val="001C20A9"/>
    <w:rsid w:val="001C537D"/>
    <w:rsid w:val="001D086D"/>
    <w:rsid w:val="001D1232"/>
    <w:rsid w:val="001D1274"/>
    <w:rsid w:val="001D3FB9"/>
    <w:rsid w:val="001F236C"/>
    <w:rsid w:val="001F3AA9"/>
    <w:rsid w:val="001F4449"/>
    <w:rsid w:val="001F6F91"/>
    <w:rsid w:val="001F70DA"/>
    <w:rsid w:val="00201438"/>
    <w:rsid w:val="00201AB9"/>
    <w:rsid w:val="00207CCC"/>
    <w:rsid w:val="00222E33"/>
    <w:rsid w:val="00223792"/>
    <w:rsid w:val="0022414D"/>
    <w:rsid w:val="00224193"/>
    <w:rsid w:val="002341C1"/>
    <w:rsid w:val="002371A8"/>
    <w:rsid w:val="002372FA"/>
    <w:rsid w:val="00243912"/>
    <w:rsid w:val="00246FD6"/>
    <w:rsid w:val="00250BDF"/>
    <w:rsid w:val="002547C9"/>
    <w:rsid w:val="002564B4"/>
    <w:rsid w:val="00260E5F"/>
    <w:rsid w:val="00261735"/>
    <w:rsid w:val="00262FFC"/>
    <w:rsid w:val="002647A3"/>
    <w:rsid w:val="002648C4"/>
    <w:rsid w:val="002705D0"/>
    <w:rsid w:val="002706F6"/>
    <w:rsid w:val="0028741A"/>
    <w:rsid w:val="00293276"/>
    <w:rsid w:val="002A3CF9"/>
    <w:rsid w:val="002A4C87"/>
    <w:rsid w:val="002B487E"/>
    <w:rsid w:val="002B7809"/>
    <w:rsid w:val="002B7E84"/>
    <w:rsid w:val="002C6A30"/>
    <w:rsid w:val="002D27D6"/>
    <w:rsid w:val="002E1A9D"/>
    <w:rsid w:val="002E2F8A"/>
    <w:rsid w:val="002E3749"/>
    <w:rsid w:val="002F1A9A"/>
    <w:rsid w:val="002F22B1"/>
    <w:rsid w:val="002F4A34"/>
    <w:rsid w:val="002F5798"/>
    <w:rsid w:val="0030210E"/>
    <w:rsid w:val="00303292"/>
    <w:rsid w:val="0031690B"/>
    <w:rsid w:val="00320C84"/>
    <w:rsid w:val="00335342"/>
    <w:rsid w:val="00337BB0"/>
    <w:rsid w:val="003409DD"/>
    <w:rsid w:val="00342108"/>
    <w:rsid w:val="00342EB1"/>
    <w:rsid w:val="00345427"/>
    <w:rsid w:val="00351BD4"/>
    <w:rsid w:val="00364BA8"/>
    <w:rsid w:val="00364FEC"/>
    <w:rsid w:val="0036589D"/>
    <w:rsid w:val="0036682D"/>
    <w:rsid w:val="00384547"/>
    <w:rsid w:val="003869B2"/>
    <w:rsid w:val="0039056D"/>
    <w:rsid w:val="003A29EE"/>
    <w:rsid w:val="003A73D6"/>
    <w:rsid w:val="003A7A1D"/>
    <w:rsid w:val="003B25B2"/>
    <w:rsid w:val="003B3BAE"/>
    <w:rsid w:val="003B4B6D"/>
    <w:rsid w:val="003B51C9"/>
    <w:rsid w:val="003C0E07"/>
    <w:rsid w:val="003C4DB8"/>
    <w:rsid w:val="003D362A"/>
    <w:rsid w:val="003D43C1"/>
    <w:rsid w:val="003D5367"/>
    <w:rsid w:val="003E08D6"/>
    <w:rsid w:val="003E53BC"/>
    <w:rsid w:val="003E7295"/>
    <w:rsid w:val="003F368E"/>
    <w:rsid w:val="003F3A7D"/>
    <w:rsid w:val="004223EB"/>
    <w:rsid w:val="00424771"/>
    <w:rsid w:val="0042E088"/>
    <w:rsid w:val="00430667"/>
    <w:rsid w:val="00436F6A"/>
    <w:rsid w:val="00441F40"/>
    <w:rsid w:val="00443390"/>
    <w:rsid w:val="00455C47"/>
    <w:rsid w:val="00471480"/>
    <w:rsid w:val="00472ADA"/>
    <w:rsid w:val="00473C29"/>
    <w:rsid w:val="004755E4"/>
    <w:rsid w:val="00477CE9"/>
    <w:rsid w:val="00481CCA"/>
    <w:rsid w:val="00485AAF"/>
    <w:rsid w:val="004873D1"/>
    <w:rsid w:val="00491FE4"/>
    <w:rsid w:val="00492E1D"/>
    <w:rsid w:val="00495B42"/>
    <w:rsid w:val="004967D6"/>
    <w:rsid w:val="004A13FF"/>
    <w:rsid w:val="004A18FF"/>
    <w:rsid w:val="004B151E"/>
    <w:rsid w:val="004B60DF"/>
    <w:rsid w:val="004C350F"/>
    <w:rsid w:val="004D38CB"/>
    <w:rsid w:val="004D5B9F"/>
    <w:rsid w:val="004E3234"/>
    <w:rsid w:val="004E5253"/>
    <w:rsid w:val="004E7EE3"/>
    <w:rsid w:val="004F0285"/>
    <w:rsid w:val="004F1F00"/>
    <w:rsid w:val="004F4221"/>
    <w:rsid w:val="004F7A18"/>
    <w:rsid w:val="005006B6"/>
    <w:rsid w:val="00521FB9"/>
    <w:rsid w:val="00530409"/>
    <w:rsid w:val="00540A79"/>
    <w:rsid w:val="00546FB5"/>
    <w:rsid w:val="00551A99"/>
    <w:rsid w:val="00552A53"/>
    <w:rsid w:val="0055614B"/>
    <w:rsid w:val="005570FA"/>
    <w:rsid w:val="00571C09"/>
    <w:rsid w:val="00575F43"/>
    <w:rsid w:val="0058132E"/>
    <w:rsid w:val="00590518"/>
    <w:rsid w:val="00591C48"/>
    <w:rsid w:val="005A152C"/>
    <w:rsid w:val="005A1B3B"/>
    <w:rsid w:val="005A350D"/>
    <w:rsid w:val="005A3F6F"/>
    <w:rsid w:val="005B48C8"/>
    <w:rsid w:val="005B5781"/>
    <w:rsid w:val="005C277B"/>
    <w:rsid w:val="005C79EB"/>
    <w:rsid w:val="005D0F2C"/>
    <w:rsid w:val="005D11CD"/>
    <w:rsid w:val="005D130D"/>
    <w:rsid w:val="005D5F18"/>
    <w:rsid w:val="005D758D"/>
    <w:rsid w:val="005E1320"/>
    <w:rsid w:val="005E2988"/>
    <w:rsid w:val="005E4027"/>
    <w:rsid w:val="005E7CDF"/>
    <w:rsid w:val="005F3408"/>
    <w:rsid w:val="005F412F"/>
    <w:rsid w:val="006005F2"/>
    <w:rsid w:val="006039F6"/>
    <w:rsid w:val="006048B6"/>
    <w:rsid w:val="00604A40"/>
    <w:rsid w:val="00604D5A"/>
    <w:rsid w:val="00605A67"/>
    <w:rsid w:val="00611989"/>
    <w:rsid w:val="006175C2"/>
    <w:rsid w:val="00620EE1"/>
    <w:rsid w:val="00621E5B"/>
    <w:rsid w:val="00626856"/>
    <w:rsid w:val="006347C0"/>
    <w:rsid w:val="0063591E"/>
    <w:rsid w:val="00642898"/>
    <w:rsid w:val="006454FE"/>
    <w:rsid w:val="00646BAA"/>
    <w:rsid w:val="00664093"/>
    <w:rsid w:val="00670629"/>
    <w:rsid w:val="00676709"/>
    <w:rsid w:val="006807D6"/>
    <w:rsid w:val="0068467D"/>
    <w:rsid w:val="006A622D"/>
    <w:rsid w:val="006C4F6C"/>
    <w:rsid w:val="006C6625"/>
    <w:rsid w:val="006D2D64"/>
    <w:rsid w:val="006D4C94"/>
    <w:rsid w:val="006D66A7"/>
    <w:rsid w:val="006D6D52"/>
    <w:rsid w:val="006F2B9E"/>
    <w:rsid w:val="006F4747"/>
    <w:rsid w:val="006F6D92"/>
    <w:rsid w:val="0070286C"/>
    <w:rsid w:val="00705330"/>
    <w:rsid w:val="00706E71"/>
    <w:rsid w:val="0071292E"/>
    <w:rsid w:val="00717254"/>
    <w:rsid w:val="00717EBF"/>
    <w:rsid w:val="0072116D"/>
    <w:rsid w:val="00722552"/>
    <w:rsid w:val="00727FE5"/>
    <w:rsid w:val="0073197D"/>
    <w:rsid w:val="00733FBC"/>
    <w:rsid w:val="007378A4"/>
    <w:rsid w:val="00745C09"/>
    <w:rsid w:val="00754300"/>
    <w:rsid w:val="007560A5"/>
    <w:rsid w:val="007574FE"/>
    <w:rsid w:val="00761450"/>
    <w:rsid w:val="007738CD"/>
    <w:rsid w:val="00775247"/>
    <w:rsid w:val="00787657"/>
    <w:rsid w:val="00796B1A"/>
    <w:rsid w:val="00796B2B"/>
    <w:rsid w:val="00796DDF"/>
    <w:rsid w:val="007A0754"/>
    <w:rsid w:val="007A28CE"/>
    <w:rsid w:val="007A6002"/>
    <w:rsid w:val="007A6607"/>
    <w:rsid w:val="007B1E0C"/>
    <w:rsid w:val="007B279F"/>
    <w:rsid w:val="007B750A"/>
    <w:rsid w:val="007C2FB2"/>
    <w:rsid w:val="007E08F6"/>
    <w:rsid w:val="007E35D8"/>
    <w:rsid w:val="007E5D73"/>
    <w:rsid w:val="007F0E12"/>
    <w:rsid w:val="007F202F"/>
    <w:rsid w:val="007F23AE"/>
    <w:rsid w:val="00814BCB"/>
    <w:rsid w:val="00833E13"/>
    <w:rsid w:val="00833E88"/>
    <w:rsid w:val="00836E49"/>
    <w:rsid w:val="00840CA7"/>
    <w:rsid w:val="00841B72"/>
    <w:rsid w:val="00841EA7"/>
    <w:rsid w:val="00847A88"/>
    <w:rsid w:val="00847FA8"/>
    <w:rsid w:val="00864758"/>
    <w:rsid w:val="008714EA"/>
    <w:rsid w:val="00871683"/>
    <w:rsid w:val="00873449"/>
    <w:rsid w:val="0087462C"/>
    <w:rsid w:val="00877B22"/>
    <w:rsid w:val="00884AFB"/>
    <w:rsid w:val="00897DA6"/>
    <w:rsid w:val="008A0A5A"/>
    <w:rsid w:val="008A1856"/>
    <w:rsid w:val="008A561E"/>
    <w:rsid w:val="008A727E"/>
    <w:rsid w:val="008B41C6"/>
    <w:rsid w:val="008B5CD9"/>
    <w:rsid w:val="008B6419"/>
    <w:rsid w:val="008B6943"/>
    <w:rsid w:val="008C0230"/>
    <w:rsid w:val="008C1999"/>
    <w:rsid w:val="008C3293"/>
    <w:rsid w:val="008C5A56"/>
    <w:rsid w:val="008D49A0"/>
    <w:rsid w:val="008E165C"/>
    <w:rsid w:val="008E238A"/>
    <w:rsid w:val="008E36B9"/>
    <w:rsid w:val="008E54FB"/>
    <w:rsid w:val="008E769A"/>
    <w:rsid w:val="008F2DE1"/>
    <w:rsid w:val="008F3EEE"/>
    <w:rsid w:val="00907124"/>
    <w:rsid w:val="00907F1C"/>
    <w:rsid w:val="0091221C"/>
    <w:rsid w:val="00914CAF"/>
    <w:rsid w:val="009164FD"/>
    <w:rsid w:val="009240F5"/>
    <w:rsid w:val="00926A50"/>
    <w:rsid w:val="009301DC"/>
    <w:rsid w:val="00931042"/>
    <w:rsid w:val="00933516"/>
    <w:rsid w:val="00947DA0"/>
    <w:rsid w:val="00962635"/>
    <w:rsid w:val="009641A5"/>
    <w:rsid w:val="0097403C"/>
    <w:rsid w:val="009760B6"/>
    <w:rsid w:val="009818FE"/>
    <w:rsid w:val="0098193F"/>
    <w:rsid w:val="00985005"/>
    <w:rsid w:val="00994689"/>
    <w:rsid w:val="009A5C76"/>
    <w:rsid w:val="009B0723"/>
    <w:rsid w:val="009B2D9A"/>
    <w:rsid w:val="009B498B"/>
    <w:rsid w:val="009B5F4C"/>
    <w:rsid w:val="009C29D8"/>
    <w:rsid w:val="009C30E3"/>
    <w:rsid w:val="009C719A"/>
    <w:rsid w:val="009D4BD2"/>
    <w:rsid w:val="009E0233"/>
    <w:rsid w:val="009E02F2"/>
    <w:rsid w:val="009E06C6"/>
    <w:rsid w:val="009E0CC2"/>
    <w:rsid w:val="009E2767"/>
    <w:rsid w:val="009E6850"/>
    <w:rsid w:val="009F0303"/>
    <w:rsid w:val="009F1395"/>
    <w:rsid w:val="009F345C"/>
    <w:rsid w:val="009F4BE3"/>
    <w:rsid w:val="00A03908"/>
    <w:rsid w:val="00A07B62"/>
    <w:rsid w:val="00A1322A"/>
    <w:rsid w:val="00A1330B"/>
    <w:rsid w:val="00A13766"/>
    <w:rsid w:val="00A13953"/>
    <w:rsid w:val="00A2621B"/>
    <w:rsid w:val="00A271EB"/>
    <w:rsid w:val="00A35801"/>
    <w:rsid w:val="00A40813"/>
    <w:rsid w:val="00A42582"/>
    <w:rsid w:val="00A43D51"/>
    <w:rsid w:val="00A45C2E"/>
    <w:rsid w:val="00A45D70"/>
    <w:rsid w:val="00A5345A"/>
    <w:rsid w:val="00A571D5"/>
    <w:rsid w:val="00A6037C"/>
    <w:rsid w:val="00A62F60"/>
    <w:rsid w:val="00A63080"/>
    <w:rsid w:val="00A67678"/>
    <w:rsid w:val="00A71CE3"/>
    <w:rsid w:val="00A72CB0"/>
    <w:rsid w:val="00A8329B"/>
    <w:rsid w:val="00AB097E"/>
    <w:rsid w:val="00AB1974"/>
    <w:rsid w:val="00AB3395"/>
    <w:rsid w:val="00AB7B2A"/>
    <w:rsid w:val="00AC101E"/>
    <w:rsid w:val="00AC1FC6"/>
    <w:rsid w:val="00AC3C56"/>
    <w:rsid w:val="00AC69DB"/>
    <w:rsid w:val="00AD02AE"/>
    <w:rsid w:val="00AD5999"/>
    <w:rsid w:val="00AD72FF"/>
    <w:rsid w:val="00AE3B8C"/>
    <w:rsid w:val="00AE5BB5"/>
    <w:rsid w:val="00AF360F"/>
    <w:rsid w:val="00B0013E"/>
    <w:rsid w:val="00B00160"/>
    <w:rsid w:val="00B03B68"/>
    <w:rsid w:val="00B12060"/>
    <w:rsid w:val="00B1468F"/>
    <w:rsid w:val="00B14B83"/>
    <w:rsid w:val="00B16AE2"/>
    <w:rsid w:val="00B16CB2"/>
    <w:rsid w:val="00B176AA"/>
    <w:rsid w:val="00B24B53"/>
    <w:rsid w:val="00B37D28"/>
    <w:rsid w:val="00B40781"/>
    <w:rsid w:val="00B4271A"/>
    <w:rsid w:val="00B42E9A"/>
    <w:rsid w:val="00B43574"/>
    <w:rsid w:val="00B4485C"/>
    <w:rsid w:val="00B45691"/>
    <w:rsid w:val="00B4629B"/>
    <w:rsid w:val="00B46F41"/>
    <w:rsid w:val="00B505FD"/>
    <w:rsid w:val="00B52819"/>
    <w:rsid w:val="00B53662"/>
    <w:rsid w:val="00B5385A"/>
    <w:rsid w:val="00B558D5"/>
    <w:rsid w:val="00B56BE5"/>
    <w:rsid w:val="00B6035D"/>
    <w:rsid w:val="00B60731"/>
    <w:rsid w:val="00B614B5"/>
    <w:rsid w:val="00B66A92"/>
    <w:rsid w:val="00B66CB3"/>
    <w:rsid w:val="00B713A5"/>
    <w:rsid w:val="00B77076"/>
    <w:rsid w:val="00B81FA3"/>
    <w:rsid w:val="00B84BCD"/>
    <w:rsid w:val="00BA038E"/>
    <w:rsid w:val="00BA2E89"/>
    <w:rsid w:val="00BA76D1"/>
    <w:rsid w:val="00BB4543"/>
    <w:rsid w:val="00BB5680"/>
    <w:rsid w:val="00BB5F98"/>
    <w:rsid w:val="00BC419B"/>
    <w:rsid w:val="00BC494F"/>
    <w:rsid w:val="00BC54CA"/>
    <w:rsid w:val="00BD0560"/>
    <w:rsid w:val="00BD1AF7"/>
    <w:rsid w:val="00BD25B2"/>
    <w:rsid w:val="00BD29AF"/>
    <w:rsid w:val="00BD4702"/>
    <w:rsid w:val="00BF36F1"/>
    <w:rsid w:val="00BF3864"/>
    <w:rsid w:val="00BF563A"/>
    <w:rsid w:val="00BF7332"/>
    <w:rsid w:val="00BF7CDB"/>
    <w:rsid w:val="00C016CA"/>
    <w:rsid w:val="00C046CF"/>
    <w:rsid w:val="00C06AB5"/>
    <w:rsid w:val="00C07289"/>
    <w:rsid w:val="00C172F0"/>
    <w:rsid w:val="00C20A73"/>
    <w:rsid w:val="00C216FF"/>
    <w:rsid w:val="00C22DD1"/>
    <w:rsid w:val="00C23B01"/>
    <w:rsid w:val="00C24394"/>
    <w:rsid w:val="00C310E1"/>
    <w:rsid w:val="00C31AB1"/>
    <w:rsid w:val="00C34A3A"/>
    <w:rsid w:val="00C452DB"/>
    <w:rsid w:val="00C47A27"/>
    <w:rsid w:val="00C523D3"/>
    <w:rsid w:val="00C6039A"/>
    <w:rsid w:val="00C60526"/>
    <w:rsid w:val="00C750F2"/>
    <w:rsid w:val="00C80595"/>
    <w:rsid w:val="00C808C6"/>
    <w:rsid w:val="00C8288D"/>
    <w:rsid w:val="00C85729"/>
    <w:rsid w:val="00C85D32"/>
    <w:rsid w:val="00C87801"/>
    <w:rsid w:val="00C9084A"/>
    <w:rsid w:val="00C90C1F"/>
    <w:rsid w:val="00CA351F"/>
    <w:rsid w:val="00CB6553"/>
    <w:rsid w:val="00CB7F76"/>
    <w:rsid w:val="00CC6046"/>
    <w:rsid w:val="00CC7AB4"/>
    <w:rsid w:val="00CD53A6"/>
    <w:rsid w:val="00CE2F52"/>
    <w:rsid w:val="00CE4C23"/>
    <w:rsid w:val="00CF19E2"/>
    <w:rsid w:val="00CF3218"/>
    <w:rsid w:val="00CF389D"/>
    <w:rsid w:val="00CF516C"/>
    <w:rsid w:val="00CF7193"/>
    <w:rsid w:val="00CF779E"/>
    <w:rsid w:val="00D030E0"/>
    <w:rsid w:val="00D0576E"/>
    <w:rsid w:val="00D0675F"/>
    <w:rsid w:val="00D231B2"/>
    <w:rsid w:val="00D32487"/>
    <w:rsid w:val="00D34D07"/>
    <w:rsid w:val="00D4293D"/>
    <w:rsid w:val="00D4508A"/>
    <w:rsid w:val="00D463CA"/>
    <w:rsid w:val="00D479A3"/>
    <w:rsid w:val="00D47E28"/>
    <w:rsid w:val="00D51763"/>
    <w:rsid w:val="00D527BE"/>
    <w:rsid w:val="00D53D6E"/>
    <w:rsid w:val="00D5673B"/>
    <w:rsid w:val="00D63821"/>
    <w:rsid w:val="00D84642"/>
    <w:rsid w:val="00D8559C"/>
    <w:rsid w:val="00D86A3A"/>
    <w:rsid w:val="00D91DA8"/>
    <w:rsid w:val="00D9289A"/>
    <w:rsid w:val="00D968AF"/>
    <w:rsid w:val="00D97F0B"/>
    <w:rsid w:val="00DA313C"/>
    <w:rsid w:val="00DA4900"/>
    <w:rsid w:val="00DA55A3"/>
    <w:rsid w:val="00DA72D8"/>
    <w:rsid w:val="00DC354A"/>
    <w:rsid w:val="00DC38B7"/>
    <w:rsid w:val="00DC4F81"/>
    <w:rsid w:val="00DC680A"/>
    <w:rsid w:val="00DD1BF1"/>
    <w:rsid w:val="00DD3681"/>
    <w:rsid w:val="00DD5618"/>
    <w:rsid w:val="00DD6BCD"/>
    <w:rsid w:val="00DE0FE1"/>
    <w:rsid w:val="00DE1D34"/>
    <w:rsid w:val="00DE2D5F"/>
    <w:rsid w:val="00DF16A9"/>
    <w:rsid w:val="00DF21E5"/>
    <w:rsid w:val="00DF247B"/>
    <w:rsid w:val="00DF24BD"/>
    <w:rsid w:val="00E01830"/>
    <w:rsid w:val="00E14FFB"/>
    <w:rsid w:val="00E43E24"/>
    <w:rsid w:val="00E46266"/>
    <w:rsid w:val="00E46620"/>
    <w:rsid w:val="00E466C2"/>
    <w:rsid w:val="00E51F43"/>
    <w:rsid w:val="00E52FA2"/>
    <w:rsid w:val="00E55A3B"/>
    <w:rsid w:val="00E60485"/>
    <w:rsid w:val="00E653A5"/>
    <w:rsid w:val="00E66CE1"/>
    <w:rsid w:val="00E838D7"/>
    <w:rsid w:val="00E8454A"/>
    <w:rsid w:val="00E86200"/>
    <w:rsid w:val="00E877B4"/>
    <w:rsid w:val="00E92750"/>
    <w:rsid w:val="00E96FFD"/>
    <w:rsid w:val="00EA28BC"/>
    <w:rsid w:val="00EA547C"/>
    <w:rsid w:val="00EA68AB"/>
    <w:rsid w:val="00EB05AA"/>
    <w:rsid w:val="00EB2AA9"/>
    <w:rsid w:val="00EB3045"/>
    <w:rsid w:val="00EB474E"/>
    <w:rsid w:val="00EC429C"/>
    <w:rsid w:val="00ED20B9"/>
    <w:rsid w:val="00ED31B3"/>
    <w:rsid w:val="00ED67A7"/>
    <w:rsid w:val="00ED6F0A"/>
    <w:rsid w:val="00EF7661"/>
    <w:rsid w:val="00F00967"/>
    <w:rsid w:val="00F009D7"/>
    <w:rsid w:val="00F01762"/>
    <w:rsid w:val="00F03D09"/>
    <w:rsid w:val="00F0480F"/>
    <w:rsid w:val="00F04A7B"/>
    <w:rsid w:val="00F108E1"/>
    <w:rsid w:val="00F12505"/>
    <w:rsid w:val="00F141D6"/>
    <w:rsid w:val="00F14C8B"/>
    <w:rsid w:val="00F17805"/>
    <w:rsid w:val="00F22135"/>
    <w:rsid w:val="00F32D20"/>
    <w:rsid w:val="00F338F6"/>
    <w:rsid w:val="00F3414F"/>
    <w:rsid w:val="00F4669A"/>
    <w:rsid w:val="00F50C27"/>
    <w:rsid w:val="00F63C18"/>
    <w:rsid w:val="00F6493E"/>
    <w:rsid w:val="00F72ACE"/>
    <w:rsid w:val="00F730B6"/>
    <w:rsid w:val="00F7524C"/>
    <w:rsid w:val="00F76562"/>
    <w:rsid w:val="00F777A6"/>
    <w:rsid w:val="00F777B5"/>
    <w:rsid w:val="00F80E6E"/>
    <w:rsid w:val="00F8264F"/>
    <w:rsid w:val="00F86764"/>
    <w:rsid w:val="00F94512"/>
    <w:rsid w:val="00F97C3C"/>
    <w:rsid w:val="00FA13C7"/>
    <w:rsid w:val="00FA1D1B"/>
    <w:rsid w:val="00FA2737"/>
    <w:rsid w:val="00FA66F4"/>
    <w:rsid w:val="00FB0BA0"/>
    <w:rsid w:val="00FB21FA"/>
    <w:rsid w:val="00FB28F3"/>
    <w:rsid w:val="00FB3236"/>
    <w:rsid w:val="00FC2336"/>
    <w:rsid w:val="00FC3557"/>
    <w:rsid w:val="00FC4E9C"/>
    <w:rsid w:val="00FD41B4"/>
    <w:rsid w:val="00FD7B58"/>
    <w:rsid w:val="00FD7E54"/>
    <w:rsid w:val="00FE2ABA"/>
    <w:rsid w:val="00FF4803"/>
    <w:rsid w:val="011F7457"/>
    <w:rsid w:val="01DDE79B"/>
    <w:rsid w:val="033FA2F0"/>
    <w:rsid w:val="03E7F476"/>
    <w:rsid w:val="0457DE67"/>
    <w:rsid w:val="046882C1"/>
    <w:rsid w:val="05014D96"/>
    <w:rsid w:val="0559E7D4"/>
    <w:rsid w:val="061233FA"/>
    <w:rsid w:val="077A166D"/>
    <w:rsid w:val="0806C5D7"/>
    <w:rsid w:val="08073611"/>
    <w:rsid w:val="0B76E80E"/>
    <w:rsid w:val="0BA2B79B"/>
    <w:rsid w:val="0BE1876C"/>
    <w:rsid w:val="0CBF4930"/>
    <w:rsid w:val="0CD2AF16"/>
    <w:rsid w:val="0D59E505"/>
    <w:rsid w:val="0F9C8A47"/>
    <w:rsid w:val="0FC987C9"/>
    <w:rsid w:val="109CCC51"/>
    <w:rsid w:val="1159A166"/>
    <w:rsid w:val="1159DECF"/>
    <w:rsid w:val="131BBC46"/>
    <w:rsid w:val="1467C7AD"/>
    <w:rsid w:val="14AA424C"/>
    <w:rsid w:val="15B54542"/>
    <w:rsid w:val="15C5D8BD"/>
    <w:rsid w:val="1625C80E"/>
    <w:rsid w:val="166C1FC3"/>
    <w:rsid w:val="176DEBC7"/>
    <w:rsid w:val="17B02AC7"/>
    <w:rsid w:val="1818F925"/>
    <w:rsid w:val="193006A7"/>
    <w:rsid w:val="1A034B2F"/>
    <w:rsid w:val="1A1B0733"/>
    <w:rsid w:val="1A3048B1"/>
    <w:rsid w:val="1B650684"/>
    <w:rsid w:val="1B84A127"/>
    <w:rsid w:val="1CC8229F"/>
    <w:rsid w:val="1CE4E264"/>
    <w:rsid w:val="1EA236EC"/>
    <w:rsid w:val="1EC90D50"/>
    <w:rsid w:val="20D608D4"/>
    <w:rsid w:val="20DA5EF2"/>
    <w:rsid w:val="2180A5F8"/>
    <w:rsid w:val="21944947"/>
    <w:rsid w:val="21D97307"/>
    <w:rsid w:val="22DC6D00"/>
    <w:rsid w:val="249860C2"/>
    <w:rsid w:val="24FCA631"/>
    <w:rsid w:val="2514D26F"/>
    <w:rsid w:val="25E816F7"/>
    <w:rsid w:val="26A68A3B"/>
    <w:rsid w:val="27BA98C8"/>
    <w:rsid w:val="27C1EDDB"/>
    <w:rsid w:val="28AD5EA1"/>
    <w:rsid w:val="299995E3"/>
    <w:rsid w:val="2A9F2EF2"/>
    <w:rsid w:val="2BC56493"/>
    <w:rsid w:val="2BCF96A7"/>
    <w:rsid w:val="2D32B2C2"/>
    <w:rsid w:val="3158627D"/>
    <w:rsid w:val="31755F61"/>
    <w:rsid w:val="3240DB01"/>
    <w:rsid w:val="325D2A8C"/>
    <w:rsid w:val="328E8CBA"/>
    <w:rsid w:val="32D1E089"/>
    <w:rsid w:val="33291A01"/>
    <w:rsid w:val="33EDB463"/>
    <w:rsid w:val="34ABF4D6"/>
    <w:rsid w:val="34B06A2C"/>
    <w:rsid w:val="34C0F8EB"/>
    <w:rsid w:val="356440FC"/>
    <w:rsid w:val="373AE590"/>
    <w:rsid w:val="373E17E0"/>
    <w:rsid w:val="378A63E2"/>
    <w:rsid w:val="3847A931"/>
    <w:rsid w:val="39899A44"/>
    <w:rsid w:val="398CE22A"/>
    <w:rsid w:val="3A032CB9"/>
    <w:rsid w:val="3A7B0ADF"/>
    <w:rsid w:val="3B0240CE"/>
    <w:rsid w:val="3B93B690"/>
    <w:rsid w:val="3CC84192"/>
    <w:rsid w:val="3D0D6B52"/>
    <w:rsid w:val="3DDF81E5"/>
    <w:rsid w:val="3EB71C8B"/>
    <w:rsid w:val="3EBC315F"/>
    <w:rsid w:val="3F5C359C"/>
    <w:rsid w:val="40540EF3"/>
    <w:rsid w:val="4071721E"/>
    <w:rsid w:val="421B2357"/>
    <w:rsid w:val="423976B3"/>
    <w:rsid w:val="424B4902"/>
    <w:rsid w:val="42AB6B24"/>
    <w:rsid w:val="42AF8E71"/>
    <w:rsid w:val="43290AC6"/>
    <w:rsid w:val="44281EDB"/>
    <w:rsid w:val="4601F5BF"/>
    <w:rsid w:val="471B13D6"/>
    <w:rsid w:val="47788258"/>
    <w:rsid w:val="47EA76C9"/>
    <w:rsid w:val="48347F38"/>
    <w:rsid w:val="484A98EB"/>
    <w:rsid w:val="4932D7EB"/>
    <w:rsid w:val="49C44DAD"/>
    <w:rsid w:val="49F74146"/>
    <w:rsid w:val="4A246FCF"/>
    <w:rsid w:val="4ACAB6D5"/>
    <w:rsid w:val="4B0CAECF"/>
    <w:rsid w:val="4B6DFEE6"/>
    <w:rsid w:val="4CA48DB9"/>
    <w:rsid w:val="4DF144F9"/>
    <w:rsid w:val="4F96A014"/>
    <w:rsid w:val="501EE430"/>
    <w:rsid w:val="51899E5A"/>
    <w:rsid w:val="528D088D"/>
    <w:rsid w:val="5317293C"/>
    <w:rsid w:val="5565F386"/>
    <w:rsid w:val="5592F108"/>
    <w:rsid w:val="5623F690"/>
    <w:rsid w:val="57E5ACC9"/>
    <w:rsid w:val="57FE0ADD"/>
    <w:rsid w:val="58C4E8A5"/>
    <w:rsid w:val="590C153B"/>
    <w:rsid w:val="59998E2D"/>
    <w:rsid w:val="5D0BF5B3"/>
    <w:rsid w:val="5D673C4D"/>
    <w:rsid w:val="5E1217D5"/>
    <w:rsid w:val="5E9027B1"/>
    <w:rsid w:val="5EB8CF15"/>
    <w:rsid w:val="5EBD2533"/>
    <w:rsid w:val="5FED8CE8"/>
    <w:rsid w:val="615E629D"/>
    <w:rsid w:val="62093292"/>
    <w:rsid w:val="6285A43F"/>
    <w:rsid w:val="651165A6"/>
    <w:rsid w:val="65133E5A"/>
    <w:rsid w:val="65A4B41C"/>
    <w:rsid w:val="676530CD"/>
    <w:rsid w:val="67A73264"/>
    <w:rsid w:val="6824D206"/>
    <w:rsid w:val="688F7164"/>
    <w:rsid w:val="6920E726"/>
    <w:rsid w:val="696D3328"/>
    <w:rsid w:val="6995DA8C"/>
    <w:rsid w:val="69B25CE8"/>
    <w:rsid w:val="69FEA8EA"/>
    <w:rsid w:val="6B9CAEF2"/>
    <w:rsid w:val="6C84EDF2"/>
    <w:rsid w:val="6E078B5E"/>
    <w:rsid w:val="6E1CCCDC"/>
    <w:rsid w:val="6F5A7E5E"/>
    <w:rsid w:val="6FB2B7AA"/>
    <w:rsid w:val="6FC9A63E"/>
    <w:rsid w:val="6FE19FAB"/>
    <w:rsid w:val="6FF6A3C0"/>
    <w:rsid w:val="70FA0DF3"/>
    <w:rsid w:val="71435B00"/>
    <w:rsid w:val="71A37D22"/>
    <w:rsid w:val="71BA2F1E"/>
    <w:rsid w:val="71FD07EC"/>
    <w:rsid w:val="72D3B206"/>
    <w:rsid w:val="742073C3"/>
    <w:rsid w:val="74C28CFF"/>
    <w:rsid w:val="756D2A23"/>
    <w:rsid w:val="75B22112"/>
    <w:rsid w:val="75C5C461"/>
    <w:rsid w:val="765AE073"/>
    <w:rsid w:val="76693F43"/>
    <w:rsid w:val="77442501"/>
    <w:rsid w:val="77E5F2FA"/>
    <w:rsid w:val="788F6229"/>
    <w:rsid w:val="78E5070F"/>
    <w:rsid w:val="7901569A"/>
    <w:rsid w:val="79760C97"/>
    <w:rsid w:val="7A829F9F"/>
    <w:rsid w:val="7B76F748"/>
    <w:rsid w:val="7B94DA6A"/>
    <w:rsid w:val="7D8848EA"/>
    <w:rsid w:val="7D95C51B"/>
    <w:rsid w:val="7EF95170"/>
    <w:rsid w:val="7FBC1A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2832B"/>
  <w15:chartTrackingRefBased/>
  <w15:docId w15:val="{3184161E-0E09-4AB1-84A6-8A4F353A6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1C6"/>
    <w:pPr>
      <w:keepNext/>
      <w:keepLines/>
      <w:numPr>
        <w:numId w:val="5"/>
      </w:numPr>
      <w:spacing w:before="24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472ADA"/>
    <w:pPr>
      <w:keepNext/>
      <w:keepLines/>
      <w:numPr>
        <w:ilvl w:val="1"/>
        <w:numId w:val="5"/>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544F5"/>
    <w:pPr>
      <w:keepNext/>
      <w:keepLines/>
      <w:numPr>
        <w:ilvl w:val="2"/>
        <w:numId w:val="5"/>
      </w:numPr>
      <w:spacing w:before="4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0544F5"/>
    <w:pPr>
      <w:keepNext/>
      <w:keepLines/>
      <w:numPr>
        <w:ilvl w:val="3"/>
        <w:numId w:val="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544F5"/>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544F5"/>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544F5"/>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544F5"/>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544F5"/>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544F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F70DA"/>
    <w:pPr>
      <w:ind w:left="720"/>
      <w:contextualSpacing/>
    </w:pPr>
  </w:style>
  <w:style w:type="character" w:customStyle="1" w:styleId="Heading1Char">
    <w:name w:val="Heading 1 Char"/>
    <w:basedOn w:val="DefaultParagraphFont"/>
    <w:link w:val="Heading1"/>
    <w:uiPriority w:val="9"/>
    <w:rsid w:val="000544F5"/>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0544F5"/>
    <w:rPr>
      <w:rFonts w:asciiTheme="majorHAnsi" w:eastAsiaTheme="majorEastAsia" w:hAnsiTheme="majorHAnsi" w:cstheme="majorBidi"/>
      <w:color w:val="000000" w:themeColor="text1"/>
    </w:rPr>
  </w:style>
  <w:style w:type="character" w:customStyle="1" w:styleId="Heading4Char">
    <w:name w:val="Heading 4 Char"/>
    <w:basedOn w:val="DefaultParagraphFont"/>
    <w:link w:val="Heading4"/>
    <w:uiPriority w:val="9"/>
    <w:semiHidden/>
    <w:rsid w:val="000544F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544F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544F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544F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544F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544F5"/>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0544F5"/>
    <w:pPr>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4F5"/>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F009D7"/>
    <w:pPr>
      <w:spacing w:before="100" w:beforeAutospacing="1" w:after="100" w:afterAutospacing="1"/>
    </w:pPr>
    <w:rPr>
      <w:rFonts w:ascii="Times New Roman" w:eastAsia="Times New Roman" w:hAnsi="Times New Roman" w:cs="Times New Roman"/>
      <w:lang w:eastAsia="zh-CN"/>
    </w:rPr>
  </w:style>
  <w:style w:type="character" w:styleId="Hyperlink">
    <w:name w:val="Hyperlink"/>
    <w:basedOn w:val="DefaultParagraphFont"/>
    <w:uiPriority w:val="99"/>
    <w:unhideWhenUsed/>
    <w:rsid w:val="00260E5F"/>
    <w:rPr>
      <w:color w:val="0563C1" w:themeColor="hyperlink"/>
      <w:u w:val="single"/>
    </w:rPr>
  </w:style>
  <w:style w:type="character" w:styleId="UnresolvedMention">
    <w:name w:val="Unresolved Mention"/>
    <w:basedOn w:val="DefaultParagraphFont"/>
    <w:uiPriority w:val="99"/>
    <w:semiHidden/>
    <w:unhideWhenUsed/>
    <w:rsid w:val="009C71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7700">
      <w:bodyDiv w:val="1"/>
      <w:marLeft w:val="0"/>
      <w:marRight w:val="0"/>
      <w:marTop w:val="0"/>
      <w:marBottom w:val="0"/>
      <w:divBdr>
        <w:top w:val="none" w:sz="0" w:space="0" w:color="auto"/>
        <w:left w:val="none" w:sz="0" w:space="0" w:color="auto"/>
        <w:bottom w:val="none" w:sz="0" w:space="0" w:color="auto"/>
        <w:right w:val="none" w:sz="0" w:space="0" w:color="auto"/>
      </w:divBdr>
    </w:div>
    <w:div w:id="301622629">
      <w:bodyDiv w:val="1"/>
      <w:marLeft w:val="0"/>
      <w:marRight w:val="0"/>
      <w:marTop w:val="0"/>
      <w:marBottom w:val="0"/>
      <w:divBdr>
        <w:top w:val="none" w:sz="0" w:space="0" w:color="auto"/>
        <w:left w:val="none" w:sz="0" w:space="0" w:color="auto"/>
        <w:bottom w:val="none" w:sz="0" w:space="0" w:color="auto"/>
        <w:right w:val="none" w:sz="0" w:space="0" w:color="auto"/>
      </w:divBdr>
    </w:div>
    <w:div w:id="475412981">
      <w:bodyDiv w:val="1"/>
      <w:marLeft w:val="0"/>
      <w:marRight w:val="0"/>
      <w:marTop w:val="0"/>
      <w:marBottom w:val="0"/>
      <w:divBdr>
        <w:top w:val="none" w:sz="0" w:space="0" w:color="auto"/>
        <w:left w:val="none" w:sz="0" w:space="0" w:color="auto"/>
        <w:bottom w:val="none" w:sz="0" w:space="0" w:color="auto"/>
        <w:right w:val="none" w:sz="0" w:space="0" w:color="auto"/>
      </w:divBdr>
    </w:div>
    <w:div w:id="726609262">
      <w:bodyDiv w:val="1"/>
      <w:marLeft w:val="0"/>
      <w:marRight w:val="0"/>
      <w:marTop w:val="0"/>
      <w:marBottom w:val="0"/>
      <w:divBdr>
        <w:top w:val="none" w:sz="0" w:space="0" w:color="auto"/>
        <w:left w:val="none" w:sz="0" w:space="0" w:color="auto"/>
        <w:bottom w:val="none" w:sz="0" w:space="0" w:color="auto"/>
        <w:right w:val="none" w:sz="0" w:space="0" w:color="auto"/>
      </w:divBdr>
    </w:div>
    <w:div w:id="836850002">
      <w:bodyDiv w:val="1"/>
      <w:marLeft w:val="0"/>
      <w:marRight w:val="0"/>
      <w:marTop w:val="0"/>
      <w:marBottom w:val="0"/>
      <w:divBdr>
        <w:top w:val="none" w:sz="0" w:space="0" w:color="auto"/>
        <w:left w:val="none" w:sz="0" w:space="0" w:color="auto"/>
        <w:bottom w:val="none" w:sz="0" w:space="0" w:color="auto"/>
        <w:right w:val="none" w:sz="0" w:space="0" w:color="auto"/>
      </w:divBdr>
    </w:div>
    <w:div w:id="1273055247">
      <w:bodyDiv w:val="1"/>
      <w:marLeft w:val="0"/>
      <w:marRight w:val="0"/>
      <w:marTop w:val="0"/>
      <w:marBottom w:val="0"/>
      <w:divBdr>
        <w:top w:val="none" w:sz="0" w:space="0" w:color="auto"/>
        <w:left w:val="none" w:sz="0" w:space="0" w:color="auto"/>
        <w:bottom w:val="none" w:sz="0" w:space="0" w:color="auto"/>
        <w:right w:val="none" w:sz="0" w:space="0" w:color="auto"/>
      </w:divBdr>
    </w:div>
    <w:div w:id="1490558218">
      <w:bodyDiv w:val="1"/>
      <w:marLeft w:val="0"/>
      <w:marRight w:val="0"/>
      <w:marTop w:val="0"/>
      <w:marBottom w:val="0"/>
      <w:divBdr>
        <w:top w:val="none" w:sz="0" w:space="0" w:color="auto"/>
        <w:left w:val="none" w:sz="0" w:space="0" w:color="auto"/>
        <w:bottom w:val="none" w:sz="0" w:space="0" w:color="auto"/>
        <w:right w:val="none" w:sz="0" w:space="0" w:color="auto"/>
      </w:divBdr>
    </w:div>
    <w:div w:id="1681809489">
      <w:bodyDiv w:val="1"/>
      <w:marLeft w:val="0"/>
      <w:marRight w:val="0"/>
      <w:marTop w:val="0"/>
      <w:marBottom w:val="0"/>
      <w:divBdr>
        <w:top w:val="none" w:sz="0" w:space="0" w:color="auto"/>
        <w:left w:val="none" w:sz="0" w:space="0" w:color="auto"/>
        <w:bottom w:val="none" w:sz="0" w:space="0" w:color="auto"/>
        <w:right w:val="none" w:sz="0" w:space="0" w:color="auto"/>
      </w:divBdr>
    </w:div>
    <w:div w:id="1788158506">
      <w:bodyDiv w:val="1"/>
      <w:marLeft w:val="0"/>
      <w:marRight w:val="0"/>
      <w:marTop w:val="0"/>
      <w:marBottom w:val="0"/>
      <w:divBdr>
        <w:top w:val="none" w:sz="0" w:space="0" w:color="auto"/>
        <w:left w:val="none" w:sz="0" w:space="0" w:color="auto"/>
        <w:bottom w:val="none" w:sz="0" w:space="0" w:color="auto"/>
        <w:right w:val="none" w:sz="0" w:space="0" w:color="auto"/>
      </w:divBdr>
    </w:div>
    <w:div w:id="1873300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rs.gov/pub/irs-pdf/p972.pdf" TargetMode="External"/><Relationship Id="rId18" Type="http://schemas.openxmlformats.org/officeDocument/2006/relationships/hyperlink" Target="https://www.cbpp.org/research/state-budget-and-tax/states-that-still-impose-sales-taxes-on-groceries-should-consider" TargetMode="External"/><Relationship Id="rId26" Type="http://schemas.openxmlformats.org/officeDocument/2006/relationships/hyperlink" Target="https://livingwage.mit.edu/resources/Living-Wage-Users-Guide-Technical-Documentation-2022-05-10.pdf" TargetMode="External"/><Relationship Id="rId3" Type="http://schemas.openxmlformats.org/officeDocument/2006/relationships/customXml" Target="../customXml/item3.xml"/><Relationship Id="rId21" Type="http://schemas.openxmlformats.org/officeDocument/2006/relationships/hyperlink" Target="https://datatools.ahrq.gov/meps-ic" TargetMode="External"/><Relationship Id="rId7" Type="http://schemas.openxmlformats.org/officeDocument/2006/relationships/settings" Target="settings.xml"/><Relationship Id="rId12" Type="http://schemas.openxmlformats.org/officeDocument/2006/relationships/hyperlink" Target="https://www.irs.gov/pub/irs-drop/rp-21-45.pdf" TargetMode="External"/><Relationship Id="rId17" Type="http://schemas.openxmlformats.org/officeDocument/2006/relationships/hyperlink" Target="https://azdor.gov/file/12181/download?token=NuPzufb8" TargetMode="External"/><Relationship Id="rId25" Type="http://schemas.openxmlformats.org/officeDocument/2006/relationships/hyperlink" Target="https://www.kff.org/interactive/subsidy-calculator/" TargetMode="External"/><Relationship Id="rId2" Type="http://schemas.openxmlformats.org/officeDocument/2006/relationships/customXml" Target="../customXml/item2.xml"/><Relationship Id="rId16" Type="http://schemas.openxmlformats.org/officeDocument/2006/relationships/hyperlink" Target="https://azdor.gov/file/12181/download?token=NuPzufb8" TargetMode="External"/><Relationship Id="rId20" Type="http://schemas.openxmlformats.org/officeDocument/2006/relationships/hyperlink" Target="https://selfsufficiencystandard.org/wp-content/uploads/2022/03/SSS2022_TechnicalBrief_03032022.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vingwage.mit.edu/resources/Living-Wage-Users-Guide-Technical-Documentation-2022-05-10.pdf" TargetMode="External"/><Relationship Id="rId24" Type="http://schemas.openxmlformats.org/officeDocument/2006/relationships/hyperlink" Target="https://www.feedingamerica.org/research/map-the-meal-gap/by-county" TargetMode="External"/><Relationship Id="rId5" Type="http://schemas.openxmlformats.org/officeDocument/2006/relationships/numbering" Target="numbering.xml"/><Relationship Id="rId15" Type="http://schemas.openxmlformats.org/officeDocument/2006/relationships/hyperlink" Target="https://www.irs.gov/pub/irs-pdf/p596.pdf" TargetMode="External"/><Relationship Id="rId23" Type="http://schemas.openxmlformats.org/officeDocument/2006/relationships/hyperlink" Target="https://www.healthcare.gov/health-and-dental-plan-datasets-for-researchers-and-issuers/" TargetMode="External"/><Relationship Id="rId28" Type="http://schemas.openxmlformats.org/officeDocument/2006/relationships/fontTable" Target="fontTable.xml"/><Relationship Id="rId10" Type="http://schemas.openxmlformats.org/officeDocument/2006/relationships/hyperlink" Target="https://www.epi.org/publication/family-budget-calculator-documentation/" TargetMode="External"/><Relationship Id="rId19" Type="http://schemas.openxmlformats.org/officeDocument/2006/relationships/hyperlink" Target="https://www.tax.virginia.gov/sites/default/files/vatax-pdf/2020-form-760-instructions.pdf" TargetMode="External"/><Relationship Id="rId4" Type="http://schemas.openxmlformats.org/officeDocument/2006/relationships/customXml" Target="../customXml/item4.xml"/><Relationship Id="rId9" Type="http://schemas.openxmlformats.org/officeDocument/2006/relationships/hyperlink" Target="https://htaindex.cnt.org/about/HTMethods_2016.pdf" TargetMode="External"/><Relationship Id="rId14" Type="http://schemas.openxmlformats.org/officeDocument/2006/relationships/hyperlink" Target="https://www.irs.gov/pub/irs-pdf/p972.pdf" TargetMode="External"/><Relationship Id="rId22" Type="http://schemas.openxmlformats.org/officeDocument/2006/relationships/hyperlink" Target="https://www.bls.gov/cex/tables/calendar-year/mean-item-share-average-standard-error/cu-size-2020.pdf" TargetMode="External"/><Relationship Id="rId27" Type="http://schemas.openxmlformats.org/officeDocument/2006/relationships/hyperlink" Target="https://fns-prod.azureedge.us/sites/default/files/media/file/CostofFoodMay2022LowModLi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90D20775-518A-43D7-985E-52AAB2D77435}">
  <ds:schemaRefs>
    <ds:schemaRef ds:uri="http://schemas.openxmlformats.org/officeDocument/2006/bibliography"/>
  </ds:schemaRefs>
</ds:datastoreItem>
</file>

<file path=customXml/itemProps2.xml><?xml version="1.0" encoding="utf-8"?>
<ds:datastoreItem xmlns:ds="http://schemas.openxmlformats.org/officeDocument/2006/customXml" ds:itemID="{970E1020-A900-4BFF-894B-F87169C1D10D}">
  <ds:schemaRefs>
    <ds:schemaRef ds:uri="http://schemas.microsoft.com/sharepoint/v3/contenttype/forms"/>
  </ds:schemaRefs>
</ds:datastoreItem>
</file>

<file path=customXml/itemProps3.xml><?xml version="1.0" encoding="utf-8"?>
<ds:datastoreItem xmlns:ds="http://schemas.openxmlformats.org/officeDocument/2006/customXml" ds:itemID="{7E9687DE-D117-401B-98E6-801289BC9245}"/>
</file>

<file path=customXml/itemProps4.xml><?xml version="1.0" encoding="utf-8"?>
<ds:datastoreItem xmlns:ds="http://schemas.openxmlformats.org/officeDocument/2006/customXml" ds:itemID="{FD6815E6-50FD-4F19-BCAE-8538073C902A}">
  <ds:schemaRefs>
    <ds:schemaRef ds:uri="http://schemas.microsoft.com/office/2006/metadata/properties"/>
    <ds:schemaRef ds:uri="http://schemas.microsoft.com/office/infopath/2007/PartnerControls"/>
    <ds:schemaRef ds:uri="7a2657dd-b8a5-4c99-8d51-b0b9d254c989"/>
    <ds:schemaRef ds:uri="5ba80a41-9917-4a22-8f13-cb051ddce64c"/>
  </ds:schemaRefs>
</ds:datastoreItem>
</file>

<file path=docProps/app.xml><?xml version="1.0" encoding="utf-8"?>
<Properties xmlns="http://schemas.openxmlformats.org/officeDocument/2006/extended-properties" xmlns:vt="http://schemas.openxmlformats.org/officeDocument/2006/docPropsVTypes">
  <Template>Normal.dotm</Template>
  <TotalTime>2575</TotalTime>
  <Pages>1</Pages>
  <Words>3577</Words>
  <Characters>20392</Characters>
  <Application>Microsoft Office Word</Application>
  <DocSecurity>4</DocSecurity>
  <Lines>169</Lines>
  <Paragraphs>47</Paragraphs>
  <ScaleCrop>false</ScaleCrop>
  <Company/>
  <LinksUpToDate>false</LinksUpToDate>
  <CharactersWithSpaces>23922</CharactersWithSpaces>
  <SharedDoc>false</SharedDoc>
  <HLinks>
    <vt:vector size="114" baseType="variant">
      <vt:variant>
        <vt:i4>2293869</vt:i4>
      </vt:variant>
      <vt:variant>
        <vt:i4>54</vt:i4>
      </vt:variant>
      <vt:variant>
        <vt:i4>0</vt:i4>
      </vt:variant>
      <vt:variant>
        <vt:i4>5</vt:i4>
      </vt:variant>
      <vt:variant>
        <vt:lpwstr>https://fns-prod.azureedge.us/sites/default/files/media/file/CostofFoodMay2022LowModLib.pdf</vt:lpwstr>
      </vt:variant>
      <vt:variant>
        <vt:lpwstr/>
      </vt:variant>
      <vt:variant>
        <vt:i4>3997748</vt:i4>
      </vt:variant>
      <vt:variant>
        <vt:i4>51</vt:i4>
      </vt:variant>
      <vt:variant>
        <vt:i4>0</vt:i4>
      </vt:variant>
      <vt:variant>
        <vt:i4>5</vt:i4>
      </vt:variant>
      <vt:variant>
        <vt:lpwstr>https://livingwage.mit.edu/resources/Living-Wage-Users-Guide-Technical-Documentation-2022-05-10.pdf</vt:lpwstr>
      </vt:variant>
      <vt:variant>
        <vt:lpwstr/>
      </vt:variant>
      <vt:variant>
        <vt:i4>3997744</vt:i4>
      </vt:variant>
      <vt:variant>
        <vt:i4>48</vt:i4>
      </vt:variant>
      <vt:variant>
        <vt:i4>0</vt:i4>
      </vt:variant>
      <vt:variant>
        <vt:i4>5</vt:i4>
      </vt:variant>
      <vt:variant>
        <vt:lpwstr>https://www.kff.org/interactive/subsidy-calculator/</vt:lpwstr>
      </vt:variant>
      <vt:variant>
        <vt:lpwstr/>
      </vt:variant>
      <vt:variant>
        <vt:i4>3080224</vt:i4>
      </vt:variant>
      <vt:variant>
        <vt:i4>45</vt:i4>
      </vt:variant>
      <vt:variant>
        <vt:i4>0</vt:i4>
      </vt:variant>
      <vt:variant>
        <vt:i4>5</vt:i4>
      </vt:variant>
      <vt:variant>
        <vt:lpwstr>https://www.feedingamerica.org/research/map-the-meal-gap/by-county</vt:lpwstr>
      </vt:variant>
      <vt:variant>
        <vt:lpwstr/>
      </vt:variant>
      <vt:variant>
        <vt:i4>7340136</vt:i4>
      </vt:variant>
      <vt:variant>
        <vt:i4>42</vt:i4>
      </vt:variant>
      <vt:variant>
        <vt:i4>0</vt:i4>
      </vt:variant>
      <vt:variant>
        <vt:i4>5</vt:i4>
      </vt:variant>
      <vt:variant>
        <vt:lpwstr>https://www.healthcare.gov/health-and-dental-plan-datasets-for-researchers-and-issuers/</vt:lpwstr>
      </vt:variant>
      <vt:variant>
        <vt:lpwstr/>
      </vt:variant>
      <vt:variant>
        <vt:i4>5701635</vt:i4>
      </vt:variant>
      <vt:variant>
        <vt:i4>39</vt:i4>
      </vt:variant>
      <vt:variant>
        <vt:i4>0</vt:i4>
      </vt:variant>
      <vt:variant>
        <vt:i4>5</vt:i4>
      </vt:variant>
      <vt:variant>
        <vt:lpwstr>https://www.bls.gov/cex/tables/calendar-year/mean-item-share-average-standard-error/cu-size-2020.pdf</vt:lpwstr>
      </vt:variant>
      <vt:variant>
        <vt:lpwstr/>
      </vt:variant>
      <vt:variant>
        <vt:i4>6750266</vt:i4>
      </vt:variant>
      <vt:variant>
        <vt:i4>36</vt:i4>
      </vt:variant>
      <vt:variant>
        <vt:i4>0</vt:i4>
      </vt:variant>
      <vt:variant>
        <vt:i4>5</vt:i4>
      </vt:variant>
      <vt:variant>
        <vt:lpwstr>https://datatools.ahrq.gov/meps-ic</vt:lpwstr>
      </vt:variant>
      <vt:variant>
        <vt:lpwstr/>
      </vt:variant>
      <vt:variant>
        <vt:i4>4194317</vt:i4>
      </vt:variant>
      <vt:variant>
        <vt:i4>33</vt:i4>
      </vt:variant>
      <vt:variant>
        <vt:i4>0</vt:i4>
      </vt:variant>
      <vt:variant>
        <vt:i4>5</vt:i4>
      </vt:variant>
      <vt:variant>
        <vt:lpwstr>https://selfsufficiencystandard.org/wp-content/uploads/2022/03/SSS2022_TechnicalBrief_03032022.pdf</vt:lpwstr>
      </vt:variant>
      <vt:variant>
        <vt:lpwstr/>
      </vt:variant>
      <vt:variant>
        <vt:i4>1769554</vt:i4>
      </vt:variant>
      <vt:variant>
        <vt:i4>30</vt:i4>
      </vt:variant>
      <vt:variant>
        <vt:i4>0</vt:i4>
      </vt:variant>
      <vt:variant>
        <vt:i4>5</vt:i4>
      </vt:variant>
      <vt:variant>
        <vt:lpwstr>https://www.tax.virginia.gov/sites/default/files/vatax-pdf/2020-form-760-instructions.pdf</vt:lpwstr>
      </vt:variant>
      <vt:variant>
        <vt:lpwstr/>
      </vt:variant>
      <vt:variant>
        <vt:i4>4128783</vt:i4>
      </vt:variant>
      <vt:variant>
        <vt:i4>27</vt:i4>
      </vt:variant>
      <vt:variant>
        <vt:i4>0</vt:i4>
      </vt:variant>
      <vt:variant>
        <vt:i4>5</vt:i4>
      </vt:variant>
      <vt:variant>
        <vt:lpwstr>https://www.cbpp.org/research/state-budget-and-tax/states-that-still-impose-sales-taxes-on-groceries-should-consider</vt:lpwstr>
      </vt:variant>
      <vt:variant>
        <vt:lpwstr>_ftn12</vt:lpwstr>
      </vt:variant>
      <vt:variant>
        <vt:i4>1048660</vt:i4>
      </vt:variant>
      <vt:variant>
        <vt:i4>24</vt:i4>
      </vt:variant>
      <vt:variant>
        <vt:i4>0</vt:i4>
      </vt:variant>
      <vt:variant>
        <vt:i4>5</vt:i4>
      </vt:variant>
      <vt:variant>
        <vt:lpwstr>https://azdor.gov/file/12181/download?token=NuPzufb8</vt:lpwstr>
      </vt:variant>
      <vt:variant>
        <vt:lpwstr/>
      </vt:variant>
      <vt:variant>
        <vt:i4>1048660</vt:i4>
      </vt:variant>
      <vt:variant>
        <vt:i4>21</vt:i4>
      </vt:variant>
      <vt:variant>
        <vt:i4>0</vt:i4>
      </vt:variant>
      <vt:variant>
        <vt:i4>5</vt:i4>
      </vt:variant>
      <vt:variant>
        <vt:lpwstr>https://azdor.gov/file/12181/download?token=NuPzufb8</vt:lpwstr>
      </vt:variant>
      <vt:variant>
        <vt:lpwstr/>
      </vt:variant>
      <vt:variant>
        <vt:i4>983126</vt:i4>
      </vt:variant>
      <vt:variant>
        <vt:i4>18</vt:i4>
      </vt:variant>
      <vt:variant>
        <vt:i4>0</vt:i4>
      </vt:variant>
      <vt:variant>
        <vt:i4>5</vt:i4>
      </vt:variant>
      <vt:variant>
        <vt:lpwstr>https://www.irs.gov/pub/irs-pdf/p596.pdf</vt:lpwstr>
      </vt:variant>
      <vt:variant>
        <vt:lpwstr/>
      </vt:variant>
      <vt:variant>
        <vt:i4>458840</vt:i4>
      </vt:variant>
      <vt:variant>
        <vt:i4>15</vt:i4>
      </vt:variant>
      <vt:variant>
        <vt:i4>0</vt:i4>
      </vt:variant>
      <vt:variant>
        <vt:i4>5</vt:i4>
      </vt:variant>
      <vt:variant>
        <vt:lpwstr>https://www.irs.gov/pub/irs-pdf/p972.pdf</vt:lpwstr>
      </vt:variant>
      <vt:variant>
        <vt:lpwstr/>
      </vt:variant>
      <vt:variant>
        <vt:i4>458840</vt:i4>
      </vt:variant>
      <vt:variant>
        <vt:i4>12</vt:i4>
      </vt:variant>
      <vt:variant>
        <vt:i4>0</vt:i4>
      </vt:variant>
      <vt:variant>
        <vt:i4>5</vt:i4>
      </vt:variant>
      <vt:variant>
        <vt:lpwstr>https://www.irs.gov/pub/irs-pdf/p972.pdf</vt:lpwstr>
      </vt:variant>
      <vt:variant>
        <vt:lpwstr/>
      </vt:variant>
      <vt:variant>
        <vt:i4>4390989</vt:i4>
      </vt:variant>
      <vt:variant>
        <vt:i4>9</vt:i4>
      </vt:variant>
      <vt:variant>
        <vt:i4>0</vt:i4>
      </vt:variant>
      <vt:variant>
        <vt:i4>5</vt:i4>
      </vt:variant>
      <vt:variant>
        <vt:lpwstr>https://www.irs.gov/pub/irs-drop/rp-21-45.pdf</vt:lpwstr>
      </vt:variant>
      <vt:variant>
        <vt:lpwstr/>
      </vt:variant>
      <vt:variant>
        <vt:i4>3997748</vt:i4>
      </vt:variant>
      <vt:variant>
        <vt:i4>6</vt:i4>
      </vt:variant>
      <vt:variant>
        <vt:i4>0</vt:i4>
      </vt:variant>
      <vt:variant>
        <vt:i4>5</vt:i4>
      </vt:variant>
      <vt:variant>
        <vt:lpwstr>https://livingwage.mit.edu/resources/Living-Wage-Users-Guide-Technical-Documentation-2022-05-10.pdf</vt:lpwstr>
      </vt:variant>
      <vt:variant>
        <vt:lpwstr/>
      </vt:variant>
      <vt:variant>
        <vt:i4>3145788</vt:i4>
      </vt:variant>
      <vt:variant>
        <vt:i4>3</vt:i4>
      </vt:variant>
      <vt:variant>
        <vt:i4>0</vt:i4>
      </vt:variant>
      <vt:variant>
        <vt:i4>5</vt:i4>
      </vt:variant>
      <vt:variant>
        <vt:lpwstr>https://www.epi.org/publication/family-budget-calculator-documentation/</vt:lpwstr>
      </vt:variant>
      <vt:variant>
        <vt:lpwstr/>
      </vt:variant>
      <vt:variant>
        <vt:i4>5308541</vt:i4>
      </vt:variant>
      <vt:variant>
        <vt:i4>0</vt:i4>
      </vt:variant>
      <vt:variant>
        <vt:i4>0</vt:i4>
      </vt:variant>
      <vt:variant>
        <vt:i4>5</vt:i4>
      </vt:variant>
      <vt:variant>
        <vt:lpwstr>https://htaindex.cnt.org/about/HTMethods_2016.pdf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Schroeder, Joanna (js2mr)</dc:creator>
  <cp:keywords/>
  <dc:description/>
  <cp:lastModifiedBy>Schroeder, Joanna (js2mr)</cp:lastModifiedBy>
  <cp:revision>376</cp:revision>
  <dcterms:created xsi:type="dcterms:W3CDTF">2022-07-14T22:15:00Z</dcterms:created>
  <dcterms:modified xsi:type="dcterms:W3CDTF">2022-07-20T16:26:00Z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y fmtid="{D5CDD505-2E9C-101B-9397-08002B2CF9AE}" pid="3" name="MediaServiceImageTags">
    <vt:lpwstr/>
  </property>
</Properties>
</file>