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0B3C49"/>
          <w:sz w:val="36"/>
          <w:szCs w:val="36"/>
        </w:rPr>
        <w:t xml:space="preserve">Voorstel Nieuw Intranet – Leverancier B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Datum: 16 februari 2026 – Geldig tot: 16 mei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Aanpak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Wij leveren het intranet in drie stappen: ontwerp, bouw en overdracht. Training en een doorlopend ondersteuningscontract maken deel uit van het aanbod.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Investering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00"/>
      </w:tblGrid>
      <w:tr>
        <w:tc>
          <w:tcPr>
            <w:tcW w:type="dxa" w:w="58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Onderdeel</w:t>
            </w:r>
          </w:p>
        </w:tc>
        <w:tc>
          <w:tcPr>
            <w:tcW w:type="dxa" w:w="3200"/>
            <w:shd w:fill="D9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Bedrag (excl. btw)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Ontwerp en bouw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€ 52.000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Training (twee dagen en een online sessie)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€ 9.500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Ondersteuningscontract (€ 1.250 per maand, eerste jaar)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€ 15.000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Totaal eerste jaar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€ 76.500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Voorwaarden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Oplevering: 15 december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Betaling binnen 14 dagen na factuur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Meerwerk: € 105 per 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Ondersteuningscontract: minimaal drie jaar, daarna jaarlijks opzegbaar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Planning is afhankelijk van de beschikbaarheid van onze ontwikkelaars in het najaar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Fictief oefenmateriaal voor de workshop Copilot Notebooks.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2026-10-03T07:52:30.169Z</dcterms:created>
  <dcterms:modified xsi:type="dcterms:W3CDTF">2026-10-03T07:52:30.169Z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