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D5502" w14:textId="5607A382" w:rsidR="00263A5C" w:rsidRPr="000B21D3" w:rsidRDefault="00000000">
      <w:pPr>
        <w:spacing w:after="80"/>
        <w:rPr>
          <w:sz w:val="36"/>
          <w:szCs w:val="36"/>
        </w:rPr>
      </w:pPr>
      <w:r w:rsidRPr="000B21D3">
        <w:rPr>
          <w:rFonts w:ascii="Arial" w:eastAsia="Arial" w:hAnsi="Arial" w:cs="Arial"/>
          <w:b/>
          <w:bCs/>
          <w:sz w:val="36"/>
          <w:szCs w:val="36"/>
        </w:rPr>
        <w:t>Operationalizing Indigenous Data Sovereignty</w:t>
      </w:r>
      <w:r w:rsidR="000B21D3" w:rsidRPr="000B21D3">
        <w:rPr>
          <w:rFonts w:ascii="Arial" w:eastAsia="Arial" w:hAnsi="Arial" w:cs="Arial"/>
          <w:b/>
          <w:bCs/>
          <w:sz w:val="36"/>
          <w:szCs w:val="36"/>
        </w:rPr>
        <w:t xml:space="preserve"> to achieve Data Governance</w:t>
      </w:r>
      <w:r w:rsidRPr="000B21D3">
        <w:rPr>
          <w:rFonts w:ascii="Arial" w:eastAsia="Arial" w:hAnsi="Arial" w:cs="Arial"/>
          <w:b/>
          <w:bCs/>
          <w:sz w:val="36"/>
          <w:szCs w:val="36"/>
        </w:rPr>
        <w:t>:</w:t>
      </w:r>
      <w:r w:rsidR="000B21D3" w:rsidRPr="000B21D3">
        <w:rPr>
          <w:rFonts w:ascii="Arial" w:eastAsia="Arial" w:hAnsi="Arial" w:cs="Arial"/>
          <w:b/>
          <w:bCs/>
          <w:sz w:val="36"/>
          <w:szCs w:val="36"/>
        </w:rPr>
        <w:t xml:space="preserve"> </w:t>
      </w:r>
      <w:r w:rsidRPr="000B21D3">
        <w:rPr>
          <w:rFonts w:ascii="Arial" w:eastAsia="Arial" w:hAnsi="Arial" w:cs="Arial"/>
          <w:b/>
          <w:bCs/>
          <w:sz w:val="36"/>
          <w:szCs w:val="36"/>
        </w:rPr>
        <w:t>The Tribal Data Sovereignty Toolkit</w:t>
      </w:r>
    </w:p>
    <w:p w14:paraId="5152F176" w14:textId="77777777" w:rsidR="00263A5C" w:rsidRPr="000B21D3" w:rsidRDefault="00263A5C">
      <w:pPr>
        <w:spacing w:before="80"/>
      </w:pPr>
    </w:p>
    <w:p w14:paraId="06483DC5" w14:textId="77777777" w:rsidR="00263A5C" w:rsidRPr="000B21D3" w:rsidRDefault="00000000">
      <w:pPr>
        <w:spacing w:before="60" w:after="100"/>
      </w:pPr>
      <w:r w:rsidRPr="000B21D3">
        <w:rPr>
          <w:rFonts w:ascii="Arial" w:eastAsia="Arial" w:hAnsi="Arial" w:cs="Arial"/>
        </w:rPr>
        <w:t>Lilly Jones, PhD</w:t>
      </w:r>
    </w:p>
    <w:p w14:paraId="1C7664F8" w14:textId="77777777" w:rsidR="00263A5C" w:rsidRPr="000B21D3" w:rsidRDefault="00000000">
      <w:pPr>
        <w:spacing w:before="60" w:after="100"/>
      </w:pPr>
      <w:r w:rsidRPr="000B21D3">
        <w:rPr>
          <w:sz w:val="20"/>
          <w:szCs w:val="20"/>
        </w:rPr>
        <w:t>Principal, Daear Consulting, LLC</w:t>
      </w:r>
    </w:p>
    <w:p w14:paraId="4FCD9612" w14:textId="77777777" w:rsidR="00263A5C" w:rsidRPr="000B21D3" w:rsidRDefault="00000000">
      <w:pPr>
        <w:spacing w:before="60" w:after="100"/>
      </w:pPr>
      <w:r w:rsidRPr="000B21D3">
        <w:rPr>
          <w:i/>
          <w:iCs/>
          <w:sz w:val="20"/>
          <w:szCs w:val="20"/>
        </w:rPr>
        <w:t>July 2026</w:t>
      </w:r>
    </w:p>
    <w:p w14:paraId="6FCAF54E" w14:textId="77777777" w:rsidR="00263A5C" w:rsidRPr="000B21D3" w:rsidRDefault="00000000">
      <w:pPr>
        <w:pStyle w:val="Heading1"/>
        <w:rPr>
          <w:color w:val="auto"/>
        </w:rPr>
      </w:pPr>
      <w:r w:rsidRPr="000B21D3">
        <w:rPr>
          <w:color w:val="auto"/>
        </w:rPr>
        <w:t>Abstract</w:t>
      </w:r>
    </w:p>
    <w:p w14:paraId="5831B775" w14:textId="498EED34" w:rsidR="00263A5C" w:rsidRPr="000B21D3" w:rsidRDefault="00000000">
      <w:pPr>
        <w:spacing w:before="60" w:after="100"/>
      </w:pPr>
      <w:r w:rsidRPr="000B21D3">
        <w:t xml:space="preserve">Indigenous data sovereignty has </w:t>
      </w:r>
      <w:r w:rsidR="000B21D3">
        <w:t xml:space="preserve">is </w:t>
      </w:r>
      <w:r w:rsidRPr="000B21D3">
        <w:t>mov</w:t>
      </w:r>
      <w:r w:rsidR="000B21D3">
        <w:t>ing</w:t>
      </w:r>
      <w:r w:rsidRPr="000B21D3">
        <w:t xml:space="preserve"> from principle to policy. What has lagged is implementation. Most organizations working with Tribal data acknowledge sovereignty frameworks in governance documents and research protocols. Few have built those frameworks into the technical infrastructure of data pipelines  into the code, the provenance records, the metadata schemas, and the file structures that actually govern how data moves through systems and time.</w:t>
      </w:r>
    </w:p>
    <w:p w14:paraId="0657E2BE" w14:textId="7EB025CF" w:rsidR="00263A5C" w:rsidRPr="000B21D3" w:rsidRDefault="00000000">
      <w:pPr>
        <w:spacing w:before="60" w:after="100"/>
      </w:pPr>
      <w:r w:rsidRPr="000B21D3">
        <w:t>This white paper describes the Tribal Data Sovereignty Toolkit: an open-source Python framework that operationalizes four complementary governance standards  OCAP® (Ownership, Control, Access, Possession), the CARE Principles, the FAIR Principles, and IEEE 2890-2025  into the working infrastructure of Earth data science. The toolkit provides a nation-agnostic configuration architecture through which any Tribal Nation can adapt the full framework to their territory, treaty context, and governance preferences in under an hour. It provides canonical Python modules for sovereignty context management, IEEE 2890-2025 provenance records, governance statement generation, and 27-question sovereignty compliance auditing. It provides document templates for Tribal natural resource staff who do not write code. And it provides the Sovereignty-Embedded Earth Data Science (SEEDS) teaching series  seven notebooks designed for Tribal college courses, hackathons, and research training.</w:t>
      </w:r>
    </w:p>
    <w:p w14:paraId="74A24154" w14:textId="46A77EA5" w:rsidR="00263A5C" w:rsidRPr="000B21D3" w:rsidRDefault="00000000">
      <w:pPr>
        <w:spacing w:before="60" w:after="100"/>
      </w:pPr>
      <w:r w:rsidRPr="000B21D3">
        <w:t>The toolkit has been implemented across five active Earth data science repositories covering Tribal fire science (ten Nations), water monitoring (Pine Ridge and Rosebud Reservations), mining history in He Sapa (Black Hills), and soils and geology. A consistent methodological contribution across these implementations is the framing of federal monitoring gaps on Tribal lands not as technical data limitations but as documented infrastructure equity findings  a distinction that has implications for how findings are presented to Tribal councils, funders, and policy audiences.</w:t>
      </w:r>
    </w:p>
    <w:p w14:paraId="0FB11719" w14:textId="22B250F1" w:rsidR="00263A5C" w:rsidRPr="000B21D3" w:rsidRDefault="00000000">
      <w:pPr>
        <w:spacing w:before="60" w:after="100"/>
      </w:pPr>
      <w:r w:rsidRPr="000B21D3">
        <w:t>The argument of this paper is simple: sovereignty cannot be a policy statement appended to a technical workflow. It must be architecture  embedded in the pipeline from the first data acquisition step to the final provenance record. The toolkit makes that architecture accessible, reusable, and adaptable for any Tribal Nation and any practitioner.</w:t>
      </w:r>
    </w:p>
    <w:p w14:paraId="1C5DDDFC" w14:textId="77777777" w:rsidR="00263A5C" w:rsidRPr="000B21D3" w:rsidRDefault="00000000">
      <w:pPr>
        <w:pStyle w:val="Heading1"/>
        <w:rPr>
          <w:color w:val="auto"/>
        </w:rPr>
      </w:pPr>
      <w:r w:rsidRPr="000B21D3">
        <w:rPr>
          <w:color w:val="auto"/>
        </w:rPr>
        <w:t>1. Introduction: The Gap Between Policy and Practice</w:t>
      </w:r>
    </w:p>
    <w:p w14:paraId="5819BAA0" w14:textId="77777777" w:rsidR="00263A5C" w:rsidRPr="000B21D3" w:rsidRDefault="00000000">
      <w:pPr>
        <w:pStyle w:val="Heading2"/>
        <w:rPr>
          <w:color w:val="auto"/>
        </w:rPr>
      </w:pPr>
      <w:r w:rsidRPr="000B21D3">
        <w:rPr>
          <w:color w:val="auto"/>
        </w:rPr>
        <w:t>1.1 The State of Indigenous Data Sovereignty</w:t>
      </w:r>
    </w:p>
    <w:p w14:paraId="6E198129" w14:textId="4FE8E3CE" w:rsidR="00263A5C" w:rsidRPr="000B21D3" w:rsidRDefault="00000000">
      <w:pPr>
        <w:spacing w:before="60" w:after="100"/>
      </w:pPr>
      <w:r w:rsidRPr="000B21D3">
        <w:t xml:space="preserve">The past decade has produced significant intellectual and policy progress on Indigenous data sovereignty. The Global Indigenous Data Alliance published the CARE Principles in 2020, providing a framework for ethical data governance that explicitly addresses the obligations of researchers and institutions working with Indigenous data (Carroll et al., 2020). The First Nations Information Governance Centre's OCAP® framework, developed over two decades of practice with First Nations in Canada, has achieved broad recognition as the standard for asserting Indigenous rights over data (FNIGC, 2023). The IEEE published IEEE 2890-2025  the first international </w:t>
      </w:r>
      <w:r w:rsidRPr="000B21D3">
        <w:lastRenderedPageBreak/>
        <w:t>technical standard for provenance of Indigenous Peoples' data  in 2025. The United States Indigenous Data Sovereignty Network has advanced policy work connecting these frameworks to federal data governance reform.</w:t>
      </w:r>
    </w:p>
    <w:p w14:paraId="637CF775" w14:textId="77777777" w:rsidR="00263A5C" w:rsidRPr="000B21D3" w:rsidRDefault="00000000">
      <w:pPr>
        <w:spacing w:before="60" w:after="100"/>
      </w:pPr>
      <w:r w:rsidRPr="000B21D3">
        <w:t>This intellectual progress has been real and important. What it has not produced, in most contexts, is operational infrastructure. The gap between a sovereignty statement in a data management plan and an actual sovereignty-embedded data pipeline is wide. Researchers acknowledge OCAP® in their ethics sections and then use the same federal data pipelines they would use for any other research context. Governance frameworks are cited in reports and then not implemented in code. The tools that practitioners need to make sovereignty operational in day-to-day technical work do not yet exist in accessible, reusable form.</w:t>
      </w:r>
    </w:p>
    <w:p w14:paraId="4C2E1D31" w14:textId="0E6B26D3" w:rsidR="00263A5C" w:rsidRPr="000B21D3" w:rsidRDefault="00000000">
      <w:pPr>
        <w:spacing w:before="60" w:after="100"/>
      </w:pPr>
      <w:r w:rsidRPr="000B21D3">
        <w:t>This is not a failure of intention</w:t>
      </w:r>
      <w:r w:rsidR="00331E3A" w:rsidRPr="000B21D3">
        <w:t>, i</w:t>
      </w:r>
      <w:r w:rsidRPr="000B21D3">
        <w:t>t is a failure of tooling. Building sovereignty into a data pipeline from scratch requires expertise in both Earth data science and Indigenous governance frameworks  a combination that is rare, and that most researchers and Tribal data staff cannot reasonably be expected to develop independently. What is needed is a toolkit that encodes both.</w:t>
      </w:r>
    </w:p>
    <w:p w14:paraId="2022CAE7" w14:textId="77777777" w:rsidR="00263A5C" w:rsidRPr="000B21D3" w:rsidRDefault="00000000">
      <w:pPr>
        <w:pStyle w:val="Heading2"/>
        <w:rPr>
          <w:color w:val="auto"/>
        </w:rPr>
      </w:pPr>
      <w:r w:rsidRPr="000B21D3">
        <w:rPr>
          <w:color w:val="auto"/>
        </w:rPr>
        <w:t>1.2 The Specific Problem This Toolkit Addresses</w:t>
      </w:r>
    </w:p>
    <w:p w14:paraId="71CEBB2F" w14:textId="3DF7A0B4" w:rsidR="00263A5C" w:rsidRPr="000B21D3" w:rsidRDefault="00000000">
      <w:pPr>
        <w:spacing w:before="60" w:after="100"/>
      </w:pPr>
      <w:r w:rsidRPr="000B21D3">
        <w:t>Earth data science workflows that touch Tribal lands are particularly acute sites of this problem. The federal agencies that monitor Tribal environments  the USGS, USDA, NOAA, EPA, and Census Bureau  collect extensive data about Tribal territories as part of their statutory mandates. This data is produced about Tribal lands, describes Tribal resources (water, soil, air, fire risk, geological formations, mineral deposits), and is used to make decisions that affect Tribal communities. Under current practice, Tribal Nations have no formal ownership or control over this data. Federal data covering Tribal territories does not carry governance metadata indicating whose land it describes or what sovereignty obligations attach to its use.</w:t>
      </w:r>
    </w:p>
    <w:p w14:paraId="22EFEDEA" w14:textId="77777777" w:rsidR="00263A5C" w:rsidRPr="000B21D3" w:rsidRDefault="00000000">
      <w:pPr>
        <w:spacing w:before="60" w:after="100"/>
      </w:pPr>
      <w:r w:rsidRPr="000B21D3">
        <w:t>At the same time, federal monitoring networks are systematically sparser on Tribal lands than on adjacent non-Tribal lands. USGS streamflow gauges, USDA soil survey sampling points, EPA air quality monitors, and groundwater monitoring wells are all less dense on reservation lands than in surrounding agricultural counties. This is not a geological or hydrological accident. It is a documented pattern of federal infrastructure underinvestment with a traceable history in federal Indian policy. When this sparse coverage is presented as a data limitation without this context, it obscures a policy finding behind a technical caveat.</w:t>
      </w:r>
    </w:p>
    <w:p w14:paraId="6986FCF4" w14:textId="77777777" w:rsidR="00263A5C" w:rsidRPr="000B21D3" w:rsidRDefault="00000000">
      <w:pPr>
        <w:spacing w:before="60" w:after="100"/>
      </w:pPr>
      <w:r w:rsidRPr="000B21D3">
        <w:t>The toolkit addresses both problems: it provides the infrastructure to make federal data carry its sovereignty obligations through any pipeline that uses it, and it provides the methodological framing to present monitoring gaps as equity findings rather than data errors.</w:t>
      </w:r>
    </w:p>
    <w:p w14:paraId="7AA2F966" w14:textId="77777777" w:rsidR="00263A5C" w:rsidRPr="000B21D3" w:rsidRDefault="00000000">
      <w:pPr>
        <w:pStyle w:val="Heading2"/>
        <w:rPr>
          <w:color w:val="auto"/>
        </w:rPr>
      </w:pPr>
      <w:r w:rsidRPr="000B21D3">
        <w:rPr>
          <w:color w:val="auto"/>
        </w:rPr>
        <w:t>1.3 The Argument of This Paper</w:t>
      </w:r>
    </w:p>
    <w:p w14:paraId="5946B94F" w14:textId="3A69103C" w:rsidR="00263A5C" w:rsidRPr="000B21D3" w:rsidRDefault="00000000">
      <w:pPr>
        <w:spacing w:before="60" w:after="100"/>
      </w:pPr>
      <w:r w:rsidRPr="000B21D3">
        <w:t>This paper argues that Indigenous data sovereignty, to be meaningful in Earth data science practice, must be implemented as architecture. A provenance record that identifies whose land a dataset describes, what treaty governs that land, who has stewardship authority, and what governance frameworks apply is not a policy statement  it is a technical artifact that can be processed, searched, enforced, and transferred with the data. A configuration file that encodes a Nation's treaty citations, territorial bounds, stewardship contacts, and data classification schema is not documentation  it is the operational core of a sovereignty-embedded pipeline.</w:t>
      </w:r>
    </w:p>
    <w:p w14:paraId="09400443" w14:textId="0DD8C38E" w:rsidR="00263A5C" w:rsidRPr="000B21D3" w:rsidRDefault="00000000">
      <w:pPr>
        <w:spacing w:before="60" w:after="100"/>
      </w:pPr>
      <w:r w:rsidRPr="000B21D3">
        <w:t>The Tribal Data Sovereignty Toolkit is built on this conviction. Every design decision  from the nation-agnostic YAML configuration to the IEEE 2890-2025 provenance record structure to the automated compliance audit  reflects the premise that sovereignty is not a value to be expressed but an infrastructure to be built.</w:t>
      </w:r>
    </w:p>
    <w:p w14:paraId="56323F65" w14:textId="77777777" w:rsidR="00263A5C" w:rsidRPr="000B21D3" w:rsidRDefault="00000000">
      <w:pPr>
        <w:pStyle w:val="Heading1"/>
        <w:rPr>
          <w:color w:val="auto"/>
        </w:rPr>
      </w:pPr>
      <w:r w:rsidRPr="000B21D3">
        <w:rPr>
          <w:color w:val="auto"/>
        </w:rPr>
        <w:t>2. The Governance Framework Stack</w:t>
      </w:r>
    </w:p>
    <w:p w14:paraId="60B6FA81" w14:textId="77777777" w:rsidR="00263A5C" w:rsidRPr="000B21D3" w:rsidRDefault="00000000">
      <w:pPr>
        <w:pStyle w:val="Heading2"/>
        <w:rPr>
          <w:color w:val="auto"/>
        </w:rPr>
      </w:pPr>
      <w:r w:rsidRPr="000B21D3">
        <w:rPr>
          <w:color w:val="auto"/>
        </w:rPr>
        <w:t>2.1 Why Four Frameworks?</w:t>
      </w:r>
    </w:p>
    <w:p w14:paraId="66B50785" w14:textId="643F1397" w:rsidR="00263A5C" w:rsidRPr="000B21D3" w:rsidRDefault="00000000">
      <w:pPr>
        <w:spacing w:before="60" w:after="100"/>
      </w:pPr>
      <w:r w:rsidRPr="000B21D3">
        <w:t>The toolkit implements four governance frameworks as a coherent stack rather than selecting one as primary. This is a deliberate design choice that reflects the complementary  not competing  nature of the four frameworks. Each addresses a distinct dimension of the data governance problem:</w:t>
      </w:r>
    </w:p>
    <w:p w14:paraId="49EE5F4B" w14:textId="77777777" w:rsidR="00263A5C" w:rsidRPr="000B21D3" w:rsidRDefault="00000000">
      <w:pPr>
        <w:pStyle w:val="ListParagraph"/>
        <w:numPr>
          <w:ilvl w:val="0"/>
          <w:numId w:val="2"/>
        </w:numPr>
        <w:spacing w:before="40" w:after="40"/>
      </w:pPr>
      <w:r w:rsidRPr="000B21D3">
        <w:rPr>
          <w:rFonts w:ascii="Arial" w:eastAsia="Arial" w:hAnsi="Arial" w:cs="Arial"/>
          <w:b/>
          <w:bCs/>
        </w:rPr>
        <w:lastRenderedPageBreak/>
        <w:t xml:space="preserve">OCAP® </w:t>
      </w:r>
      <w:r w:rsidRPr="000B21D3">
        <w:t>addresses the fundamental question of rights: who has the right to own, control, access, and possess data about an Indigenous community?</w:t>
      </w:r>
    </w:p>
    <w:p w14:paraId="58CAA240"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CARE </w:t>
      </w:r>
      <w:r w:rsidRPr="000B21D3">
        <w:t>addresses the ethical question: what obligations do data practitioners have to the communities whose data they use?</w:t>
      </w:r>
    </w:p>
    <w:p w14:paraId="70BF6191"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FAIR </w:t>
      </w:r>
      <w:r w:rsidRPr="000B21D3">
        <w:t>addresses the technical management question: how should data be structured and managed so it remains usable across institutions and time?</w:t>
      </w:r>
    </w:p>
    <w:p w14:paraId="790EDC3A"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IEEE 2890-2025 </w:t>
      </w:r>
      <w:r w:rsidRPr="000B21D3">
        <w:t>addresses the documentation question: how do we record governance obligations in a machine-readable form that travels with the data?</w:t>
      </w:r>
    </w:p>
    <w:p w14:paraId="4A239448" w14:textId="77777777" w:rsidR="00263A5C" w:rsidRPr="000B21D3" w:rsidRDefault="00263A5C">
      <w:pPr>
        <w:spacing w:before="60"/>
      </w:pPr>
    </w:p>
    <w:p w14:paraId="51FC67B2" w14:textId="2EDBF987" w:rsidR="00263A5C" w:rsidRPr="000B21D3" w:rsidRDefault="00000000">
      <w:pPr>
        <w:spacing w:before="60" w:after="100"/>
      </w:pPr>
      <w:r w:rsidRPr="000B21D3">
        <w:t>None of these frameworks is sufficient alone. A dataset can be fully FAIR  publicly findable, technically accessible, interoperable, reusable  while completely violating OCAP® and CARE. A strong OCAP® commitment without IEEE 2890-2025 provenance records produces sovereignty obligations that are lost the first time data is transferred to a new system. CARE without FAIR produces ethically well-intentioned but technically unusable data. The four-framework stack is the minimum coherent set.</w:t>
      </w:r>
    </w:p>
    <w:p w14:paraId="5B22F3D3" w14:textId="4800761A" w:rsidR="00263A5C" w:rsidRPr="000B21D3" w:rsidRDefault="00000000">
      <w:pPr>
        <w:pStyle w:val="Heading2"/>
        <w:rPr>
          <w:color w:val="auto"/>
        </w:rPr>
      </w:pPr>
      <w:r w:rsidRPr="000B21D3">
        <w:rPr>
          <w:color w:val="auto"/>
        </w:rPr>
        <w:t>2.2 OCAP®  Ownership, Control, Access, Possession</w:t>
      </w:r>
    </w:p>
    <w:p w14:paraId="66F0CF86" w14:textId="77777777" w:rsidR="00263A5C" w:rsidRPr="000B21D3" w:rsidRDefault="00000000">
      <w:pPr>
        <w:spacing w:before="60" w:after="100"/>
      </w:pPr>
      <w:r w:rsidRPr="000B21D3">
        <w:t>OCAP® was developed by the First Nations Information Governance Centre over two decades of practice with First Nations in Canada (FNIGC, 2023). It addresses a specific and persistent problem: researchers collect data about Indigenous communities, publish it, and the communities have no say in how it is used, whether findings are accurate, or whether the data continues to serve community interests after the research relationship ends.</w:t>
      </w:r>
    </w:p>
    <w:p w14:paraId="3F563AC5" w14:textId="54BF96EA" w:rsidR="00263A5C" w:rsidRPr="000B21D3" w:rsidRDefault="00000000">
      <w:pPr>
        <w:spacing w:before="60" w:after="100"/>
      </w:pPr>
      <w:r w:rsidRPr="000B21D3">
        <w:t>The four principles address four distinct governance rights. Ownership recognizes that a community's collective data is owned collectively, in the same way that an individual owns personal information  not merely held in custody by whoever collected it. Control establishes the rights of Indigenous peoples and their representative bodies to govern data collection processes in their communities. Access asserts that Indigenous peoples must have access to data about themselves regardless of where that data is held, including in federal agency databases maintained for decades. Possession provides the mechanism through which the other three rights can be practically exercised: without physical custody of a copy of the data, ownership and control are theoretical.</w:t>
      </w:r>
    </w:p>
    <w:p w14:paraId="6A197167" w14:textId="77777777" w:rsidR="00263A5C" w:rsidRPr="000B21D3" w:rsidRDefault="00000000">
      <w:pPr>
        <w:spacing w:before="60" w:after="100"/>
      </w:pPr>
      <w:r w:rsidRPr="000B21D3">
        <w:t>In the toolkit, OCAP® is implemented through the data classification schema (ensuring Tribal-collected data is gitignored and locally controlled), the data governance agreement template (formalizing ownership and control rights at the start of a research relationship), and the provenance record (which identifies the Nation as territorial owner of data describing their land regardless of the data's federal origin).</w:t>
      </w:r>
    </w:p>
    <w:p w14:paraId="6D207473" w14:textId="550D762F" w:rsidR="00263A5C" w:rsidRPr="000B21D3" w:rsidRDefault="00000000">
      <w:pPr>
        <w:pStyle w:val="Heading2"/>
        <w:rPr>
          <w:color w:val="auto"/>
        </w:rPr>
      </w:pPr>
      <w:r w:rsidRPr="000B21D3">
        <w:rPr>
          <w:color w:val="auto"/>
        </w:rPr>
        <w:t>2.3 CARE  Collective Benefit, Authority to Control, Responsibility, Ethics</w:t>
      </w:r>
    </w:p>
    <w:p w14:paraId="11205F89" w14:textId="007BC77D" w:rsidR="00263A5C" w:rsidRPr="000B21D3" w:rsidRDefault="00000000">
      <w:pPr>
        <w:spacing w:before="60" w:after="100"/>
      </w:pPr>
      <w:r w:rsidRPr="000B21D3">
        <w:t>The CARE Principles were developed by the Global Indigenous Data Alliance and published in the journal Data Science in 2020 (Carroll et al., 2020). They were developed explicitly as the ethical complement to FAIR  recognizing that FAIR addresses how data should be managed but says nothing about the ethical obligations practitioners have to the communities whose data they manage.</w:t>
      </w:r>
    </w:p>
    <w:p w14:paraId="21FDB2B5" w14:textId="27A0B4CB" w:rsidR="00263A5C" w:rsidRPr="000B21D3" w:rsidRDefault="00000000">
      <w:pPr>
        <w:spacing w:before="60" w:after="100"/>
      </w:pPr>
      <w:r w:rsidRPr="000B21D3">
        <w:t>Collective Benefit requires that data ecosystems be designed to enable Indigenous peoples to derive benefit from the data  not merely to enable researchers to publish from it. Authority to Control recognizes Indigenous peoples' rights and interests in Indigenous data and requires that their authority to control such data be actively empowered, not merely acknowledged. Responsibility places obligations on those working with Indigenous data to share how it is used and to build the capacity of Indigenous peoples to govern their own data. Ethics requires that Indigenous peoples' rights and wellbeing be the primary concern at all stages of the data lifecycle.</w:t>
      </w:r>
    </w:p>
    <w:p w14:paraId="1CBD9C7A" w14:textId="77777777" w:rsidR="00263A5C" w:rsidRPr="000B21D3" w:rsidRDefault="00000000">
      <w:pPr>
        <w:spacing w:before="60" w:after="100"/>
      </w:pPr>
      <w:r w:rsidRPr="000B21D3">
        <w:t>CARE and OCAP® address overlapping territory from different institutional contexts. OCAP® developed in Canadian First Nations practice; CARE was developed with a global Indigenous audience. The toolkit implements both because OCAP® provides the strongest framework for asserting specific rights (particularly possession), while CARE provides the strongest framework for ethical obligations (particularly Collective Benefit and Responsibility), and the two together are more complete than either alone.</w:t>
      </w:r>
    </w:p>
    <w:p w14:paraId="3128BC2E" w14:textId="5B4493EE" w:rsidR="00263A5C" w:rsidRPr="000B21D3" w:rsidRDefault="00000000">
      <w:pPr>
        <w:pStyle w:val="Heading2"/>
        <w:rPr>
          <w:color w:val="auto"/>
        </w:rPr>
      </w:pPr>
      <w:r w:rsidRPr="000B21D3">
        <w:rPr>
          <w:color w:val="auto"/>
        </w:rPr>
        <w:lastRenderedPageBreak/>
        <w:t>2.4 FAIR  Findable, Accessible, Interoperable, Reusable</w:t>
      </w:r>
    </w:p>
    <w:p w14:paraId="02C7EB9C" w14:textId="77777777" w:rsidR="00263A5C" w:rsidRPr="000B21D3" w:rsidRDefault="00000000">
      <w:pPr>
        <w:spacing w:before="60" w:after="100"/>
      </w:pPr>
      <w:r w:rsidRPr="000B21D3">
        <w:t>The FAIR Principles were published in Scientific Data in 2016 (Wilkinson et al., 2016) and have become the standard framework for scientific data management across disciplines. FAIR governs technical data management: how data is structured, described, identified, and made available so it can be found, used, and integrated by humans and machines across institutional boundaries and time.</w:t>
      </w:r>
    </w:p>
    <w:p w14:paraId="4AA66A4E" w14:textId="70EC020A" w:rsidR="00263A5C" w:rsidRPr="000B21D3" w:rsidRDefault="00000000">
      <w:pPr>
        <w:spacing w:before="60" w:after="100"/>
      </w:pPr>
      <w:r w:rsidRPr="000B21D3">
        <w:t>The toolkit uses FAIR as the technical management layer  the set of standards that ensure that data which has been determined appropriate to share (under OCAP® and CARE) is actually shareable in practice. This positions FAIR as necessary but not sufficient for Indigenous data governance. A critical tension exists between FAIR's Accessible principle and CARE's Authority to Control: FAIR does not prohibit access controls, but its emphasis on accessibility can create pressure to make data public that should remain restricted. The toolkit resolves this tension through the data classification schema, which applies FAIR standards to public-tier data while maintaining OCAP®-governed restrictions on community, restricted, and gitignored tiers.</w:t>
      </w:r>
    </w:p>
    <w:p w14:paraId="6D4919BD" w14:textId="2917236F" w:rsidR="00263A5C" w:rsidRPr="000B21D3" w:rsidRDefault="00000000">
      <w:pPr>
        <w:pStyle w:val="Heading2"/>
        <w:rPr>
          <w:color w:val="auto"/>
        </w:rPr>
      </w:pPr>
      <w:r w:rsidRPr="000B21D3">
        <w:rPr>
          <w:color w:val="auto"/>
        </w:rPr>
        <w:t>2.5 IEEE 2890-2025  Provenance of Indigenous Peoples' Data</w:t>
      </w:r>
    </w:p>
    <w:p w14:paraId="286D4B9E" w14:textId="47304697" w:rsidR="00263A5C" w:rsidRPr="000B21D3" w:rsidRDefault="00000000">
      <w:pPr>
        <w:spacing w:before="60" w:after="100"/>
      </w:pPr>
      <w:r w:rsidRPr="000B21D3">
        <w:t>IEEE 2890-2025, approved in 2025, is the first international technical standard specifically addressing Indigenous data. It establishes that provenance records for Indigenous data must document not only technical lineage  the standard W3C PROV elements of entity, agent, and activity  but also governance lineage: whose land the data describes, under what treaty authority it was collected, who has stewardship obligations, and what governance frameworks apply.</w:t>
      </w:r>
    </w:p>
    <w:p w14:paraId="03FAABDE" w14:textId="2210E04E" w:rsidR="00263A5C" w:rsidRPr="000B21D3" w:rsidRDefault="00000000">
      <w:pPr>
        <w:spacing w:before="60" w:after="100"/>
      </w:pPr>
      <w:r w:rsidRPr="000B21D3">
        <w:t>This standard operationalizes the insight that data governance obligations must travel with data through systems and time. Without machine-readable governance provenance, data can be copied, processed, and republished without any indication that it describes Indigenous territory or carries sovereignty obligations. IEEE 2890-2025 makes governance machine-readable  it can be processed by data systems, searched, and enforced programmatically.</w:t>
      </w:r>
    </w:p>
    <w:p w14:paraId="42A0115B" w14:textId="77777777" w:rsidR="00263A5C" w:rsidRPr="000B21D3" w:rsidRDefault="00000000">
      <w:pPr>
        <w:spacing w:before="60" w:after="100"/>
      </w:pPr>
      <w:r w:rsidRPr="000B21D3">
        <w:t>The toolkit's provenance.py module implements IEEE 2890-2025 through the ProvenanceRecord dataclass and ProvenanceBuilder fluent interface. Every provenance record produced by the toolkit includes both the technical lineage fields (source, steward, license, collection method, processing steps) and the governance lineage fields (nation, territory, treaty, legal citations, stewardship department, frameworks, classification tier) required by the standard.</w:t>
      </w:r>
    </w:p>
    <w:p w14:paraId="11C6A242" w14:textId="77777777" w:rsidR="00263A5C" w:rsidRPr="000B21D3" w:rsidRDefault="00000000">
      <w:pPr>
        <w:pStyle w:val="Heading2"/>
        <w:rPr>
          <w:color w:val="auto"/>
        </w:rPr>
      </w:pPr>
      <w:r w:rsidRPr="000B21D3">
        <w:rPr>
          <w:color w:val="auto"/>
        </w:rPr>
        <w:t>2.6 The Four-Framework Stack as Coherent Architecture</w:t>
      </w:r>
    </w:p>
    <w:p w14:paraId="0C4B7B6C" w14:textId="77777777" w:rsidR="00263A5C" w:rsidRPr="000B21D3" w:rsidRDefault="00000000">
      <w:pPr>
        <w:spacing w:before="60" w:after="100"/>
      </w:pPr>
      <w:r w:rsidRPr="000B21D3">
        <w:t>The four frameworks layer in a logical sequence that mirrors the structure of any responsible data project:</w:t>
      </w:r>
    </w:p>
    <w:p w14:paraId="46CA8F9D" w14:textId="77777777" w:rsidR="00263A5C" w:rsidRPr="000B21D3" w:rsidRDefault="00263A5C">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63A5C" w:rsidRPr="000B21D3" w14:paraId="7E6B311D" w14:textId="77777777">
        <w:tc>
          <w:tcPr>
            <w:tcW w:w="9360" w:type="dxa"/>
            <w:tcBorders>
              <w:top w:val="none" w:sz="0" w:space="0" w:color="FFFFFF"/>
              <w:left w:val="single" w:sz="16" w:space="0" w:color="007A6E"/>
              <w:bottom w:val="none" w:sz="0" w:space="0" w:color="FFFFFF"/>
              <w:right w:val="none" w:sz="0" w:space="0" w:color="FFFFFF"/>
            </w:tcBorders>
            <w:shd w:val="clear" w:color="auto" w:fill="E8F5F3"/>
            <w:tcMar>
              <w:top w:w="100" w:type="dxa"/>
              <w:left w:w="180" w:type="dxa"/>
              <w:bottom w:w="100" w:type="dxa"/>
              <w:right w:w="120" w:type="dxa"/>
            </w:tcMar>
          </w:tcPr>
          <w:p w14:paraId="63F44869" w14:textId="7B2330BA" w:rsidR="00263A5C" w:rsidRPr="000B21D3" w:rsidRDefault="00000000">
            <w:pPr>
              <w:spacing w:before="60" w:after="100"/>
            </w:pPr>
            <w:r w:rsidRPr="000B21D3">
              <w:rPr>
                <w:rFonts w:ascii="Arial" w:eastAsia="Arial" w:hAnsi="Arial" w:cs="Arial"/>
                <w:b/>
                <w:bCs/>
              </w:rPr>
              <w:t xml:space="preserve">OCAP® </w:t>
            </w:r>
            <w:r w:rsidRPr="000B21D3">
              <w:t xml:space="preserve"> establishes rights: who owns and controls the data?</w:t>
            </w:r>
          </w:p>
          <w:p w14:paraId="2D8ABDD6" w14:textId="6F157B5D" w:rsidR="00263A5C" w:rsidRPr="000B21D3" w:rsidRDefault="00000000">
            <w:pPr>
              <w:spacing w:before="60" w:after="100"/>
            </w:pPr>
            <w:r w:rsidRPr="000B21D3">
              <w:rPr>
                <w:rFonts w:ascii="Arial" w:eastAsia="Arial" w:hAnsi="Arial" w:cs="Arial"/>
                <w:b/>
                <w:bCs/>
              </w:rPr>
              <w:t xml:space="preserve">CARE  </w:t>
            </w:r>
            <w:r w:rsidRPr="000B21D3">
              <w:t xml:space="preserve"> establishes ethics: what are the ongoing obligations?</w:t>
            </w:r>
          </w:p>
          <w:p w14:paraId="3EA17E7A" w14:textId="1011449D" w:rsidR="00263A5C" w:rsidRPr="000B21D3" w:rsidRDefault="00000000">
            <w:pPr>
              <w:spacing w:before="60" w:after="100"/>
            </w:pPr>
            <w:r w:rsidRPr="000B21D3">
              <w:rPr>
                <w:rFonts w:ascii="Arial" w:eastAsia="Arial" w:hAnsi="Arial" w:cs="Arial"/>
                <w:b/>
                <w:bCs/>
              </w:rPr>
              <w:t xml:space="preserve">FAIR  </w:t>
            </w:r>
            <w:r w:rsidRPr="000B21D3">
              <w:t xml:space="preserve"> establishes technical management: how is appropriate sharing done well?</w:t>
            </w:r>
          </w:p>
          <w:p w14:paraId="547DEFF3" w14:textId="0181E406" w:rsidR="00263A5C" w:rsidRPr="000B21D3" w:rsidRDefault="00000000">
            <w:pPr>
              <w:spacing w:before="60" w:after="100"/>
            </w:pPr>
            <w:r w:rsidRPr="000B21D3">
              <w:rPr>
                <w:rFonts w:ascii="Arial" w:eastAsia="Arial" w:hAnsi="Arial" w:cs="Arial"/>
                <w:b/>
                <w:bCs/>
              </w:rPr>
              <w:t xml:space="preserve">IEEE 2890-2025 </w:t>
            </w:r>
            <w:r w:rsidRPr="000B21D3">
              <w:t xml:space="preserve"> establishes documentation: how are rights and obligations recorded?</w:t>
            </w:r>
          </w:p>
        </w:tc>
      </w:tr>
    </w:tbl>
    <w:p w14:paraId="71481EB1" w14:textId="77777777" w:rsidR="00263A5C" w:rsidRPr="000B21D3" w:rsidRDefault="00263A5C">
      <w:pPr>
        <w:spacing w:before="80"/>
      </w:pPr>
    </w:p>
    <w:p w14:paraId="76CE618F" w14:textId="7C79D4D1" w:rsidR="00263A5C" w:rsidRPr="000B21D3" w:rsidRDefault="00000000">
      <w:pPr>
        <w:spacing w:before="60" w:after="100"/>
      </w:pPr>
      <w:r w:rsidRPr="000B21D3">
        <w:t>This sequencing matters for implementation. Rights must be established before technical management decisions are made  not after. A dataset that is technically FAIR but was collected without community consent has the wrong governance architecture regardless of how well its metadata is structured. The toolkit enforces this sequencing by requiring Nation configuration (OCAP® and CARE implementation) before any data acquisition or processing can begin.</w:t>
      </w:r>
    </w:p>
    <w:p w14:paraId="6681B57D" w14:textId="77777777" w:rsidR="00263A5C" w:rsidRPr="000B21D3" w:rsidRDefault="00263A5C">
      <w:pPr>
        <w:pBdr>
          <w:bottom w:val="single" w:sz="4" w:space="1" w:color="CCCCCC"/>
        </w:pBdr>
        <w:spacing w:before="160" w:after="160"/>
      </w:pPr>
    </w:p>
    <w:p w14:paraId="191C7712" w14:textId="77777777" w:rsidR="00263A5C" w:rsidRPr="000B21D3" w:rsidRDefault="00000000">
      <w:pPr>
        <w:pStyle w:val="Heading1"/>
        <w:rPr>
          <w:color w:val="auto"/>
        </w:rPr>
      </w:pPr>
      <w:r w:rsidRPr="000B21D3">
        <w:rPr>
          <w:color w:val="auto"/>
        </w:rPr>
        <w:lastRenderedPageBreak/>
        <w:t>3. Toolkit Architecture and Design Principles</w:t>
      </w:r>
    </w:p>
    <w:p w14:paraId="7410AE46" w14:textId="77777777" w:rsidR="00263A5C" w:rsidRPr="000B21D3" w:rsidRDefault="00000000">
      <w:pPr>
        <w:pStyle w:val="Heading2"/>
        <w:rPr>
          <w:color w:val="auto"/>
        </w:rPr>
      </w:pPr>
      <w:r w:rsidRPr="000B21D3">
        <w:rPr>
          <w:color w:val="auto"/>
        </w:rPr>
        <w:t>3.1 Design Philosophy: Sovereignty as Architecture, Not Annotation</w:t>
      </w:r>
    </w:p>
    <w:p w14:paraId="3EFAB13C" w14:textId="68E656E0" w:rsidR="00263A5C" w:rsidRPr="000B21D3" w:rsidRDefault="00000000">
      <w:pPr>
        <w:spacing w:before="60" w:after="100"/>
      </w:pPr>
      <w:r w:rsidRPr="000B21D3">
        <w:t>The central design decision of the toolkit is that sovereignty infrastructure is initialized at the beginning of a workflow and propagates automatically through every subsequent operation  rather than being added as metadata at the point of export. This distinction has significant practical consequences.</w:t>
      </w:r>
    </w:p>
    <w:p w14:paraId="326E23BD" w14:textId="77777777" w:rsidR="00263A5C" w:rsidRPr="000B21D3" w:rsidRDefault="00000000">
      <w:pPr>
        <w:spacing w:before="60" w:after="100"/>
      </w:pPr>
      <w:r w:rsidRPr="000B21D3">
        <w:t>In a conventional annotation approach, a researcher completes a data analysis and then adds a sovereignty statement to the README, a data source acknowledgment to the publication, and perhaps a note about the treaty territory in the methods section. These annotations are better than nothing, but they are fragile: they can be removed in editing, they do not travel with the data when it is shared or reused, and they require the researcher to remember to add them rather than the system enforcing them.</w:t>
      </w:r>
    </w:p>
    <w:p w14:paraId="465DD470" w14:textId="679FC071" w:rsidR="00263A5C" w:rsidRPr="000B21D3" w:rsidRDefault="00000000">
      <w:pPr>
        <w:spacing w:before="60" w:after="100"/>
      </w:pPr>
      <w:r w:rsidRPr="000B21D3">
        <w:t>In the toolkit's architecture approach, the researcher initializes a SovereigntyContext from a Nation configuration file at the start of every notebook. Every data source accessed through the toolkit's source registry carries its governance metadata. Every GeoDataFrame exported carries IEEE 2890-2025 provenance columns. Every output file is associated with a classification tier. Sovereignty is not added to the workflow  it is the workflow's operating context.</w:t>
      </w:r>
    </w:p>
    <w:p w14:paraId="18ABB12B" w14:textId="77777777" w:rsidR="00263A5C" w:rsidRPr="000B21D3" w:rsidRDefault="00000000">
      <w:pPr>
        <w:pStyle w:val="Heading2"/>
        <w:rPr>
          <w:color w:val="auto"/>
        </w:rPr>
      </w:pPr>
      <w:r w:rsidRPr="000B21D3">
        <w:rPr>
          <w:color w:val="auto"/>
        </w:rPr>
        <w:t>3.2 Nation-Agnostic Configuration</w:t>
      </w:r>
    </w:p>
    <w:p w14:paraId="0DB8885B" w14:textId="6E6B3E29" w:rsidR="00263A5C" w:rsidRPr="000B21D3" w:rsidRDefault="00000000">
      <w:pPr>
        <w:spacing w:before="60" w:after="100"/>
      </w:pPr>
      <w:r w:rsidRPr="000B21D3">
        <w:t>The toolkit's nation-agnostic design is implemented through a single YAML configuration file  nation_template.yaml  that captures all Nation-specific information. This file is the only artifact that needs to change when adapting the toolkit for a different Nation. Every sovereignty statement, provenance record, compliance checklist, and data sharing agreement template auto-populates from this configuration.</w:t>
      </w:r>
    </w:p>
    <w:p w14:paraId="7B53B457" w14:textId="77777777" w:rsidR="00263A5C" w:rsidRPr="000B21D3" w:rsidRDefault="00000000">
      <w:pPr>
        <w:spacing w:before="60" w:after="100"/>
      </w:pPr>
      <w:r w:rsidRPr="000B21D3">
        <w:t>The configuration captures:</w:t>
      </w:r>
    </w:p>
    <w:p w14:paraId="553A7107" w14:textId="77777777" w:rsidR="00263A5C" w:rsidRPr="000B21D3" w:rsidRDefault="00000000">
      <w:pPr>
        <w:pStyle w:val="ListParagraph"/>
        <w:numPr>
          <w:ilvl w:val="0"/>
          <w:numId w:val="2"/>
        </w:numPr>
        <w:spacing w:before="40" w:after="40"/>
      </w:pPr>
      <w:r w:rsidRPr="000B21D3">
        <w:t>Nation identity: name, collective affiliation, territory name, Census TIGER boundary identifier, language, demonym</w:t>
      </w:r>
    </w:p>
    <w:p w14:paraId="3E0F0A76" w14:textId="77777777" w:rsidR="00263A5C" w:rsidRPr="000B21D3" w:rsidRDefault="00000000">
      <w:pPr>
        <w:pStyle w:val="ListParagraph"/>
        <w:numPr>
          <w:ilvl w:val="0"/>
          <w:numId w:val="2"/>
        </w:numPr>
        <w:spacing w:before="40" w:after="40"/>
      </w:pPr>
      <w:r w:rsidRPr="000B21D3">
        <w:t>Territorial provenance: treaty name, treaty territory description, treaty status statement, legal citations</w:t>
      </w:r>
    </w:p>
    <w:p w14:paraId="62112070" w14:textId="77777777" w:rsidR="00263A5C" w:rsidRPr="000B21D3" w:rsidRDefault="00000000">
      <w:pPr>
        <w:pStyle w:val="ListParagraph"/>
        <w:numPr>
          <w:ilvl w:val="0"/>
          <w:numId w:val="2"/>
        </w:numPr>
        <w:spacing w:before="40" w:after="40"/>
      </w:pPr>
      <w:r w:rsidRPr="000B21D3">
        <w:t>Stewardship: responsible Tribal department, contact information, stewardship obligations language</w:t>
      </w:r>
    </w:p>
    <w:p w14:paraId="46166525" w14:textId="77777777" w:rsidR="00263A5C" w:rsidRPr="000B21D3" w:rsidRDefault="00000000">
      <w:pPr>
        <w:pStyle w:val="ListParagraph"/>
        <w:numPr>
          <w:ilvl w:val="0"/>
          <w:numId w:val="2"/>
        </w:numPr>
        <w:spacing w:before="40" w:after="40"/>
      </w:pPr>
      <w:r w:rsidRPr="000B21D3">
        <w:t>Framework selections: which of the four frameworks are active, with references</w:t>
      </w:r>
    </w:p>
    <w:p w14:paraId="64330AF7" w14:textId="233CA09C" w:rsidR="00263A5C" w:rsidRPr="000B21D3" w:rsidRDefault="00000000">
      <w:pPr>
        <w:pStyle w:val="ListParagraph"/>
        <w:numPr>
          <w:ilvl w:val="0"/>
          <w:numId w:val="2"/>
        </w:numPr>
        <w:spacing w:before="40" w:after="40"/>
      </w:pPr>
      <w:r w:rsidRPr="000B21D3">
        <w:t>Data classification schema: tier definitions, examples, and access rules  customizable to Tribal data policies</w:t>
      </w:r>
    </w:p>
    <w:p w14:paraId="15388D5C" w14:textId="77777777" w:rsidR="00263A5C" w:rsidRPr="000B21D3" w:rsidRDefault="00000000">
      <w:pPr>
        <w:pStyle w:val="ListParagraph"/>
        <w:numPr>
          <w:ilvl w:val="0"/>
          <w:numId w:val="2"/>
        </w:numPr>
        <w:spacing w:before="40" w:after="40"/>
      </w:pPr>
      <w:r w:rsidRPr="000B21D3">
        <w:t>Attribution language: citation format and acknowledgment text for publications</w:t>
      </w:r>
    </w:p>
    <w:p w14:paraId="3593BDEA" w14:textId="77777777" w:rsidR="00263A5C" w:rsidRPr="000B21D3" w:rsidRDefault="00263A5C">
      <w:pPr>
        <w:spacing w:before="60"/>
      </w:pPr>
    </w:p>
    <w:p w14:paraId="7FE99C63" w14:textId="77777777" w:rsidR="00263A5C" w:rsidRPr="000B21D3" w:rsidRDefault="00000000">
      <w:pPr>
        <w:spacing w:before="60" w:after="100"/>
      </w:pPr>
      <w:r w:rsidRPr="000B21D3">
        <w:t>The NationConfig Python dataclass loads this configuration through a from_yaml() constructor and validates completeness. The SovereigntyContext class wraps NationConfig and provides the primary interface for all toolkit operations. A from_dict() constructor enables quick setup in notebooks without a configuration file, supporting the teaching and hackathon context where students may be adapting the toolkit for a Nation they choose during the session.</w:t>
      </w:r>
    </w:p>
    <w:p w14:paraId="40216EC3" w14:textId="77777777" w:rsidR="00263A5C" w:rsidRPr="000B21D3" w:rsidRDefault="00000000">
      <w:pPr>
        <w:pStyle w:val="Heading2"/>
        <w:rPr>
          <w:color w:val="auto"/>
        </w:rPr>
      </w:pPr>
      <w:r w:rsidRPr="000B21D3">
        <w:rPr>
          <w:color w:val="auto"/>
        </w:rPr>
        <w:t>3.3 Core Python Modules</w:t>
      </w:r>
    </w:p>
    <w:p w14:paraId="5DA2FEC9" w14:textId="77777777" w:rsidR="00263A5C" w:rsidRPr="000B21D3" w:rsidRDefault="00000000">
      <w:pPr>
        <w:spacing w:before="60" w:after="100"/>
      </w:pPr>
      <w:r w:rsidRPr="000B21D3">
        <w:rPr>
          <w:rFonts w:ascii="Arial" w:eastAsia="Arial" w:hAnsi="Arial" w:cs="Arial"/>
          <w:b/>
          <w:bCs/>
        </w:rPr>
        <w:t>sovereignty.py</w:t>
      </w:r>
      <w:r w:rsidRPr="000B21D3">
        <w:t xml:space="preserve"> is the canonical module that all other repos in the ecosystem import from rather than maintaining their own copies. It provides the NationConfig dataclass (configuration loading and validation), the SovereigntyContext class (acknowledgment printing, citation generation, provenance attachment, governance reporting, and interactive data classification), and a built-in source registry covering the federal data sources most commonly used in Tribal Earth data science: USGS NWIS streamflow and groundwater, USGS 3D geological models, USDA SSURGO, Census TIGER, NOAA PDSI, Daymet, and USGS MRDS mining data. Custom sources are registered through SovereigntyContext.register_source().</w:t>
      </w:r>
    </w:p>
    <w:p w14:paraId="51155DF4" w14:textId="77777777" w:rsidR="00263A5C" w:rsidRPr="000B21D3" w:rsidRDefault="00263A5C">
      <w:pPr>
        <w:spacing w:before="40"/>
      </w:pPr>
    </w:p>
    <w:p w14:paraId="3BC239ED" w14:textId="77777777" w:rsidR="00263A5C" w:rsidRPr="000B21D3" w:rsidRDefault="00000000">
      <w:pPr>
        <w:spacing w:before="60" w:after="100"/>
      </w:pPr>
      <w:r w:rsidRPr="000B21D3">
        <w:rPr>
          <w:rFonts w:ascii="Arial" w:eastAsia="Arial" w:hAnsi="Arial" w:cs="Arial"/>
          <w:b/>
          <w:bCs/>
        </w:rPr>
        <w:lastRenderedPageBreak/>
        <w:t>provenance.py</w:t>
      </w:r>
      <w:r w:rsidRPr="000B21D3">
        <w:t xml:space="preserve"> implements IEEE 2890-2025 through three classes. ProvenanceRecord is a dataclass capturing both technical and governance lineage fields, with export to JSON (machine-readable) and Markdown (human-readable). ProvenanceBuilder is a fluent interface that integrates with SovereigntyContext to auto-populate Nation fields: builder.for_nation(ctx).from_source('usgs_nwis_streamflow').step('parsed RDB format').classify('PUBLIC').build() produces a complete record in four chained calls. ProvenanceCatalog collects records for a project and exports as a structured JSON package that can accompany data products and publications.</w:t>
      </w:r>
    </w:p>
    <w:p w14:paraId="2534FC3C" w14:textId="77777777" w:rsidR="00263A5C" w:rsidRPr="000B21D3" w:rsidRDefault="00263A5C">
      <w:pPr>
        <w:spacing w:before="40"/>
      </w:pPr>
    </w:p>
    <w:p w14:paraId="7CBD5A0B" w14:textId="67EA41EF" w:rsidR="00263A5C" w:rsidRPr="000B21D3" w:rsidRDefault="00000000">
      <w:pPr>
        <w:spacing w:before="60" w:after="100"/>
      </w:pPr>
      <w:r w:rsidRPr="000B21D3">
        <w:rPr>
          <w:rFonts w:ascii="Arial" w:eastAsia="Arial" w:hAnsi="Arial" w:cs="Arial"/>
          <w:b/>
          <w:bCs/>
        </w:rPr>
        <w:t>governance.py</w:t>
      </w:r>
      <w:r w:rsidRPr="000B21D3">
        <w:t xml:space="preserve"> generates the human-facing governance documents: full data sovereignty statements, pre-collection compliance checklists, and data sharing agreement templates  all auto-populated from the Nation configuration. It also provides a command-line interface for generating these documents without opening a notebook, supporting use by Tribal staff who may not work in Jupyter.</w:t>
      </w:r>
    </w:p>
    <w:p w14:paraId="07344672" w14:textId="77777777" w:rsidR="00263A5C" w:rsidRPr="000B21D3" w:rsidRDefault="00263A5C">
      <w:pPr>
        <w:spacing w:before="40"/>
      </w:pPr>
    </w:p>
    <w:p w14:paraId="7B7F2CFF" w14:textId="77777777" w:rsidR="00263A5C" w:rsidRPr="000B21D3" w:rsidRDefault="00000000">
      <w:pPr>
        <w:spacing w:before="60" w:after="100"/>
      </w:pPr>
      <w:r w:rsidRPr="000B21D3">
        <w:rPr>
          <w:rFonts w:ascii="Arial" w:eastAsia="Arial" w:hAnsi="Arial" w:cs="Arial"/>
          <w:b/>
          <w:bCs/>
        </w:rPr>
        <w:t>audit.py</w:t>
      </w:r>
      <w:r w:rsidRPr="000B21D3">
        <w:t xml:space="preserve"> implements the sovereignty compliance audit: 27 questions across OCAP® (8), CARE (8), FAIR (6), and IEEE 2890-2025 (5). Each question has response options (yes, no, partial, not applicable), associated guidance, and a score. The SovereigntyAudit class produces scored reports by framework and overall, identifies priority gaps, and exports to plain text. The audit is designed to be run before publication and at regular intervals during long-running projects.</w:t>
      </w:r>
    </w:p>
    <w:p w14:paraId="58EE2B92" w14:textId="77777777" w:rsidR="00263A5C" w:rsidRPr="000B21D3" w:rsidRDefault="00000000">
      <w:pPr>
        <w:pStyle w:val="Heading2"/>
        <w:rPr>
          <w:color w:val="auto"/>
        </w:rPr>
      </w:pPr>
      <w:r w:rsidRPr="000B21D3">
        <w:rPr>
          <w:color w:val="auto"/>
        </w:rPr>
        <w:t>3.4 Document Templates for Non-Technical Practitioners</w:t>
      </w:r>
    </w:p>
    <w:p w14:paraId="440A6079" w14:textId="77777777" w:rsidR="00263A5C" w:rsidRPr="000B21D3" w:rsidRDefault="00000000">
      <w:pPr>
        <w:spacing w:before="60" w:after="100"/>
      </w:pPr>
      <w:r w:rsidRPr="000B21D3">
        <w:t>Recognizing that Tribal natural resource staff and community members are primary stakeholders but may not work in Python, the toolkit provides five document templates requiring no coding expertise:</w:t>
      </w:r>
    </w:p>
    <w:p w14:paraId="5D23D307" w14:textId="20F04FAF" w:rsidR="00263A5C" w:rsidRPr="000B21D3" w:rsidRDefault="00000000">
      <w:pPr>
        <w:pStyle w:val="ListParagraph"/>
        <w:numPr>
          <w:ilvl w:val="0"/>
          <w:numId w:val="2"/>
        </w:numPr>
        <w:spacing w:before="40" w:after="40"/>
      </w:pPr>
      <w:r w:rsidRPr="000B21D3">
        <w:rPr>
          <w:rFonts w:ascii="Arial" w:eastAsia="Arial" w:hAnsi="Arial" w:cs="Arial"/>
          <w:b/>
          <w:bCs/>
        </w:rPr>
        <w:t xml:space="preserve">data_sovereignty_statement.md </w:t>
      </w:r>
      <w:r w:rsidRPr="000B21D3">
        <w:t xml:space="preserve"> fillable Markdown template for any report, publication, or data package</w:t>
      </w:r>
    </w:p>
    <w:p w14:paraId="4263A1EA" w14:textId="3E2DA898" w:rsidR="00263A5C" w:rsidRPr="000B21D3" w:rsidRDefault="00000000">
      <w:pPr>
        <w:pStyle w:val="ListParagraph"/>
        <w:numPr>
          <w:ilvl w:val="0"/>
          <w:numId w:val="2"/>
        </w:numPr>
        <w:spacing w:before="40" w:after="40"/>
      </w:pPr>
      <w:r w:rsidRPr="000B21D3">
        <w:rPr>
          <w:rFonts w:ascii="Arial" w:eastAsia="Arial" w:hAnsi="Arial" w:cs="Arial"/>
          <w:b/>
          <w:bCs/>
        </w:rPr>
        <w:t xml:space="preserve">community_consent_framework.md </w:t>
      </w:r>
      <w:r w:rsidRPr="000B21D3">
        <w:t xml:space="preserve"> structured framework for community-level consent processes covering OCAP® rights, data ownership, control mechanisms, and benefit obligations</w:t>
      </w:r>
    </w:p>
    <w:p w14:paraId="034756D8" w14:textId="78A995A6" w:rsidR="00263A5C" w:rsidRPr="000B21D3" w:rsidRDefault="00000000">
      <w:pPr>
        <w:pStyle w:val="ListParagraph"/>
        <w:numPr>
          <w:ilvl w:val="0"/>
          <w:numId w:val="2"/>
        </w:numPr>
        <w:spacing w:before="40" w:after="40"/>
      </w:pPr>
      <w:r w:rsidRPr="000B21D3">
        <w:rPr>
          <w:rFonts w:ascii="Arial" w:eastAsia="Arial" w:hAnsi="Arial" w:cs="Arial"/>
          <w:b/>
          <w:bCs/>
        </w:rPr>
        <w:t xml:space="preserve">ieee_2890_compliance_checklist.xlsx </w:t>
      </w:r>
      <w:r w:rsidRPr="000B21D3">
        <w:t xml:space="preserve"> 22-item Excel checklist for auditing a dataset's provenance documentation</w:t>
      </w:r>
    </w:p>
    <w:p w14:paraId="62DB3EDC" w14:textId="1CDEF79E" w:rsidR="00263A5C" w:rsidRPr="000B21D3" w:rsidRDefault="00000000">
      <w:pPr>
        <w:pStyle w:val="ListParagraph"/>
        <w:numPr>
          <w:ilvl w:val="0"/>
          <w:numId w:val="2"/>
        </w:numPr>
        <w:spacing w:before="40" w:after="40"/>
      </w:pPr>
      <w:r w:rsidRPr="000B21D3">
        <w:rPr>
          <w:rFonts w:ascii="Arial" w:eastAsia="Arial" w:hAnsi="Arial" w:cs="Arial"/>
          <w:b/>
          <w:bCs/>
        </w:rPr>
        <w:t xml:space="preserve">tribal_data_catalog.xlsx </w:t>
      </w:r>
      <w:r w:rsidRPr="000B21D3">
        <w:t xml:space="preserve"> inventory template for maintaining a Nation's complete data asset registry with classification and governance metadata</w:t>
      </w:r>
    </w:p>
    <w:p w14:paraId="10076614" w14:textId="30CE3B0C" w:rsidR="00263A5C" w:rsidRPr="000B21D3" w:rsidRDefault="00000000">
      <w:pPr>
        <w:pStyle w:val="ListParagraph"/>
        <w:numPr>
          <w:ilvl w:val="0"/>
          <w:numId w:val="2"/>
        </w:numPr>
        <w:spacing w:before="40" w:after="40"/>
      </w:pPr>
      <w:r w:rsidRPr="000B21D3">
        <w:rPr>
          <w:rFonts w:ascii="Arial" w:eastAsia="Arial" w:hAnsi="Arial" w:cs="Arial"/>
          <w:b/>
          <w:bCs/>
        </w:rPr>
        <w:t xml:space="preserve">provenance_record.xlsx </w:t>
      </w:r>
      <w:r w:rsidRPr="000B21D3">
        <w:t xml:space="preserve"> single-dataset provenance record template for contexts where Python tooling is not used</w:t>
      </w:r>
    </w:p>
    <w:p w14:paraId="06E3C3D1" w14:textId="77777777" w:rsidR="00263A5C" w:rsidRPr="000B21D3" w:rsidRDefault="00263A5C">
      <w:pPr>
        <w:spacing w:before="60"/>
      </w:pPr>
    </w:p>
    <w:p w14:paraId="6ADBE564" w14:textId="77777777" w:rsidR="00263A5C" w:rsidRPr="000B21D3" w:rsidRDefault="00000000">
      <w:pPr>
        <w:spacing w:before="60" w:after="100"/>
      </w:pPr>
      <w:r w:rsidRPr="000B21D3">
        <w:t>These templates are designed to bridge the toolkit's Python infrastructure and the document-based governance processes that most Tribal departments actually use. A natural resource manager can fill out the community consent framework without touching a notebook; a data scientist can then use that document to populate the NationConfig.</w:t>
      </w:r>
    </w:p>
    <w:p w14:paraId="10FC1D93" w14:textId="77777777" w:rsidR="00263A5C" w:rsidRPr="000B21D3" w:rsidRDefault="00000000">
      <w:pPr>
        <w:pStyle w:val="Heading2"/>
        <w:rPr>
          <w:color w:val="auto"/>
        </w:rPr>
      </w:pPr>
      <w:r w:rsidRPr="000B21D3">
        <w:rPr>
          <w:color w:val="auto"/>
        </w:rPr>
        <w:t>3.5 The SEEDS Teaching Series</w:t>
      </w:r>
    </w:p>
    <w:p w14:paraId="330747C7" w14:textId="77777777" w:rsidR="00263A5C" w:rsidRPr="000B21D3" w:rsidRDefault="00000000">
      <w:pPr>
        <w:spacing w:before="60" w:after="100"/>
      </w:pPr>
      <w:r w:rsidRPr="000B21D3">
        <w:t>Sovereignty-Embedded Earth Data Science (SEEDS) is the toolkit's seven-notebook teaching curriculum. It is designed to serve three audiences with different entry points: Tribal college students and educators working through the full series, researchers who need the governance framework documentation (notebooks 01-04), and hackathon participants who need a standalone workflow (notebook 05).</w:t>
      </w:r>
    </w:p>
    <w:p w14:paraId="395959B0" w14:textId="77777777" w:rsidR="00263A5C" w:rsidRPr="000B21D3" w:rsidRDefault="00000000">
      <w:pPr>
        <w:spacing w:before="60" w:after="100"/>
      </w:pPr>
      <w:r w:rsidRPr="000B21D3">
        <w:t>The series covers: orientation to the toolkit and its three audience entry points (00); the four governance frameworks in depth with code examples (01); IEEE 2890-2025 provenance record construction (02); the sovereignty audit workflow (03); sovereignty-first data collection design (04); a complete SEEDS workflow applied to Pine Ridge drought data with live API calls to NOAA PDSI (05); and Nation adaptation guidance (06).</w:t>
      </w:r>
    </w:p>
    <w:p w14:paraId="33D277D9" w14:textId="30C8E244" w:rsidR="00263A5C" w:rsidRPr="000B21D3" w:rsidRDefault="00000000">
      <w:pPr>
        <w:spacing w:before="60" w:after="100"/>
      </w:pPr>
      <w:r w:rsidRPr="000B21D3">
        <w:lastRenderedPageBreak/>
        <w:t>Notebook 05  the SEEDS workflow  is designed for use in hackathons and courses as a standalone. It demonstrates a complete Earth data science cycle from community question through data acquisition, analysis, visualization, and governance reporting, with explicit sovereignty checks at each stage. It has been used at the Oglala Lakota College hackathon series held at Piya Wiconi.</w:t>
      </w:r>
    </w:p>
    <w:p w14:paraId="2C4CA18A" w14:textId="77777777" w:rsidR="00263A5C" w:rsidRPr="000B21D3" w:rsidRDefault="00000000">
      <w:pPr>
        <w:pStyle w:val="Heading2"/>
        <w:rPr>
          <w:color w:val="auto"/>
        </w:rPr>
      </w:pPr>
      <w:r w:rsidRPr="000B21D3">
        <w:rPr>
          <w:color w:val="auto"/>
        </w:rPr>
        <w:t>3.6 The Monitoring Gap as an Equity Finding</w:t>
      </w:r>
    </w:p>
    <w:p w14:paraId="12DDFF95" w14:textId="77777777" w:rsidR="00263A5C" w:rsidRPr="000B21D3" w:rsidRDefault="00000000">
      <w:pPr>
        <w:spacing w:before="60" w:after="100"/>
      </w:pPr>
      <w:r w:rsidRPr="000B21D3">
        <w:t>A consistent methodological contribution across the toolkit's implementations is the framing of federal monitoring data gaps on Tribal lands as infrastructure equity findings rather than technical data limitations.</w:t>
      </w:r>
    </w:p>
    <w:p w14:paraId="69A29F70" w14:textId="259D1B67" w:rsidR="00263A5C" w:rsidRPr="000B21D3" w:rsidRDefault="00000000">
      <w:pPr>
        <w:spacing w:before="60" w:after="100"/>
      </w:pPr>
      <w:r w:rsidRPr="000B21D3">
        <w:t>When a federal database returns no monitoring stations for a Tribal Nation's territory, the conventional presentation is: 'data not available for this area.' The toolkit's framing is: 'No USGS groundwater monitoring wells documented within [Nation] boundaries. This is not geological uncertainty  it is a federal infrastructure investment gap with a documented history.' The first framing positions absence as a neutral technical fact. The second positions it as a policy finding with accountability implications.</w:t>
      </w:r>
    </w:p>
    <w:p w14:paraId="1ECB8141" w14:textId="77777777" w:rsidR="00263A5C" w:rsidRPr="000B21D3" w:rsidRDefault="00000000">
      <w:pPr>
        <w:spacing w:before="60" w:after="100"/>
      </w:pPr>
      <w:r w:rsidRPr="000B21D3">
        <w:t>This distinction is implemented programmatically: every loader function in the toolkit's implementations checks for data absence and, when found, generates a warning that includes the sovereignty framing. The warning text draws on the NationConfig treaty provenance language so it is specific to each Nation's context. The effect is that monitoring gap findings appear consistently in notebook outputs and can be synthesized in the data gaps and sovereignty notebook that closes each series.</w:t>
      </w:r>
    </w:p>
    <w:p w14:paraId="71F9FA6A" w14:textId="77777777" w:rsidR="00263A5C" w:rsidRPr="000B21D3" w:rsidRDefault="00000000">
      <w:pPr>
        <w:pStyle w:val="Heading1"/>
        <w:rPr>
          <w:color w:val="auto"/>
        </w:rPr>
      </w:pPr>
      <w:r w:rsidRPr="000B21D3">
        <w:rPr>
          <w:color w:val="auto"/>
        </w:rPr>
        <w:t>4. Implementation Across the Daear Consulting Ecosystem</w:t>
      </w:r>
    </w:p>
    <w:p w14:paraId="1E089A44" w14:textId="77777777" w:rsidR="00263A5C" w:rsidRPr="000B21D3" w:rsidRDefault="00000000">
      <w:pPr>
        <w:pStyle w:val="Heading2"/>
        <w:rPr>
          <w:color w:val="auto"/>
        </w:rPr>
      </w:pPr>
      <w:r w:rsidRPr="000B21D3">
        <w:rPr>
          <w:color w:val="auto"/>
        </w:rPr>
        <w:t>4.1 Tribal Fire Science Series</w:t>
      </w:r>
    </w:p>
    <w:p w14:paraId="4B12D7D4" w14:textId="77777777" w:rsidR="00263A5C" w:rsidRPr="000B21D3" w:rsidRDefault="00000000">
      <w:pPr>
        <w:spacing w:before="60" w:after="100"/>
      </w:pPr>
      <w:r w:rsidRPr="000B21D3">
        <w:t>The Tribal fire science series is a ten-Nation analysis platform covering the highest fire-frequency Tribal territories in the contiguous United States. It is built as reproducible Jupyter notebooks on open federal data sources and implements the full four-framework governance stack. The series addresses four interconnected dimensions of Tribal fire risk:</w:t>
      </w:r>
    </w:p>
    <w:p w14:paraId="2CEEB18A" w14:textId="173109F3" w:rsidR="00263A5C" w:rsidRPr="000B21D3" w:rsidRDefault="00000000">
      <w:pPr>
        <w:spacing w:before="60" w:after="100"/>
      </w:pPr>
      <w:r w:rsidRPr="000B21D3">
        <w:rPr>
          <w:rFonts w:ascii="Arial" w:eastAsia="Arial" w:hAnsi="Arial" w:cs="Arial"/>
          <w:b/>
          <w:bCs/>
        </w:rPr>
        <w:t xml:space="preserve">Climate projections: </w:t>
      </w:r>
      <w:r w:rsidRPr="000B21D3">
        <w:t>Temperature, precipitation, and drought trend analysis using MACAv2 downscaled CMIP6 projections through 2100. Separate analyses for historical baseline (1950-2005) and two future scenarios (RCP 4.5 and 8.5). Results contextualized through treaty provenance  projections describe the future conditions of sovereign territory, not merely a geographic region.</w:t>
      </w:r>
    </w:p>
    <w:p w14:paraId="5C1DC696" w14:textId="77777777" w:rsidR="00263A5C" w:rsidRPr="000B21D3" w:rsidRDefault="00000000">
      <w:pPr>
        <w:spacing w:before="60" w:after="100"/>
      </w:pPr>
      <w:r w:rsidRPr="000B21D3">
        <w:rPr>
          <w:rFonts w:ascii="Arial" w:eastAsia="Arial" w:hAnsi="Arial" w:cs="Arial"/>
          <w:b/>
          <w:bCs/>
        </w:rPr>
        <w:t xml:space="preserve">Smoke and air quality: </w:t>
      </w:r>
      <w:r w:rsidRPr="000B21D3">
        <w:t>Wildfire smoke exposure analysis integrating NOAA ISD surface observation data and EPA monitoring records. A systematic finding across all ten Nations: EPA monitoring stations are absent or sparse on reservation lands, while smoke exposure from fires on adjacent federal lands is highest precisely in those areas. These gaps are documented as monitoring equity findings.</w:t>
      </w:r>
    </w:p>
    <w:p w14:paraId="7D583EF5" w14:textId="77777777" w:rsidR="00263A5C" w:rsidRPr="000B21D3" w:rsidRDefault="00000000">
      <w:pPr>
        <w:spacing w:before="60" w:after="100"/>
      </w:pPr>
      <w:r w:rsidRPr="000B21D3">
        <w:rPr>
          <w:rFonts w:ascii="Arial" w:eastAsia="Arial" w:hAnsi="Arial" w:cs="Arial"/>
          <w:b/>
          <w:bCs/>
        </w:rPr>
        <w:t xml:space="preserve">Fire weather monitoring gaps: </w:t>
      </w:r>
      <w:r w:rsidRPr="000B21D3">
        <w:t>Systematic identification of deficiencies in federal meteorological monitoring infrastructure on Tribal lands. Fire weather stations (maintained by the National Weather Service and Bureau of Indian Affairs) are inventoried against reservation boundaries, and coverage gaps are mapped and quantified. The analysis produces a Tribal monitoring gap index that has direct applications for fire management funding requests.</w:t>
      </w:r>
    </w:p>
    <w:p w14:paraId="3D742E5F" w14:textId="77777777" w:rsidR="00263A5C" w:rsidRPr="000B21D3" w:rsidRDefault="00000000">
      <w:pPr>
        <w:spacing w:before="60" w:after="100"/>
      </w:pPr>
      <w:r w:rsidRPr="000B21D3">
        <w:rPr>
          <w:rFonts w:ascii="Arial" w:eastAsia="Arial" w:hAnsi="Arial" w:cs="Arial"/>
          <w:b/>
          <w:bCs/>
        </w:rPr>
        <w:t xml:space="preserve">Post-fire watershed vulnerability: </w:t>
      </w:r>
      <w:r w:rsidRPr="000B21D3">
        <w:t>Erosion risk, debris flow potential, and water quality impact assessment following fire events. Integrates burn severity data (USGS BAER assessments), soil erodibility (SSURGO K-factor), slope (3DEP DEM), and stream network proximity (NHD) to produce watershed vulnerability maps. Connected to the water monitoring series through shared USGS NWIS gauge data and the same sovereignty infrastructure.</w:t>
      </w:r>
    </w:p>
    <w:p w14:paraId="2D23C59C" w14:textId="77777777" w:rsidR="00263A5C" w:rsidRPr="000B21D3" w:rsidRDefault="00263A5C">
      <w:pPr>
        <w:spacing w:before="40"/>
      </w:pPr>
    </w:p>
    <w:p w14:paraId="5060B601" w14:textId="4F576659" w:rsidR="00263A5C" w:rsidRPr="000B21D3" w:rsidRDefault="00000000">
      <w:pPr>
        <w:spacing w:before="60" w:after="100"/>
      </w:pPr>
      <w:r w:rsidRPr="000B21D3">
        <w:t xml:space="preserve">The fire science series was co-developed with James Sanovia and reflects direct collaboration with Tribal fire management staff. The involvement of practitioners from Tribal BIA fire offices in the series design shaped both </w:t>
      </w:r>
      <w:r w:rsidRPr="000B21D3">
        <w:lastRenderedPageBreak/>
        <w:t>the analytical priorities and the governance framing  ensuring that monitoring gap findings reflect community experience of federal infrastructure deficiencies, not merely statistical analysis.</w:t>
      </w:r>
    </w:p>
    <w:p w14:paraId="29333761" w14:textId="77777777" w:rsidR="00263A5C" w:rsidRPr="000B21D3" w:rsidRDefault="00000000">
      <w:pPr>
        <w:pStyle w:val="Heading2"/>
        <w:rPr>
          <w:color w:val="auto"/>
        </w:rPr>
      </w:pPr>
      <w:r w:rsidRPr="000B21D3">
        <w:rPr>
          <w:color w:val="auto"/>
        </w:rPr>
        <w:t>4.2 Tribal Water Monitoring Series</w:t>
      </w:r>
    </w:p>
    <w:p w14:paraId="2CE0571C" w14:textId="77777777" w:rsidR="00263A5C" w:rsidRPr="000B21D3" w:rsidRDefault="00000000">
      <w:pPr>
        <w:spacing w:before="60" w:after="100"/>
      </w:pPr>
      <w:r w:rsidRPr="000B21D3">
        <w:t>The water monitoring series covers surface water and groundwater analysis for Pine Ridge and Rosebud Reservations across eight notebooks. It integrates fifteen USGS streamflow gauges on the White River system, NOAA Palmer Drought Severity Index climate division data, USGS groundwater well records, and EPA Water Quality Portal observations.</w:t>
      </w:r>
    </w:p>
    <w:p w14:paraId="357AA2F7" w14:textId="66FE5193" w:rsidR="00263A5C" w:rsidRPr="000B21D3" w:rsidRDefault="00000000">
      <w:pPr>
        <w:spacing w:before="60" w:after="100"/>
      </w:pPr>
      <w:r w:rsidRPr="000B21D3">
        <w:t>The series implements baseflow separation, flow reliability analysis, drought stage classification, long-term trend analysis using Theil-Sen regression, and seasonal streamflow climatology  all computed across the full gauge network rather than from a single representative station, and all presented through treaty provenance framing connecting hydrologic findings to Lakota water sovereignty.</w:t>
      </w:r>
    </w:p>
    <w:p w14:paraId="3CCAB6BF" w14:textId="77777777" w:rsidR="00263A5C" w:rsidRPr="000B21D3" w:rsidRDefault="00000000">
      <w:pPr>
        <w:spacing w:before="60" w:after="100"/>
      </w:pPr>
      <w:r w:rsidRPr="000B21D3">
        <w:t>The water quality analysis surfaces one of the most significant monitoring gap findings across the ecosystem: public WQP monitoring records for the White River system exist, but the EPA's narrowResult data profile does not include station coordinates, requiring a separate station service query. More substantively, monitoring density in the White River basin reflects federal prioritization of downstream municipal water supplies over Tribal community water security.</w:t>
      </w:r>
    </w:p>
    <w:p w14:paraId="47D18F22" w14:textId="376AFB1A" w:rsidR="00263A5C" w:rsidRPr="000B21D3" w:rsidRDefault="00000000">
      <w:pPr>
        <w:spacing w:before="60" w:after="100"/>
      </w:pPr>
      <w:r w:rsidRPr="000B21D3">
        <w:t>The groundwater analysis reveals the Ogallala aquifer (Arikaree Formation) as the primary water supply for western Pine Ridge, but USGS groundwater monitoring well records within the reservation boundary are effectively absent. This finding  no federal groundwater monitoring on the primary water supply aquifer for a Tribal Nation  is presented as an infrastructure equity finding and directly motivates the well log intake template in the soils and geology series.</w:t>
      </w:r>
    </w:p>
    <w:p w14:paraId="4D6CEBB5" w14:textId="77777777" w:rsidR="00263A5C" w:rsidRPr="000B21D3" w:rsidRDefault="00000000">
      <w:pPr>
        <w:pStyle w:val="Heading2"/>
        <w:rPr>
          <w:color w:val="auto"/>
        </w:rPr>
      </w:pPr>
      <w:r w:rsidRPr="000B21D3">
        <w:rPr>
          <w:color w:val="auto"/>
        </w:rPr>
        <w:t>4.3 He Sapa Mining Twin</w:t>
      </w:r>
    </w:p>
    <w:p w14:paraId="669B6F38" w14:textId="77777777" w:rsidR="00263A5C" w:rsidRPr="000B21D3" w:rsidRDefault="00000000">
      <w:pPr>
        <w:spacing w:before="60" w:after="100"/>
      </w:pPr>
      <w:r w:rsidRPr="000B21D3">
        <w:t>The He Sapa (Black Hills) mining twin presents a distinctive governance challenge: it describes extractive industry activity on territory that was taken from the Lakota people in violation of the 1868 Fort Laramie Treaty, confirmed by the U.S. Supreme Court in United States v. Sioux Nation of Indians (448 U.S. 371, 1980). The Sioux Nations declined the Court's financial compensation, maintaining that the land was never legally transferred and cannot be compensated.</w:t>
      </w:r>
    </w:p>
    <w:p w14:paraId="7406A9D5" w14:textId="1E2FF6FA" w:rsidR="00263A5C" w:rsidRPr="000B21D3" w:rsidRDefault="00000000">
      <w:pPr>
        <w:spacing w:before="60" w:after="100"/>
      </w:pPr>
      <w:r w:rsidRPr="000B21D3">
        <w:t>This context requires provenance and sovereignty language that goes beyond the standard 'federal data collected on Tribal lands' framing. The NationConfig for He Sapa analysis specifies: treaty_territory as 'He Sapa (Black Hills)  unceded Lakota territory under the 1868 Fort Laramie Treaty'; treaty_status as a statement that the Black Hills remain unceded and that federal extraction data describes Lakota resources removed without consent; and legal_citations including both the 1868 treaty and the 1980 Supreme Court decision.</w:t>
      </w:r>
    </w:p>
    <w:p w14:paraId="3EAE3F33" w14:textId="19C18483" w:rsidR="00263A5C" w:rsidRPr="000B21D3" w:rsidRDefault="00000000">
      <w:pPr>
        <w:spacing w:before="60" w:after="100"/>
      </w:pPr>
      <w:r w:rsidRPr="000B21D3">
        <w:t>The analysis loads 1,719 mine records from the USGS Mineral Resources Data System (MRDS) via WFS query, classifies them by commodity group and watershed, and produces interactive Folium maps suitable for Tribal council presentations. The interactive demo map includes a territorial acknowledgment panel built from the NationConfig treaty language, ensuring that anyone who opens the map  including audiences unfamiliar with He Sapa's history  encounters the sovereignty context before the mine data.</w:t>
      </w:r>
    </w:p>
    <w:p w14:paraId="3DBB53E1" w14:textId="77777777" w:rsidR="00263A5C" w:rsidRPr="000B21D3" w:rsidRDefault="00000000">
      <w:pPr>
        <w:pStyle w:val="Heading2"/>
        <w:rPr>
          <w:color w:val="auto"/>
        </w:rPr>
      </w:pPr>
      <w:r w:rsidRPr="000B21D3">
        <w:rPr>
          <w:color w:val="auto"/>
        </w:rPr>
        <w:t>4.4 Tribal Soils and Geology Series</w:t>
      </w:r>
    </w:p>
    <w:p w14:paraId="568DBC19" w14:textId="3005428C" w:rsidR="00263A5C" w:rsidRPr="000B21D3" w:rsidRDefault="00000000">
      <w:pPr>
        <w:spacing w:before="60" w:after="100"/>
      </w:pPr>
      <w:r w:rsidRPr="000B21D3">
        <w:t>The soils and geology series takes on the longest time-scale of any series in the ecosystem: the geological history of Pine Ridge and Rosebud Reservations from Precambrian basement to Holocene surficial deposits. Its nine notebooks serve an audience of PhD geologists, geological engineers, soil scientists, and Tribal resource managers  requiring both technical depth and accessibility to community decision-makers.</w:t>
      </w:r>
    </w:p>
    <w:p w14:paraId="1675F15D" w14:textId="54D6CE19" w:rsidR="00263A5C" w:rsidRPr="000B21D3" w:rsidRDefault="00000000">
      <w:pPr>
        <w:spacing w:before="60" w:after="100"/>
      </w:pPr>
      <w:r w:rsidRPr="000B21D3">
        <w:t xml:space="preserve">The series introduces a dataset that has never been visualized in a Tribal sovereignty context: the USGS 3D Geological Model of Western South Dakota (Spangler, 2024), a regional-scale volumetric model with 25 subsurface horizon rasters and 35 fault surfaces covering Pine Ridge and Rosebud entirely. Notebook 04 provides </w:t>
      </w:r>
      <w:r w:rsidRPr="000B21D3">
        <w:lastRenderedPageBreak/>
        <w:t>cross-section generation, depth-to-formation maps (particularly for the Ogallala Group aquifer and Pierre Shale), fault visualization, and isopach maps  all overlaid on Tribal boundaries with treaty provenance framing.</w:t>
      </w:r>
    </w:p>
    <w:p w14:paraId="45B92DF0" w14:textId="4FAD7BBC" w:rsidR="00263A5C" w:rsidRPr="000B21D3" w:rsidRDefault="00000000">
      <w:pPr>
        <w:spacing w:before="60" w:after="100"/>
      </w:pPr>
      <w:r w:rsidRPr="000B21D3">
        <w:t>The Pierre Shale notebook surfaces a finding with direct infrastructure implications: the expansive smectite clay that dominates near-surface geology across both reservations creates shrink-swell soil conditions responsible for chronic road failure, foundation movement, and pipeline damage on Tribal lands. The linear extensibility percent (LEP) analysis of SSURGO horizon data quantifies this hazard by map unit  producing a resource directly applicable to infrastructure siting decisions.</w:t>
      </w:r>
    </w:p>
    <w:p w14:paraId="6C243005" w14:textId="4D70AF4A" w:rsidR="00263A5C" w:rsidRPr="000B21D3" w:rsidRDefault="00000000">
      <w:pPr>
        <w:spacing w:before="60" w:after="100"/>
      </w:pPr>
      <w:r w:rsidRPr="000B21D3">
        <w:t>Three intake templates (soil profile, well log, field observation) are designed to produce field-collected data compatible with federal database schemas  enabling Tribal-collected data to directly supplement and eventually correct the federal monitoring record. Each template includes a Sovereignty sheet with OCAP® language making clear that field data collected by or in partnership with Tribal staff is owned by the Nation and is gitignored.</w:t>
      </w:r>
    </w:p>
    <w:p w14:paraId="435315DE" w14:textId="77777777" w:rsidR="00263A5C" w:rsidRPr="000B21D3" w:rsidRDefault="00000000">
      <w:pPr>
        <w:pStyle w:val="Heading2"/>
        <w:rPr>
          <w:color w:val="auto"/>
        </w:rPr>
      </w:pPr>
      <w:r w:rsidRPr="000B21D3">
        <w:rPr>
          <w:color w:val="auto"/>
        </w:rPr>
        <w:t>4.5 Patterns and Lessons Across Implementations</w:t>
      </w:r>
    </w:p>
    <w:p w14:paraId="657ACEC5" w14:textId="77777777" w:rsidR="00263A5C" w:rsidRPr="000B21D3" w:rsidRDefault="00000000">
      <w:pPr>
        <w:spacing w:before="60" w:after="100"/>
      </w:pPr>
      <w:r w:rsidRPr="000B21D3">
        <w:t>Five patterns appear consistently across all implementations and represent the toolkit's methodological contributions beyond the code itself:</w:t>
      </w:r>
    </w:p>
    <w:p w14:paraId="335B55B3"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The two-track data architecture: </w:t>
      </w:r>
      <w:r w:rsidRPr="000B21D3">
        <w:t>A strict separation between public federal data (versioned, shared, analyzed openly) and Tribal-collected data (gitignored, locally controlled, never uploaded without explicit authorization). This architecture makes OCAP® Possession operational rather than aspirational.</w:t>
      </w:r>
    </w:p>
    <w:p w14:paraId="51F390B6"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The monitoring gap equity finding: </w:t>
      </w:r>
      <w:r w:rsidRPr="000B21D3">
        <w:t>Systematic documentation of federal monitoring deficiencies on Tribal lands, with quantification where possible (gauge density per km², monitoring station counts relative to non-Tribal neighbors) and explicit framing as infrastructure equity findings rather than data limitations.</w:t>
      </w:r>
    </w:p>
    <w:p w14:paraId="08038A69" w14:textId="77019B79" w:rsidR="00263A5C" w:rsidRPr="000B21D3" w:rsidRDefault="00000000">
      <w:pPr>
        <w:pStyle w:val="ListParagraph"/>
        <w:numPr>
          <w:ilvl w:val="0"/>
          <w:numId w:val="2"/>
        </w:numPr>
        <w:spacing w:before="40" w:after="40"/>
      </w:pPr>
      <w:r w:rsidRPr="000B21D3">
        <w:rPr>
          <w:rFonts w:ascii="Arial" w:eastAsia="Arial" w:hAnsi="Arial" w:cs="Arial"/>
          <w:b/>
          <w:bCs/>
        </w:rPr>
        <w:t xml:space="preserve">Treaty-specific provenance language: </w:t>
      </w:r>
      <w:r w:rsidRPr="000B21D3">
        <w:t>Each implementation carries provenance language specific to the relevant treaty and legal status  not generic 'Indigenous land acknowledgment' boilerplate. He Sapa language cites the 1868 Fort Laramie Treaty and the 1980 Supreme Court decision. Water monitoring language addresses the Lakota Nations' ongoing assertion of water rights under the same treaty.</w:t>
      </w:r>
    </w:p>
    <w:p w14:paraId="0AE18E07"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Graceful degradation: </w:t>
      </w:r>
      <w:r w:rsidRPr="000B21D3">
        <w:t>All data acquisition functions are written to degrade gracefully when APIs are unavailable or return empty results, surfacing the monitoring gap equity finding rather than producing an error. Notebooks continue to run and produce analysis from available data rather than halting.</w:t>
      </w:r>
    </w:p>
    <w:p w14:paraId="0A1258A5" w14:textId="13B658E3" w:rsidR="00263A5C" w:rsidRPr="000B21D3" w:rsidRDefault="00000000">
      <w:pPr>
        <w:pStyle w:val="ListParagraph"/>
        <w:numPr>
          <w:ilvl w:val="0"/>
          <w:numId w:val="2"/>
        </w:numPr>
        <w:spacing w:before="40" w:after="40"/>
      </w:pPr>
      <w:r w:rsidRPr="000B21D3">
        <w:rPr>
          <w:rFonts w:ascii="Arial" w:eastAsia="Arial" w:hAnsi="Arial" w:cs="Arial"/>
          <w:b/>
          <w:bCs/>
        </w:rPr>
        <w:t xml:space="preserve">Cross-series connectivity: </w:t>
      </w:r>
      <w:r w:rsidRPr="000B21D3">
        <w:t>The soils and geology series' aquifer notebook connects explicitly to the water monitoring series' groundwater analysis. The fire science series connects to the water monitoring series through shared gauge data. The sovereignty toolkit is the common infrastructure layer across all series  changes to NationConfig propagate through every implementation that imports from the toolkit.</w:t>
      </w:r>
    </w:p>
    <w:p w14:paraId="221741FA" w14:textId="77777777" w:rsidR="00263A5C" w:rsidRPr="000B21D3" w:rsidRDefault="00000000">
      <w:pPr>
        <w:pStyle w:val="Heading1"/>
        <w:rPr>
          <w:color w:val="auto"/>
        </w:rPr>
      </w:pPr>
      <w:r w:rsidRPr="000B21D3">
        <w:rPr>
          <w:color w:val="auto"/>
        </w:rPr>
        <w:t>5. The Sovereignty Audit in Practice</w:t>
      </w:r>
    </w:p>
    <w:p w14:paraId="714AC8CB" w14:textId="77777777" w:rsidR="00263A5C" w:rsidRPr="000B21D3" w:rsidRDefault="00000000">
      <w:pPr>
        <w:pStyle w:val="Heading2"/>
        <w:rPr>
          <w:color w:val="auto"/>
        </w:rPr>
      </w:pPr>
      <w:r w:rsidRPr="000B21D3">
        <w:rPr>
          <w:color w:val="auto"/>
        </w:rPr>
        <w:t>5.1 The 27-Question Audit Structure</w:t>
      </w:r>
    </w:p>
    <w:p w14:paraId="5D05FDB1" w14:textId="77777777" w:rsidR="00263A5C" w:rsidRPr="000B21D3" w:rsidRDefault="00000000">
      <w:pPr>
        <w:spacing w:before="60" w:after="100"/>
      </w:pPr>
      <w:r w:rsidRPr="000B21D3">
        <w:t>The sovereignty audit covers 27 questions organized across the four frameworks, weighted by the distinct governance dimension each framework addresses. OCAP® contributes eight questions (two per principle: Ownership, Control, Access, Possession) addressing the rights dimension. CARE contributes eight questions (two per principle: Collective Benefit, Authority to Control, Responsibility, Ethics) addressing the ethical dimension. FAIR contributes six questions (Findable, Accessible, Interoperable, Reusable with F and R weighted more heavily for Indigenous data contexts). IEEE 2890-2025 contributes five questions addressing the provenance documentation dimension.</w:t>
      </w:r>
    </w:p>
    <w:p w14:paraId="49E26982" w14:textId="77777777" w:rsidR="00263A5C" w:rsidRPr="000B21D3" w:rsidRDefault="00000000">
      <w:pPr>
        <w:spacing w:before="60" w:after="100"/>
      </w:pPr>
      <w:r w:rsidRPr="000B21D3">
        <w:t xml:space="preserve">Each question accepts four responses: yes, no, partial, or not applicable. Questions answered 'not applicable' are excluded from scoring so that researchers working with data types not covered by specific questions are not penalized. Scores are computed as a weighted average by framework (0-100 scale) and aggregated to an overall </w:t>
      </w:r>
      <w:r w:rsidRPr="000B21D3">
        <w:lastRenderedPageBreak/>
        <w:t>compliance score. The gap report prioritizes 'no' responses over 'partial' responses and presents specific remediation guidance for each gap.</w:t>
      </w:r>
    </w:p>
    <w:p w14:paraId="0DF683E2" w14:textId="557CAD8B" w:rsidR="00263A5C" w:rsidRPr="000B21D3" w:rsidRDefault="00000000">
      <w:pPr>
        <w:spacing w:before="60" w:after="100"/>
      </w:pPr>
      <w:r w:rsidRPr="000B21D3">
        <w:t>The 27-question structure was designed to be comprehensive enough to identify real gaps but concise enough to be completed in a working session  approximately one hour for a dataset that has had some governance attention, longer for datasets with significant gaps. The questions themselves serve a pedagogical function: even in the absence of formal audit infrastructure, the question list provides a governance checklist that researchers can apply manually.</w:t>
      </w:r>
    </w:p>
    <w:p w14:paraId="452E3EE8" w14:textId="77777777" w:rsidR="00263A5C" w:rsidRPr="000B21D3" w:rsidRDefault="00000000">
      <w:pPr>
        <w:pStyle w:val="Heading2"/>
        <w:rPr>
          <w:color w:val="auto"/>
        </w:rPr>
      </w:pPr>
      <w:r w:rsidRPr="000B21D3">
        <w:rPr>
          <w:color w:val="auto"/>
        </w:rPr>
        <w:t>5.2 Using the Audit Before Publication</w:t>
      </w:r>
    </w:p>
    <w:p w14:paraId="1A3020E7" w14:textId="77777777" w:rsidR="00263A5C" w:rsidRPr="000B21D3" w:rsidRDefault="00000000">
      <w:pPr>
        <w:spacing w:before="60" w:after="100"/>
      </w:pPr>
      <w:r w:rsidRPr="000B21D3">
        <w:t>The intended use of the audit is as a pre-publication gate: before sharing any data product externally, run the audit and address gaps at or above a threshold score (the toolkit suggests 70/100 as a minimum for public sharing, with explicit documentation of known gaps for scores between 50 and 70).</w:t>
      </w:r>
    </w:p>
    <w:p w14:paraId="436AF07F" w14:textId="77777777" w:rsidR="00263A5C" w:rsidRPr="000B21D3" w:rsidRDefault="00000000">
      <w:pPr>
        <w:spacing w:before="60" w:after="100"/>
      </w:pPr>
      <w:r w:rsidRPr="000B21D3">
        <w:t>A worked example from the Tribal Water Monitoring implementation illustrates the audit's practical function. The streamflow analysis scored 82/100 overall: strong on OCAP® (MOU in place, NRD holds data copies, Tribal Council approved the monitoring program) and IEEE 2890-2025 (complete provenance records, treaty language on all outputs), adequate on CARE (benefit plan documented, data returned to NRD quarterly), but with gaps on FAIR (no DOI assigned to the processed dataset) and on CARE's ongoing ethics commitment (no documented plan for governance obligations after project end). The audit output identified these two gaps with remediation guidance: register the dataset with Zenodo for a DOI, and include data stewardship obligations in the MOU renewal.</w:t>
      </w:r>
    </w:p>
    <w:p w14:paraId="789902E9" w14:textId="77777777" w:rsidR="00263A5C" w:rsidRPr="000B21D3" w:rsidRDefault="00000000">
      <w:pPr>
        <w:pStyle w:val="Heading2"/>
        <w:rPr>
          <w:color w:val="auto"/>
        </w:rPr>
      </w:pPr>
      <w:r w:rsidRPr="000B21D3">
        <w:rPr>
          <w:color w:val="auto"/>
        </w:rPr>
        <w:t>5.3 The Audit as a Capacity-Building Tool</w:t>
      </w:r>
    </w:p>
    <w:p w14:paraId="2111AF7D" w14:textId="33A16199" w:rsidR="00263A5C" w:rsidRPr="000B21D3" w:rsidRDefault="00000000">
      <w:pPr>
        <w:spacing w:before="60" w:after="100"/>
      </w:pPr>
      <w:r w:rsidRPr="000B21D3">
        <w:t>An important secondary function of the audit is as a capacity-building instrument. Running the audit with Tribal natural resource staff  rather than completing it independently as a researcher  generates governance conversations that would not otherwise occur. Questions like 'Can the Tribal Nation stop, pause, or modify the research at any time?' and 'Are findings communicated in formats accessible to non-researchers?' invite Tribal staff to articulate their own governance expectations, often surfacing requirements that researchers would not have anticipated.</w:t>
      </w:r>
    </w:p>
    <w:p w14:paraId="3E861837" w14:textId="5129ECD1" w:rsidR="00263A5C" w:rsidRPr="000B21D3" w:rsidRDefault="00000000">
      <w:pPr>
        <w:spacing w:before="60" w:after="100"/>
      </w:pPr>
      <w:r w:rsidRPr="000B21D3">
        <w:t>In hackathon and course contexts, the audit questions serve as the backbone of sovereignty discussions. Participants respond to the questions for a dataset they have assembled during the session, identifying gaps in their own workflow. This makes sovereignty governance concrete and immediate rather than abstract and principled  students can see, in their own work, exactly where the gap between policy and practice exists.</w:t>
      </w:r>
    </w:p>
    <w:p w14:paraId="11C4E286" w14:textId="77777777" w:rsidR="00263A5C" w:rsidRPr="000B21D3" w:rsidRDefault="00000000">
      <w:pPr>
        <w:pStyle w:val="Heading1"/>
        <w:rPr>
          <w:color w:val="auto"/>
        </w:rPr>
      </w:pPr>
      <w:r w:rsidRPr="000B21D3">
        <w:rPr>
          <w:color w:val="auto"/>
        </w:rPr>
        <w:t>6. Toward a Field Standard</w:t>
      </w:r>
    </w:p>
    <w:p w14:paraId="4932F975" w14:textId="77777777" w:rsidR="00263A5C" w:rsidRPr="000B21D3" w:rsidRDefault="00000000">
      <w:pPr>
        <w:pStyle w:val="Heading2"/>
        <w:rPr>
          <w:color w:val="auto"/>
        </w:rPr>
      </w:pPr>
      <w:r w:rsidRPr="000B21D3">
        <w:rPr>
          <w:color w:val="auto"/>
        </w:rPr>
        <w:t>6.1 What Operationalizing Sovereignty Requires Technically</w:t>
      </w:r>
    </w:p>
    <w:p w14:paraId="4398E1FC" w14:textId="77777777" w:rsidR="00263A5C" w:rsidRPr="000B21D3" w:rsidRDefault="00000000">
      <w:pPr>
        <w:spacing w:before="60" w:after="100"/>
      </w:pPr>
      <w:r w:rsidRPr="000B21D3">
        <w:t>Based on the toolkit's development and implementation, operationalizing Indigenous data sovereignty in Earth data science requires five technical capabilities that must work together:</w:t>
      </w:r>
    </w:p>
    <w:p w14:paraId="5B224A46" w14:textId="77777777" w:rsidR="00263A5C" w:rsidRPr="000B21D3" w:rsidRDefault="00000000">
      <w:pPr>
        <w:spacing w:before="60" w:after="100"/>
      </w:pPr>
      <w:r w:rsidRPr="000B21D3">
        <w:rPr>
          <w:rFonts w:ascii="Arial" w:eastAsia="Arial" w:hAnsi="Arial" w:cs="Arial"/>
          <w:b/>
          <w:bCs/>
        </w:rPr>
        <w:t xml:space="preserve">Machine-readable provenance: </w:t>
      </w:r>
      <w:r w:rsidRPr="000B21D3">
        <w:t>Governance obligations must be encoded in a format that data systems can process, not only in human-readable documentation. IEEE 2890-2025 provides the standard; the ProvenanceRecord dataclass provides the implementation. Without machine-readable provenance, sovereignty obligations are invisible to the downstream systems that actually handle data.</w:t>
      </w:r>
    </w:p>
    <w:p w14:paraId="4D885571" w14:textId="77777777" w:rsidR="00263A5C" w:rsidRPr="000B21D3" w:rsidRDefault="00000000">
      <w:pPr>
        <w:spacing w:before="60" w:after="100"/>
      </w:pPr>
      <w:r w:rsidRPr="000B21D3">
        <w:rPr>
          <w:rFonts w:ascii="Arial" w:eastAsia="Arial" w:hAnsi="Arial" w:cs="Arial"/>
          <w:b/>
          <w:bCs/>
        </w:rPr>
        <w:t xml:space="preserve">Persistent identifiers: </w:t>
      </w:r>
      <w:r w:rsidRPr="000B21D3">
        <w:t>Data products must carry persistent identifiers (DOIs from Zenodo or equivalent repositories) so they can be cited, tracked, and governed consistently as they move through publication channels. The toolkit's FAIR implementation includes DOI assignment as a required step in the pre-publication checklist.</w:t>
      </w:r>
    </w:p>
    <w:p w14:paraId="0242AD1E" w14:textId="4D05761D" w:rsidR="00263A5C" w:rsidRPr="000B21D3" w:rsidRDefault="00000000">
      <w:pPr>
        <w:spacing w:before="60" w:after="100"/>
      </w:pPr>
      <w:r w:rsidRPr="000B21D3">
        <w:rPr>
          <w:rFonts w:ascii="Arial" w:eastAsia="Arial" w:hAnsi="Arial" w:cs="Arial"/>
          <w:b/>
          <w:bCs/>
        </w:rPr>
        <w:lastRenderedPageBreak/>
        <w:t xml:space="preserve">Governance-aware classification: </w:t>
      </w:r>
      <w:r w:rsidRPr="000B21D3">
        <w:t>A classification schema that distinguishes public data from community-only, restricted, and locally-controlled data  and that enforces those distinctions in the file structure (gitignore) and the pipeline (data loader warnings)  is the operational expression of OCAP® Possession.</w:t>
      </w:r>
    </w:p>
    <w:p w14:paraId="52F7FBF0" w14:textId="77777777" w:rsidR="00263A5C" w:rsidRPr="000B21D3" w:rsidRDefault="00000000">
      <w:pPr>
        <w:spacing w:before="60" w:after="100"/>
      </w:pPr>
      <w:r w:rsidRPr="000B21D3">
        <w:rPr>
          <w:rFonts w:ascii="Arial" w:eastAsia="Arial" w:hAnsi="Arial" w:cs="Arial"/>
          <w:b/>
          <w:bCs/>
        </w:rPr>
        <w:t xml:space="preserve">Community review mechanisms: </w:t>
      </w:r>
      <w:r w:rsidRPr="000B21D3">
        <w:t>Technical infrastructure for governance is not sufficient without process infrastructure for community review. The data governance agreement template and community consent framework provide the process scaffolding; the audit's pre-publication check creates the procedural requirement to use them.</w:t>
      </w:r>
    </w:p>
    <w:p w14:paraId="0E890E32" w14:textId="77777777" w:rsidR="00263A5C" w:rsidRPr="000B21D3" w:rsidRDefault="00000000">
      <w:pPr>
        <w:spacing w:before="60" w:after="100"/>
      </w:pPr>
      <w:r w:rsidRPr="000B21D3">
        <w:rPr>
          <w:rFonts w:ascii="Arial" w:eastAsia="Arial" w:hAnsi="Arial" w:cs="Arial"/>
          <w:b/>
          <w:bCs/>
        </w:rPr>
        <w:t xml:space="preserve">Physical data possession by the Nation: </w:t>
      </w:r>
      <w:r w:rsidRPr="000B21D3">
        <w:t>No toolkit can substitute for Tribal Nations physically holding copies of data about their territory. The toolkit's gitignored local storage pattern implements this for field-collected data; the data catalog template supports Nations in inventorying and maintaining their full data holdings.</w:t>
      </w:r>
    </w:p>
    <w:p w14:paraId="3AF23CC7" w14:textId="77777777" w:rsidR="00263A5C" w:rsidRPr="000B21D3" w:rsidRDefault="00000000">
      <w:pPr>
        <w:pStyle w:val="Heading2"/>
        <w:rPr>
          <w:color w:val="auto"/>
        </w:rPr>
      </w:pPr>
      <w:r w:rsidRPr="000B21D3">
        <w:rPr>
          <w:color w:val="auto"/>
        </w:rPr>
        <w:t>6.2 Limitations and Honest Uncertainties</w:t>
      </w:r>
    </w:p>
    <w:p w14:paraId="7A126300" w14:textId="659101D6" w:rsidR="00263A5C" w:rsidRPr="000B21D3" w:rsidRDefault="00000000">
      <w:pPr>
        <w:spacing w:before="60" w:after="100"/>
      </w:pPr>
      <w:r w:rsidRPr="000B21D3">
        <w:t>The toolkit addresses implementation infrastructure. It cannot substitute for legal frameworks, Tribal data governance codes, or genuine community relationships  the human and institutional foundations on which any technical infrastructure rests.</w:t>
      </w:r>
    </w:p>
    <w:p w14:paraId="2E6CE67F" w14:textId="07005DA4" w:rsidR="00263A5C" w:rsidRPr="000B21D3" w:rsidRDefault="00000000">
      <w:pPr>
        <w:spacing w:before="60" w:after="100"/>
      </w:pPr>
      <w:r w:rsidRPr="000B21D3">
        <w:t>Nation-specific customization beyond YAML configuration requires consulting engagement. The four-framework stack is a coherent and well-tested governance architecture, but individual Nations have their own data governance policies, cultural protocols, and legal frameworks that may require modifications that go beyond configuration  integrating the Navajo Nation Data Governance Act, selecting and implementing Local Contexts TK Labels, or aligning with specific Tribal code provisions.</w:t>
      </w:r>
    </w:p>
    <w:p w14:paraId="22D35467" w14:textId="34150976" w:rsidR="00263A5C" w:rsidRPr="000B21D3" w:rsidRDefault="00000000">
      <w:pPr>
        <w:spacing w:before="60" w:after="100"/>
      </w:pPr>
      <w:r w:rsidRPr="000B21D3">
        <w:t>The toolkit reflects one coherent approach to operationalizing sovereignty  not the only approach. Other practitioners may make different framework selections or design choices that are equally valid. The open-source release of the toolkit is intended to invite exactly this kind of critical engagement and extension.</w:t>
      </w:r>
    </w:p>
    <w:p w14:paraId="2059CB16" w14:textId="2618C624" w:rsidR="00263A5C" w:rsidRPr="000B21D3" w:rsidRDefault="00000000">
      <w:pPr>
        <w:spacing w:before="60" w:after="100"/>
      </w:pPr>
      <w:r w:rsidRPr="000B21D3">
        <w:t>Finally, the monitoring gap findings that the toolkit surfaces are equity findings that require policy responses  not technical solutions. The toolkit can document that USGS groundwater monitoring is absent on Pine Ridge. It cannot install monitoring wells. The technical documentation is a contribution to the policy argument; the policy change requires advocacy, funding, and federal agency engagement that lies outside the toolkit's scope.</w:t>
      </w:r>
    </w:p>
    <w:p w14:paraId="2FD0D266" w14:textId="77777777" w:rsidR="00263A5C" w:rsidRPr="000B21D3" w:rsidRDefault="00000000">
      <w:pPr>
        <w:pStyle w:val="Heading2"/>
        <w:rPr>
          <w:color w:val="auto"/>
        </w:rPr>
      </w:pPr>
      <w:r w:rsidRPr="000B21D3">
        <w:rPr>
          <w:color w:val="auto"/>
        </w:rPr>
        <w:t>6.3 Relationship to Emerging Standards and Policy</w:t>
      </w:r>
    </w:p>
    <w:p w14:paraId="792470DD" w14:textId="77777777" w:rsidR="00263A5C" w:rsidRPr="000B21D3" w:rsidRDefault="00000000">
      <w:pPr>
        <w:spacing w:before="60" w:after="100"/>
      </w:pPr>
      <w:r w:rsidRPr="000B21D3">
        <w:t>The toolkit's implementation of OCAP® is directly compatible with the FNIGC's OCAP® training and certification program. The certification does not require specific technical tools but does require demonstrated understanding of the four principles and their application in research and data management practice. The toolkit's sovereignty.py module and SEEDS teaching series are designed to support preparation for this certification, and the OCAP® training is recommended for practitioners who use the toolkit in consequential research contexts.</w:t>
      </w:r>
    </w:p>
    <w:p w14:paraId="060AB803" w14:textId="77777777" w:rsidR="00263A5C" w:rsidRPr="000B21D3" w:rsidRDefault="00000000">
      <w:pPr>
        <w:spacing w:before="60" w:after="100"/>
      </w:pPr>
      <w:r w:rsidRPr="000B21D3">
        <w:t>IEEE 2890-2025's adoption as an international standard creates a governance pathway for Indigenous data provenance that did not previously exist in technical standards infrastructure. As this standard diffuses through data management systems, research data repositories, and federal data portals, provenance records produced by the toolkit will become increasingly legible to the systems that process and enforce data governance. The toolkit's early implementation of the standard positions practitioners who use it to be aligned with emerging infrastructure as it develops.</w:t>
      </w:r>
    </w:p>
    <w:p w14:paraId="644209F4" w14:textId="1F76177D" w:rsidR="00263A5C" w:rsidRPr="000B21D3" w:rsidRDefault="00000000">
      <w:pPr>
        <w:spacing w:before="60" w:after="100"/>
      </w:pPr>
      <w:r w:rsidRPr="000B21D3">
        <w:t>The US Indigenous Data Sovereignty Network and the Global Indigenous Data Alliance are the primary policy organizations advancing the governance frameworks the toolkit implements. The toolkit's open-source release and documentation are designed to be compatible with the advocacy work of these organizations  providing the implementation evidence that policy arguments require.</w:t>
      </w:r>
    </w:p>
    <w:p w14:paraId="5484BEB0" w14:textId="77777777" w:rsidR="00263A5C" w:rsidRPr="000B21D3" w:rsidRDefault="00000000">
      <w:pPr>
        <w:pStyle w:val="Heading2"/>
        <w:rPr>
          <w:color w:val="auto"/>
        </w:rPr>
      </w:pPr>
      <w:r w:rsidRPr="000B21D3">
        <w:rPr>
          <w:color w:val="auto"/>
        </w:rPr>
        <w:t>6.4 Directions for Future Development</w:t>
      </w:r>
    </w:p>
    <w:p w14:paraId="0394591B" w14:textId="77777777" w:rsidR="00263A5C" w:rsidRPr="000B21D3" w:rsidRDefault="00000000">
      <w:pPr>
        <w:spacing w:before="60" w:after="100"/>
      </w:pPr>
      <w:r w:rsidRPr="000B21D3">
        <w:t>Several directions for future development are identified from current implementation experience:</w:t>
      </w:r>
    </w:p>
    <w:p w14:paraId="6D2B1B40" w14:textId="307203A8" w:rsidR="00263A5C" w:rsidRPr="000B21D3" w:rsidRDefault="00000000">
      <w:pPr>
        <w:pStyle w:val="ListParagraph"/>
        <w:numPr>
          <w:ilvl w:val="0"/>
          <w:numId w:val="2"/>
        </w:numPr>
        <w:spacing w:before="40" w:after="40"/>
      </w:pPr>
      <w:r w:rsidRPr="000B21D3">
        <w:rPr>
          <w:rFonts w:ascii="Arial" w:eastAsia="Arial" w:hAnsi="Arial" w:cs="Arial"/>
          <w:b/>
          <w:bCs/>
        </w:rPr>
        <w:lastRenderedPageBreak/>
        <w:t xml:space="preserve">Data cube integration: </w:t>
      </w:r>
      <w:r w:rsidRPr="000B21D3">
        <w:t>The Integrated Data Cube for Climate and Agricultural Resilience in the Oceti Sakowin Territories (supported under NIFA contract with Oglala Lakota College) will connect the series' notebook outputs to Open Data Cube infrastructure, enabling sovereignty-embedded multi-temporal analysis at scale. A tutorial series on building sovereign data cubes  what a data cube is, how to build NDVI cubes with xarray, and how to introduce Open Data Cube governance  is in active development.</w:t>
      </w:r>
    </w:p>
    <w:p w14:paraId="29C15A2A" w14:textId="77777777" w:rsidR="00263A5C" w:rsidRPr="000B21D3" w:rsidRDefault="00000000">
      <w:pPr>
        <w:pStyle w:val="ListParagraph"/>
        <w:numPr>
          <w:ilvl w:val="0"/>
          <w:numId w:val="2"/>
        </w:numPr>
        <w:spacing w:before="40" w:after="40"/>
      </w:pPr>
      <w:r w:rsidRPr="000B21D3">
        <w:rPr>
          <w:rFonts w:ascii="Arial" w:eastAsia="Arial" w:hAnsi="Arial" w:cs="Arial"/>
          <w:b/>
          <w:bCs/>
        </w:rPr>
        <w:t xml:space="preserve">Quad-scale geological mapping: </w:t>
      </w:r>
      <w:r w:rsidRPr="000B21D3">
        <w:t>A systematic 1:24,000-scale geological mapping program for Pine Ridge is planned as a separate series, producing field-mapped geological data that will supplement and correct state-scale mapping on reservation lands. The field observation template in the soils and geology series provides the intake infrastructure for this work.</w:t>
      </w:r>
    </w:p>
    <w:p w14:paraId="79ACD718" w14:textId="0F10EC06" w:rsidR="00263A5C" w:rsidRPr="000B21D3" w:rsidRDefault="00000000">
      <w:pPr>
        <w:pStyle w:val="ListParagraph"/>
        <w:numPr>
          <w:ilvl w:val="0"/>
          <w:numId w:val="2"/>
        </w:numPr>
        <w:spacing w:before="40" w:after="40"/>
      </w:pPr>
      <w:r w:rsidRPr="000B21D3">
        <w:rPr>
          <w:rFonts w:ascii="Arial" w:eastAsia="Arial" w:hAnsi="Arial" w:cs="Arial"/>
          <w:b/>
          <w:bCs/>
        </w:rPr>
        <w:t xml:space="preserve">Broader Nation adoption: </w:t>
      </w:r>
      <w:r w:rsidRPr="000B21D3">
        <w:t>The toolkit is designed for adaptation by any Tribal Nation through configuration file editing. Building a community of practice  practitioners across Nations sharing configuration templates, custom source registries, and implementation patterns  would accelerate adoption and create peer review infrastructure for the governance frameworks.</w:t>
      </w:r>
    </w:p>
    <w:p w14:paraId="76C4ABC0" w14:textId="5BC4AF05" w:rsidR="00263A5C" w:rsidRPr="000B21D3" w:rsidRDefault="00000000">
      <w:pPr>
        <w:pStyle w:val="ListParagraph"/>
        <w:numPr>
          <w:ilvl w:val="0"/>
          <w:numId w:val="2"/>
        </w:numPr>
        <w:spacing w:before="40" w:after="40"/>
      </w:pPr>
      <w:r w:rsidRPr="000B21D3">
        <w:rPr>
          <w:rFonts w:ascii="Arial" w:eastAsia="Arial" w:hAnsi="Arial" w:cs="Arial"/>
          <w:b/>
          <w:bCs/>
        </w:rPr>
        <w:t xml:space="preserve">Operational dashboard layer: </w:t>
      </w:r>
      <w:r w:rsidRPr="000B21D3">
        <w:t>The current series focus on data acquisition, analysis, and visualization for research purposes. An operational layer  real-time drought early warning, fire risk monitoring, or water quality alerting  would extend the toolkit's impact to community operational decision-making. This development is scoped for a future phase after the research infrastructure is fully established.</w:t>
      </w:r>
    </w:p>
    <w:p w14:paraId="3439B6E8" w14:textId="13369CA1" w:rsidR="00263A5C" w:rsidRPr="000B21D3" w:rsidRDefault="00000000">
      <w:pPr>
        <w:pStyle w:val="Heading1"/>
        <w:rPr>
          <w:color w:val="auto"/>
        </w:rPr>
      </w:pPr>
      <w:r w:rsidRPr="000B21D3">
        <w:rPr>
          <w:color w:val="auto"/>
        </w:rPr>
        <w:t>. Conclusion</w:t>
      </w:r>
    </w:p>
    <w:p w14:paraId="252AACD6" w14:textId="77777777" w:rsidR="00263A5C" w:rsidRPr="000B21D3" w:rsidRDefault="00000000">
      <w:pPr>
        <w:spacing w:before="60" w:after="100"/>
      </w:pPr>
      <w:r w:rsidRPr="000B21D3">
        <w:t>The argument of this paper can be stated simply: Indigenous data sovereignty, to be meaningful in Earth data science practice, must be implemented as architecture. A sovereignty statement in a README is documentation. A NationConfig that auto-populates treaty language, stewardship contacts, and classification tiers into every provenance record, governance report, and output file is infrastructure. The difference between the two is the difference between acknowledging sovereignty and practicing it.</w:t>
      </w:r>
    </w:p>
    <w:p w14:paraId="71355D50" w14:textId="482D920A" w:rsidR="00263A5C" w:rsidRPr="000B21D3" w:rsidRDefault="00000000">
      <w:pPr>
        <w:spacing w:before="60" w:after="100"/>
      </w:pPr>
      <w:r w:rsidRPr="000B21D3">
        <w:t>The Tribal Data Sovereignty Toolkit provides that infrastructure in open, reusable, nation-agnostic form. Its four-framework stack  OCAP®, CARE, FAIR, IEEE 2890-2025  addresses rights, ethics, technical management, and documentation as a coherent whole. Its Python modules make sovereignty operational in any Earth data science notebook. Its document templates extend that infrastructure to Tribal staff who do not write code. Its SEEDS teaching series makes it teachable in Tribal college courses, hackathons, and research training programs.</w:t>
      </w:r>
    </w:p>
    <w:p w14:paraId="2749C285" w14:textId="4DE95877" w:rsidR="00263A5C" w:rsidRPr="000B21D3" w:rsidRDefault="00000000">
      <w:pPr>
        <w:spacing w:before="60" w:after="100"/>
      </w:pPr>
      <w:r w:rsidRPr="000B21D3">
        <w:t>The five implementations described in this paper  fire science, water monitoring, mining history, soils and geology, and the sovereignty toolkit itself  demonstrate that this architecture is not theoretical. It has been built, debugged, and deployed across more than forty notebooks covering ten Tribal Nations, fifteen streamflow gauges, seventeen hundred mine sites, nine geological units, and twenty-seven sovereignty audit questions. It has produced monitoring gap equity findings that frame federal data absence as policy accountability rather than technical limitation. It has produced the first visualization of the USGS 3D geological model over Lakota territory through a treaty provenance lens.</w:t>
      </w:r>
    </w:p>
    <w:p w14:paraId="53B836EA" w14:textId="26ECF109" w:rsidR="00263A5C" w:rsidRPr="000B21D3" w:rsidRDefault="00000000">
      <w:pPr>
        <w:spacing w:before="60" w:after="100"/>
      </w:pPr>
      <w:r w:rsidRPr="000B21D3">
        <w:t>What it has not done  and cannot do  is substitute for the human relationships, Tribal governance authority, and policy advocacy that genuine sovereignty requires. The toolkit is infrastructure for a sovereignty practice that must be grounded in community, law, and ongoing relationship. It is a beginning, not a completion. The invitation of this paper is for other practitioners  in Tribal Nations, federal agencies, universities, and NGOs  to adopt, adapt, critique, and extend this infrastructure toward a field in which sovereignty-embedded Earth data science is the norm rather than the exception.</w:t>
      </w:r>
    </w:p>
    <w:p w14:paraId="5D1F9D9A" w14:textId="6AE7BE89" w:rsidR="00263A5C" w:rsidRPr="000B21D3" w:rsidRDefault="00000000">
      <w:pPr>
        <w:spacing w:before="60" w:after="100"/>
      </w:pPr>
      <w:r w:rsidRPr="000B21D3">
        <w:rPr>
          <w:i/>
          <w:iCs/>
        </w:rPr>
        <w:t>Wopila tanka  pilamayaye.</w:t>
      </w:r>
    </w:p>
    <w:p w14:paraId="64B6C7F7" w14:textId="77777777" w:rsidR="00263A5C" w:rsidRPr="000B21D3" w:rsidRDefault="00000000">
      <w:pPr>
        <w:pStyle w:val="Heading1"/>
        <w:rPr>
          <w:color w:val="auto"/>
        </w:rPr>
      </w:pPr>
      <w:r w:rsidRPr="000B21D3">
        <w:rPr>
          <w:color w:val="auto"/>
        </w:rPr>
        <w:t>Acknowledgments</w:t>
      </w:r>
    </w:p>
    <w:p w14:paraId="53223801" w14:textId="76CF7E61" w:rsidR="00263A5C" w:rsidRPr="000B21D3" w:rsidRDefault="00000000">
      <w:pPr>
        <w:spacing w:before="60" w:after="100"/>
      </w:pPr>
      <w:r w:rsidRPr="000B21D3">
        <w:lastRenderedPageBreak/>
        <w:t xml:space="preserve">The author is grateful for the ongoing relationship with Oglala Lakota College  as a graduate, former faculty member, and active research partner  and for the intellectual and practical contributions of OLC's </w:t>
      </w:r>
      <w:r w:rsidR="00156D37" w:rsidRPr="000B21D3">
        <w:t>Math, Science, and Technology</w:t>
      </w:r>
      <w:r w:rsidRPr="000B21D3">
        <w:t xml:space="preserve"> Department to the data protocol</w:t>
      </w:r>
      <w:r w:rsidR="00156D37" w:rsidRPr="000B21D3">
        <w:t xml:space="preserve"> </w:t>
      </w:r>
      <w:r w:rsidRPr="000B21D3">
        <w:t>frameworks described here.</w:t>
      </w:r>
    </w:p>
    <w:p w14:paraId="2F3166FC" w14:textId="77777777" w:rsidR="00263A5C" w:rsidRPr="000B21D3" w:rsidRDefault="00000000">
      <w:pPr>
        <w:spacing w:before="60" w:after="100"/>
      </w:pPr>
      <w:r w:rsidRPr="000B21D3">
        <w:t>This work is supported in part by a NIFA-funded contract with Oglala Lakota College for the Integrated Data Cube for Climate and Agricultural Resilience in the Oceti Sakowin Territories. The author's research appointment at CIRES Earth Lab, University of Colorado Boulder, and affiliation with the ESIIL-EarthLab-AIHEC network provided institutional support and peer community throughout the development described here.</w:t>
      </w:r>
    </w:p>
    <w:p w14:paraId="1548A039" w14:textId="77777777" w:rsidR="00263A5C" w:rsidRPr="000B21D3" w:rsidRDefault="00000000">
      <w:pPr>
        <w:spacing w:before="60" w:after="100"/>
      </w:pPr>
      <w:r w:rsidRPr="000B21D3">
        <w:t>The OCAP® framework is the intellectual and practical contribution of the First Nations Information Governance Centre. The CARE Principles were developed by Stephanie Carroll, Ibrahim Garba, Maui Hudson, and the Global Indigenous Data Alliance. IEEE 2890-2025 represents the collective work of the IEEE Standards Association. The author is grateful to these organizations for their foundational work without which this implementation would not be possible.</w:t>
      </w:r>
    </w:p>
    <w:p w14:paraId="514C92E5" w14:textId="77777777" w:rsidR="00263A5C" w:rsidRPr="000B21D3" w:rsidRDefault="00000000">
      <w:pPr>
        <w:pStyle w:val="Heading1"/>
        <w:rPr>
          <w:color w:val="auto"/>
        </w:rPr>
      </w:pPr>
      <w:r w:rsidRPr="000B21D3">
        <w:rPr>
          <w:color w:val="auto"/>
        </w:rPr>
        <w:t>References</w:t>
      </w:r>
    </w:p>
    <w:p w14:paraId="01AC3E53" w14:textId="77777777" w:rsidR="00263A5C" w:rsidRPr="000B21D3" w:rsidRDefault="00000000">
      <w:pPr>
        <w:spacing w:before="60" w:after="100"/>
      </w:pPr>
      <w:r w:rsidRPr="000B21D3">
        <w:t>Carroll, S.R., Garba, I., Figueroa-Rodríguez, O.L., Holbrook, J., Lovett, R., Materechera, S., Parsons, M., Raseroka, K., Rodriguez-Lonebear, D., Rowe, R., Sara, R., Walker, J.D., Anderson, J., &amp; Hudson, M. (2020). The CARE Principles for Indigenous Data Governance. Data Science Journal, 19(1), 43. https://doi.org/10.5334/dsj-2020-043</w:t>
      </w:r>
    </w:p>
    <w:p w14:paraId="47DFB58B" w14:textId="77777777" w:rsidR="00263A5C" w:rsidRPr="000B21D3" w:rsidRDefault="00000000">
      <w:pPr>
        <w:spacing w:before="60" w:after="100"/>
      </w:pPr>
      <w:r w:rsidRPr="000B21D3">
        <w:t>First Nations Information Governance Centre (FNIGC). (2023). The First Nations Principles of OCAP®. https://fnigc.ca/ocap-training/</w:t>
      </w:r>
    </w:p>
    <w:p w14:paraId="6C446299" w14:textId="77777777" w:rsidR="00263A5C" w:rsidRPr="000B21D3" w:rsidRDefault="00000000">
      <w:pPr>
        <w:spacing w:before="60" w:after="100"/>
      </w:pPr>
      <w:r w:rsidRPr="000B21D3">
        <w:t>IEEE Standards Association. (2025). IEEE 2890-2025: Recommended Practice for Provenance of Indigenous Peoples' Data. Institute of Electrical and Electronics Engineers.</w:t>
      </w:r>
    </w:p>
    <w:p w14:paraId="168774E8" w14:textId="77777777" w:rsidR="00263A5C" w:rsidRPr="000B21D3" w:rsidRDefault="00000000">
      <w:pPr>
        <w:spacing w:before="60" w:after="100"/>
      </w:pPr>
      <w:r w:rsidRPr="000B21D3">
        <w:t>Jones, L. (2024). Tribal Water Monitoring Series [Software]. Daear Consulting, LLC. GitHub repository.</w:t>
      </w:r>
    </w:p>
    <w:p w14:paraId="659C9C5B" w14:textId="77777777" w:rsidR="00263A5C" w:rsidRPr="000B21D3" w:rsidRDefault="00000000">
      <w:pPr>
        <w:spacing w:before="60" w:after="100"/>
      </w:pPr>
      <w:r w:rsidRPr="000B21D3">
        <w:t>Jones, L., &amp; Sanovia, J. (2024). Tribal Fire Science Series [Software]. Daear Consulting, LLC. GitHub repository.</w:t>
      </w:r>
    </w:p>
    <w:p w14:paraId="4427321D" w14:textId="77777777" w:rsidR="00263A5C" w:rsidRPr="000B21D3" w:rsidRDefault="00000000">
      <w:pPr>
        <w:spacing w:before="60" w:after="100"/>
      </w:pPr>
      <w:r w:rsidRPr="000B21D3">
        <w:t>Jones, L. (2025). Tribal Data Sovereignty Toolkit [Software]. Daear Consulting, LLC. https://github.com/daear-consulting/tribal-data-sovereignty-toolkit</w:t>
      </w:r>
    </w:p>
    <w:p w14:paraId="2EBA6152" w14:textId="77777777" w:rsidR="00263A5C" w:rsidRPr="000B21D3" w:rsidRDefault="00000000">
      <w:pPr>
        <w:spacing w:before="60" w:after="100"/>
      </w:pPr>
      <w:r w:rsidRPr="000B21D3">
        <w:t>Jones, L. (2025). He Sapa Mining Twin [Software]. Daear Consulting, LLC. GitHub repository.</w:t>
      </w:r>
    </w:p>
    <w:p w14:paraId="3F345803" w14:textId="77777777" w:rsidR="00263A5C" w:rsidRPr="000B21D3" w:rsidRDefault="00000000">
      <w:pPr>
        <w:spacing w:before="60" w:after="100"/>
      </w:pPr>
      <w:r w:rsidRPr="000B21D3">
        <w:t>Jones, L. (2025). Tribal Soils and Geology Series [Software]. Daear Consulting, LLC. GitHub repository.</w:t>
      </w:r>
    </w:p>
    <w:p w14:paraId="56214108" w14:textId="77777777" w:rsidR="00263A5C" w:rsidRPr="000B21D3" w:rsidRDefault="00000000">
      <w:pPr>
        <w:spacing w:before="60" w:after="100"/>
      </w:pPr>
      <w:r w:rsidRPr="000B21D3">
        <w:t>Rodriguez-Lonebear, D., &amp; Carroll, S.R. (2020). Indigenous Data Sovereignty. In A.J. Cook (Ed.), The Oxford Handbook of the Sociology of Law. Oxford University Press.</w:t>
      </w:r>
    </w:p>
    <w:p w14:paraId="54C8B6DB" w14:textId="77777777" w:rsidR="00263A5C" w:rsidRPr="000B21D3" w:rsidRDefault="00000000">
      <w:pPr>
        <w:spacing w:before="60" w:after="100"/>
      </w:pPr>
      <w:r w:rsidRPr="000B21D3">
        <w:t>Spangler, L.R. (2024). Digital data for a 3D Geological Model of western South Dakota, USA. U.S. Geological Survey data release. https://doi.org/10.5066/P9LK4QHJ</w:t>
      </w:r>
    </w:p>
    <w:p w14:paraId="331BDF6D" w14:textId="77777777" w:rsidR="00263A5C" w:rsidRPr="000B21D3" w:rsidRDefault="00000000">
      <w:pPr>
        <w:spacing w:before="60" w:after="100"/>
      </w:pPr>
      <w:r w:rsidRPr="000B21D3">
        <w:t>United States v. Sioux Nation of Indians, 448 U.S. 371 (1980).</w:t>
      </w:r>
    </w:p>
    <w:p w14:paraId="4F5739B4" w14:textId="77777777" w:rsidR="00263A5C" w:rsidRPr="000B21D3" w:rsidRDefault="00000000">
      <w:pPr>
        <w:spacing w:before="60" w:after="100"/>
      </w:pPr>
      <w:r w:rsidRPr="000B21D3">
        <w:t>Wilkinson, M.D., Dumontier, M., Aalbersberg, I.J., Appleton, G., Axton, M., Baak, A., Blomberg, N., Boiten, J.W., da Silva Santos, L.B., Bourne, P.E., Bouwman, J., Brookes, A.J., Clark, T., Crosas, M., Dillo, I., Dumon, O., Edmunds, S., Evelo, C.T., Finkers, R., … Mons, B. (2016). The FAIR Guiding Principles for scientific data management and stewardship. Scientific Data, 3, 160018. https://doi.org/10.1038/sdata.2016.18</w:t>
      </w:r>
    </w:p>
    <w:sectPr w:rsidR="00263A5C" w:rsidRPr="000B21D3">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DA228E"/>
    <w:multiLevelType w:val="hybridMultilevel"/>
    <w:tmpl w:val="C9F8A386"/>
    <w:lvl w:ilvl="0" w:tplc="B40835DC">
      <w:start w:val="1"/>
      <w:numFmt w:val="bullet"/>
      <w:lvlText w:val="●"/>
      <w:lvlJc w:val="left"/>
      <w:pPr>
        <w:ind w:left="720" w:hanging="360"/>
      </w:pPr>
    </w:lvl>
    <w:lvl w:ilvl="1" w:tplc="A10E4180">
      <w:start w:val="1"/>
      <w:numFmt w:val="bullet"/>
      <w:lvlText w:val="○"/>
      <w:lvlJc w:val="left"/>
      <w:pPr>
        <w:ind w:left="1440" w:hanging="360"/>
      </w:pPr>
    </w:lvl>
    <w:lvl w:ilvl="2" w:tplc="241CAF5A">
      <w:start w:val="1"/>
      <w:numFmt w:val="bullet"/>
      <w:lvlText w:val="■"/>
      <w:lvlJc w:val="left"/>
      <w:pPr>
        <w:ind w:left="2160" w:hanging="360"/>
      </w:pPr>
    </w:lvl>
    <w:lvl w:ilvl="3" w:tplc="A51CA8C6">
      <w:start w:val="1"/>
      <w:numFmt w:val="bullet"/>
      <w:lvlText w:val="●"/>
      <w:lvlJc w:val="left"/>
      <w:pPr>
        <w:ind w:left="2880" w:hanging="360"/>
      </w:pPr>
    </w:lvl>
    <w:lvl w:ilvl="4" w:tplc="317E3D3E">
      <w:start w:val="1"/>
      <w:numFmt w:val="bullet"/>
      <w:lvlText w:val="○"/>
      <w:lvlJc w:val="left"/>
      <w:pPr>
        <w:ind w:left="3600" w:hanging="360"/>
      </w:pPr>
    </w:lvl>
    <w:lvl w:ilvl="5" w:tplc="F22C47C2">
      <w:start w:val="1"/>
      <w:numFmt w:val="bullet"/>
      <w:lvlText w:val="■"/>
      <w:lvlJc w:val="left"/>
      <w:pPr>
        <w:ind w:left="4320" w:hanging="360"/>
      </w:pPr>
    </w:lvl>
    <w:lvl w:ilvl="6" w:tplc="3CE0E090">
      <w:start w:val="1"/>
      <w:numFmt w:val="bullet"/>
      <w:lvlText w:val="●"/>
      <w:lvlJc w:val="left"/>
      <w:pPr>
        <w:ind w:left="5040" w:hanging="360"/>
      </w:pPr>
    </w:lvl>
    <w:lvl w:ilvl="7" w:tplc="B2004336">
      <w:start w:val="1"/>
      <w:numFmt w:val="bullet"/>
      <w:lvlText w:val="●"/>
      <w:lvlJc w:val="left"/>
      <w:pPr>
        <w:ind w:left="5760" w:hanging="360"/>
      </w:pPr>
    </w:lvl>
    <w:lvl w:ilvl="8" w:tplc="F0441834">
      <w:start w:val="1"/>
      <w:numFmt w:val="bullet"/>
      <w:lvlText w:val="●"/>
      <w:lvlJc w:val="left"/>
      <w:pPr>
        <w:ind w:left="6480" w:hanging="360"/>
      </w:pPr>
    </w:lvl>
  </w:abstractNum>
  <w:abstractNum w:abstractNumId="1" w15:restartNumberingAfterBreak="0">
    <w:nsid w:val="74DC78ED"/>
    <w:multiLevelType w:val="hybridMultilevel"/>
    <w:tmpl w:val="F878E0CC"/>
    <w:lvl w:ilvl="0" w:tplc="88EEB8B6">
      <w:start w:val="1"/>
      <w:numFmt w:val="bullet"/>
      <w:lvlText w:val="•"/>
      <w:lvlJc w:val="left"/>
      <w:pPr>
        <w:ind w:left="720" w:hanging="360"/>
      </w:pPr>
    </w:lvl>
    <w:lvl w:ilvl="1" w:tplc="B582D318">
      <w:numFmt w:val="decimal"/>
      <w:lvlText w:val=""/>
      <w:lvlJc w:val="left"/>
    </w:lvl>
    <w:lvl w:ilvl="2" w:tplc="FB662F08">
      <w:numFmt w:val="decimal"/>
      <w:lvlText w:val=""/>
      <w:lvlJc w:val="left"/>
    </w:lvl>
    <w:lvl w:ilvl="3" w:tplc="A3F67FD4">
      <w:numFmt w:val="decimal"/>
      <w:lvlText w:val=""/>
      <w:lvlJc w:val="left"/>
    </w:lvl>
    <w:lvl w:ilvl="4" w:tplc="780E40AE">
      <w:numFmt w:val="decimal"/>
      <w:lvlText w:val=""/>
      <w:lvlJc w:val="left"/>
    </w:lvl>
    <w:lvl w:ilvl="5" w:tplc="E4B8F590">
      <w:numFmt w:val="decimal"/>
      <w:lvlText w:val=""/>
      <w:lvlJc w:val="left"/>
    </w:lvl>
    <w:lvl w:ilvl="6" w:tplc="3C806892">
      <w:numFmt w:val="decimal"/>
      <w:lvlText w:val=""/>
      <w:lvlJc w:val="left"/>
    </w:lvl>
    <w:lvl w:ilvl="7" w:tplc="315E5174">
      <w:numFmt w:val="decimal"/>
      <w:lvlText w:val=""/>
      <w:lvlJc w:val="left"/>
    </w:lvl>
    <w:lvl w:ilvl="8" w:tplc="48322C8A">
      <w:numFmt w:val="decimal"/>
      <w:lvlText w:val=""/>
      <w:lvlJc w:val="left"/>
    </w:lvl>
  </w:abstractNum>
  <w:num w:numId="1" w16cid:durableId="1416632592">
    <w:abstractNumId w:val="0"/>
    <w:lvlOverride w:ilvl="0">
      <w:startOverride w:val="1"/>
    </w:lvlOverride>
  </w:num>
  <w:num w:numId="2" w16cid:durableId="1505784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3A5C"/>
    <w:rsid w:val="00097D36"/>
    <w:rsid w:val="000B21D3"/>
    <w:rsid w:val="00156D37"/>
    <w:rsid w:val="00263A5C"/>
    <w:rsid w:val="002C5BC3"/>
    <w:rsid w:val="002E1A98"/>
    <w:rsid w:val="00331E3A"/>
    <w:rsid w:val="003A156F"/>
    <w:rsid w:val="00451859"/>
    <w:rsid w:val="00634497"/>
    <w:rsid w:val="006971D5"/>
    <w:rsid w:val="00723A40"/>
    <w:rsid w:val="00950FA2"/>
    <w:rsid w:val="00C329A7"/>
    <w:rsid w:val="00CB3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126EF"/>
  <w15:docId w15:val="{35080B21-33FE-4CAB-9355-1B25024EF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007A6E"/>
      <w:sz w:val="30"/>
      <w:szCs w:val="30"/>
    </w:rPr>
  </w:style>
  <w:style w:type="paragraph" w:styleId="Heading2">
    <w:name w:val="heading 2"/>
    <w:uiPriority w:val="9"/>
    <w:unhideWhenUsed/>
    <w:qFormat/>
    <w:pPr>
      <w:spacing w:before="240" w:after="80"/>
      <w:outlineLvl w:val="1"/>
    </w:pPr>
    <w:rPr>
      <w:rFonts w:ascii="Arial" w:eastAsia="Arial" w:hAnsi="Arial" w:cs="Arial"/>
      <w:b/>
      <w:bCs/>
      <w:color w:val="1B3A5C"/>
      <w:sz w:val="24"/>
      <w:szCs w:val="24"/>
    </w:rPr>
  </w:style>
  <w:style w:type="paragraph" w:styleId="Heading3">
    <w:name w:val="heading 3"/>
    <w:uiPriority w:val="9"/>
    <w:semiHidden/>
    <w:unhideWhenUsed/>
    <w:qFormat/>
    <w:pPr>
      <w:spacing w:before="180" w:after="60"/>
      <w:outlineLvl w:val="2"/>
    </w:pPr>
    <w:rPr>
      <w:rFonts w:ascii="Arial" w:eastAsia="Arial" w:hAnsi="Arial" w:cs="Arial"/>
      <w:b/>
      <w:bCs/>
      <w:color w:val="007A6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7479</Words>
  <Characters>42636</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Lilly Jones</cp:lastModifiedBy>
  <cp:revision>8</cp:revision>
  <dcterms:created xsi:type="dcterms:W3CDTF">2026-07-17T05:10:00Z</dcterms:created>
  <dcterms:modified xsi:type="dcterms:W3CDTF">2026-09-04T17:55:00Z</dcterms:modified>
</cp:coreProperties>
</file>