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Equipo: Dattaway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Población anciana de +65 años que viven solos (valorando las implicaciones en su salud, calidad de vida y esperanza de vida) actualmente en Terrassa hay 6729 viviendas con de 1 a 3 personas que viven solas, de las cuales 3741 son viviendas con una sola persona mayor de 65 años.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Población estudiantil UPC(o otros) de fuera de terrassa con bajos recursos económicos y dedican gran parte del presupuesto a transporte o alquiler, actualmente el precio medio del alquiler en Terrassa es de 693€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Ofrecer a la población anciana la posibilidad de acoger a un estudiante (reforzando y explicando los beneficios).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Ofrecer a los estudiantes un alquiler asequible de entre 0-200€ (a valorar) compartiendo piso con una persona +65 años.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Beneficios (WIN!!):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Persona anciana: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Mejora su calidad de vida.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Esperanza de vida.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reduce riesgo de deterioro cognitivo y demencia,....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Estudiante: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Ahorro en el alquiler.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Piso cerca de la universidad.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Conocimientos de una persona autóctona de Terrassa.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UPC: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Posibilidad de recibir estudiantes de altas capacidades pero bajos recursos.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Terrassa: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Terrassa com a pionera en innovació.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Salud: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Reducción de los procesos asistenciales.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Menor carga de trabajo en CAP’s y Hospitales.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