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7324D"/>
          <w:sz w:val="44"/>
        </w:rPr>
        <w:t>구조해석 의뢰 Agent 확장을 위한</w:t>
        <w:br/>
        <w:t>자료 및 검토 요청서</w:t>
      </w:r>
    </w:p>
    <w:p>
      <w:pPr>
        <w:jc w:val="center"/>
      </w:pPr>
      <w:r>
        <w:rPr>
          <w:i/>
        </w:rPr>
        <w:t>h7_v0 구조해석 확장 사전 정보수집 · 패키지 버전 1.0</w:t>
      </w:r>
    </w:p>
    <w:p/>
    <w:tbl>
      <w:tblPr>
        <w:tblStyle w:val="TableGrid"/>
        <w:tblW w:type="auto" w:w="0"/>
        <w:tblLook w:firstColumn="1" w:firstRow="1" w:lastColumn="0" w:lastRow="0" w:noHBand="0" w:noVBand="1" w:val="04A0"/>
      </w:tblPr>
      <w:tblGrid>
        <w:gridCol w:w="4986"/>
        <w:gridCol w:w="4986"/>
      </w:tblGrid>
      <w:tr>
        <w:tc>
          <w:tcPr>
            <w:tcW w:type="dxa" w:w="1814"/>
            <w:vAlign w:val="center"/>
            <w:shd w:fill="17324D"/>
          </w:tcPr>
          <w:p>
            <w:r/>
            <w:r>
              <w:rPr>
                <w:rFonts w:ascii="맑은 고딕" w:hAnsi="맑은 고딕" w:eastAsia="맑은 고딕"/>
                <w:b/>
                <w:color w:val="FFFFFF"/>
                <w:sz w:val="18"/>
              </w:rPr>
              <w:t>항목</w:t>
            </w:r>
          </w:p>
        </w:tc>
        <w:tc>
          <w:tcPr>
            <w:tcW w:type="dxa" w:w="7257"/>
            <w:vAlign w:val="center"/>
            <w:shd w:fill="17324D"/>
          </w:tcPr>
          <w:p>
            <w:r/>
            <w:r>
              <w:rPr>
                <w:rFonts w:ascii="맑은 고딕" w:hAnsi="맑은 고딕" w:eastAsia="맑은 고딕"/>
                <w:b/>
                <w:color w:val="FFFFFF"/>
                <w:sz w:val="18"/>
              </w:rPr>
              <w:t>기입 내용</w:t>
            </w:r>
          </w:p>
        </w:tc>
      </w:tr>
      <w:tr>
        <w:tc>
          <w:tcPr>
            <w:tcW w:type="dxa" w:w="1814"/>
            <w:vAlign w:val="center"/>
            <w:shd w:fill="E2F0D9"/>
          </w:tcPr>
          <w:p>
            <w:r/>
            <w:r>
              <w:rPr>
                <w:rFonts w:ascii="맑은 고딕" w:hAnsi="맑은 고딕" w:eastAsia="맑은 고딕"/>
                <w:b w:val="0"/>
                <w:color w:val="222222"/>
                <w:sz w:val="18"/>
              </w:rPr>
              <w:t>수신</w:t>
            </w:r>
          </w:p>
        </w:tc>
        <w:tc>
          <w:tcPr>
            <w:tcW w:type="dxa" w:w="7257"/>
            <w:vAlign w:val="center"/>
          </w:tcPr>
          <w:p>
            <w:r/>
            <w:r>
              <w:rPr>
                <w:rFonts w:ascii="맑은 고딕" w:hAnsi="맑은 고딕" w:eastAsia="맑은 고딕"/>
                <w:b w:val="0"/>
                <w:color w:val="222222"/>
                <w:sz w:val="18"/>
              </w:rPr>
              <w:t>[구조해석 담당자/조직 입력]</w:t>
            </w:r>
          </w:p>
        </w:tc>
      </w:tr>
      <w:tr>
        <w:tc>
          <w:tcPr>
            <w:tcW w:type="dxa" w:w="1814"/>
            <w:vAlign w:val="center"/>
            <w:shd w:fill="E2F0D9"/>
          </w:tcPr>
          <w:p>
            <w:r/>
            <w:r>
              <w:rPr>
                <w:rFonts w:ascii="맑은 고딕" w:hAnsi="맑은 고딕" w:eastAsia="맑은 고딕"/>
                <w:b w:val="0"/>
                <w:color w:val="222222"/>
                <w:sz w:val="18"/>
              </w:rPr>
              <w:t>발신</w:t>
            </w:r>
          </w:p>
        </w:tc>
        <w:tc>
          <w:tcPr>
            <w:tcW w:type="dxa" w:w="7257"/>
            <w:vAlign w:val="center"/>
          </w:tcPr>
          <w:p>
            <w:r/>
            <w:r>
              <w:rPr>
                <w:rFonts w:ascii="맑은 고딕" w:hAnsi="맑은 고딕" w:eastAsia="맑은 고딕"/>
                <w:b w:val="0"/>
                <w:color w:val="222222"/>
                <w:sz w:val="18"/>
              </w:rPr>
              <w:t>[요청자/조직 입력]</w:t>
            </w:r>
          </w:p>
        </w:tc>
      </w:tr>
      <w:tr>
        <w:tc>
          <w:tcPr>
            <w:tcW w:type="dxa" w:w="1814"/>
            <w:vAlign w:val="center"/>
            <w:shd w:fill="E2F0D9"/>
          </w:tcPr>
          <w:p>
            <w:r/>
            <w:r>
              <w:rPr>
                <w:rFonts w:ascii="맑은 고딕" w:hAnsi="맑은 고딕" w:eastAsia="맑은 고딕"/>
                <w:b w:val="0"/>
                <w:color w:val="222222"/>
                <w:sz w:val="18"/>
              </w:rPr>
              <w:t>회신 희망일</w:t>
            </w:r>
          </w:p>
        </w:tc>
        <w:tc>
          <w:tcPr>
            <w:tcW w:type="dxa" w:w="7257"/>
            <w:vAlign w:val="center"/>
          </w:tcPr>
          <w:p>
            <w:r/>
            <w:r>
              <w:rPr>
                <w:rFonts w:ascii="맑은 고딕" w:hAnsi="맑은 고딕" w:eastAsia="맑은 고딕"/>
                <w:b w:val="0"/>
                <w:color w:val="222222"/>
                <w:sz w:val="18"/>
              </w:rPr>
              <w:t>[YYYY-MM-DD]</w:t>
            </w:r>
          </w:p>
        </w:tc>
      </w:tr>
      <w:tr>
        <w:tc>
          <w:tcPr>
            <w:tcW w:type="dxa" w:w="1814"/>
            <w:vAlign w:val="center"/>
            <w:shd w:fill="E2F0D9"/>
          </w:tcPr>
          <w:p>
            <w:r/>
            <w:r>
              <w:rPr>
                <w:rFonts w:ascii="맑은 고딕" w:hAnsi="맑은 고딕" w:eastAsia="맑은 고딕"/>
                <w:b w:val="0"/>
                <w:color w:val="222222"/>
                <w:sz w:val="18"/>
              </w:rPr>
              <w:t>1차 워크숍</w:t>
            </w:r>
          </w:p>
        </w:tc>
        <w:tc>
          <w:tcPr>
            <w:tcW w:type="dxa" w:w="7257"/>
            <w:vAlign w:val="center"/>
          </w:tcPr>
          <w:p>
            <w:r/>
            <w:r>
              <w:rPr>
                <w:rFonts w:ascii="맑은 고딕" w:hAnsi="맑은 고딕" w:eastAsia="맑은 고딕"/>
                <w:b w:val="0"/>
                <w:color w:val="222222"/>
                <w:sz w:val="18"/>
              </w:rPr>
              <w:t>[후보 일정 입력]</w:t>
            </w:r>
          </w:p>
        </w:tc>
      </w:tr>
    </w:tbl>
    <w:p/>
    <w:p>
      <w:pPr>
        <w:pStyle w:val="Heading1"/>
      </w:pPr>
      <w:r>
        <w:t>1. 요청 배경과 목표</w:t>
      </w:r>
    </w:p>
    <w:p>
      <w:r>
        <w:t>비전문 사용자도 구조해석을 쉽게 의뢰할 수 있도록 기존 유동해석 의뢰 Agent를 확장하려고 합니다. 목표는 구조해석 계산 설정을 완전히 자동화하는 것이 아니라, 사용자가 목적·대상 제품·재질·하중·구속·연결 상태와 결과 판정기준을 빠짐없이 전달하여 구조해석 담당자가 별도 재문의 없이 해석 착수 여부를 판단할 수 있게 하는 것입니다.</w:t>
      </w:r>
    </w:p>
    <w:p>
      <w:r>
        <w:t>초기에는 수행 빈도와 표준화 가능성이 높고 일반 의뢰자가 입력을 확보하기 쉬운 대표 해석유형 2~3종만 선정합니다. 기존 사업부·제품군·Platform 및 Base/비교 제품 흐름은 재사용합니다.</w:t>
      </w:r>
    </w:p>
    <w:p>
      <w:pPr>
        <w:pStyle w:val="Heading1"/>
      </w:pPr>
      <w:r>
        <w:t>2. 요청드리는 자료</w:t>
      </w:r>
    </w:p>
    <w:p>
      <w:pPr>
        <w:pStyle w:val="ListBullet"/>
      </w:pPr>
      <w:r>
        <w:t>후보 구조해석 유형과 업무상 우선순위</w:t>
      </w:r>
    </w:p>
    <w:p>
      <w:pPr>
        <w:pStyle w:val="ListBullet"/>
      </w:pPr>
      <w:r>
        <w:t>후보 유형별 익명화된 실제 의뢰서·보고서·입력자료 3건 이상</w:t>
      </w:r>
    </w:p>
    <w:p>
      <w:pPr>
        <w:pStyle w:val="ListBullet"/>
      </w:pPr>
      <w:r>
        <w:t>의뢰자가 반드시 제공해야 하는 정보와 구조 담당자가 판단해야 하는 정보의 구분</w:t>
      </w:r>
    </w:p>
    <w:p>
      <w:pPr>
        <w:pStyle w:val="ListBullet"/>
      </w:pPr>
      <w:r>
        <w:t>재질·하중·구속·접촉/체결·해석 Case·결과 판정 규칙</w:t>
      </w:r>
    </w:p>
    <w:p>
      <w:pPr>
        <w:pStyle w:val="ListBullet"/>
      </w:pPr>
      <w:r>
        <w:t>정보가 없거나 애매할 때 실제로 확인하는 후속 질문</w:t>
      </w:r>
    </w:p>
    <w:p>
      <w:pPr>
        <w:pStyle w:val="ListBullet"/>
      </w:pPr>
      <w:r>
        <w:t>개발자가 작성한 Field Rule Master와 샘플 의뢰서의 최종 검수</w:t>
      </w:r>
    </w:p>
    <w:p>
      <w:pPr>
        <w:pStyle w:val="Heading1"/>
      </w:pPr>
      <w:r>
        <w:t>3. 우선 작성 범위</w:t>
      </w:r>
    </w:p>
    <w:p>
      <w:r>
        <w:t>첨부된 Excel 회신양식에서 먼저 `01_해석유형_우선순위`와 `02_완료사례_목록` 시트를 작성해 주세요. 나머지 Master 시트는 1차 워크숍에서 실제 사례 한 건을 함께 검토한 뒤 개발자가 초안을 작성합니다.</w:t>
      </w:r>
    </w:p>
    <w:tbl>
      <w:tblPr>
        <w:tblStyle w:val="TableGrid"/>
        <w:tblW w:type="auto" w:w="0"/>
        <w:tblLook w:firstColumn="1" w:firstRow="1" w:lastColumn="0" w:lastRow="0" w:noHBand="0" w:noVBand="1" w:val="04A0"/>
      </w:tblPr>
      <w:tblGrid>
        <w:gridCol w:w="4986"/>
        <w:gridCol w:w="4986"/>
      </w:tblGrid>
      <w:tr>
        <w:tc>
          <w:tcPr>
            <w:tcW w:type="dxa" w:w="2268"/>
            <w:vAlign w:val="center"/>
            <w:shd w:fill="17324D"/>
          </w:tcPr>
          <w:p>
            <w:r/>
            <w:r>
              <w:rPr>
                <w:rFonts w:ascii="맑은 고딕" w:hAnsi="맑은 고딕" w:eastAsia="맑은 고딕"/>
                <w:b/>
                <w:color w:val="FFFFFF"/>
                <w:sz w:val="18"/>
              </w:rPr>
              <w:t>사례 구분</w:t>
            </w:r>
          </w:p>
        </w:tc>
        <w:tc>
          <w:tcPr>
            <w:tcW w:type="dxa" w:w="6803"/>
            <w:vAlign w:val="center"/>
            <w:shd w:fill="17324D"/>
          </w:tcPr>
          <w:p>
            <w:r/>
            <w:r>
              <w:rPr>
                <w:rFonts w:ascii="맑은 고딕" w:hAnsi="맑은 고딕" w:eastAsia="맑은 고딕"/>
                <w:b/>
                <w:color w:val="FFFFFF"/>
                <w:sz w:val="18"/>
              </w:rPr>
              <w:t>포함할 내용</w:t>
            </w:r>
          </w:p>
        </w:tc>
      </w:tr>
      <w:tr>
        <w:tc>
          <w:tcPr>
            <w:tcW w:type="dxa" w:w="2268"/>
            <w:vAlign w:val="center"/>
            <w:shd w:fill="E2F0D9"/>
          </w:tcPr>
          <w:p>
            <w:r/>
            <w:r>
              <w:rPr>
                <w:rFonts w:ascii="맑은 고딕" w:hAnsi="맑은 고딕" w:eastAsia="맑은 고딕"/>
                <w:b w:val="0"/>
                <w:color w:val="222222"/>
                <w:sz w:val="18"/>
              </w:rPr>
              <w:t>정상 사례</w:t>
            </w:r>
          </w:p>
        </w:tc>
        <w:tc>
          <w:tcPr>
            <w:tcW w:type="dxa" w:w="6803"/>
            <w:vAlign w:val="center"/>
          </w:tcPr>
          <w:p>
            <w:r/>
            <w:r>
              <w:rPr>
                <w:rFonts w:ascii="맑은 고딕" w:hAnsi="맑은 고딕" w:eastAsia="맑은 고딕"/>
                <w:b w:val="0"/>
                <w:color w:val="222222"/>
                <w:sz w:val="18"/>
              </w:rPr>
              <w:t>일반적인 단일 하중·단일 형상 사례</w:t>
            </w:r>
          </w:p>
        </w:tc>
      </w:tr>
      <w:tr>
        <w:tc>
          <w:tcPr>
            <w:tcW w:type="dxa" w:w="2268"/>
            <w:vAlign w:val="center"/>
            <w:shd w:fill="E2F0D9"/>
          </w:tcPr>
          <w:p>
            <w:r/>
            <w:r>
              <w:rPr>
                <w:rFonts w:ascii="맑은 고딕" w:hAnsi="맑은 고딕" w:eastAsia="맑은 고딕"/>
                <w:b w:val="0"/>
                <w:color w:val="222222"/>
                <w:sz w:val="18"/>
              </w:rPr>
              <w:t>다중 Case</w:t>
            </w:r>
          </w:p>
        </w:tc>
        <w:tc>
          <w:tcPr>
            <w:tcW w:type="dxa" w:w="6803"/>
            <w:vAlign w:val="center"/>
          </w:tcPr>
          <w:p>
            <w:r/>
            <w:r>
              <w:rPr>
                <w:rFonts w:ascii="맑은 고딕" w:hAnsi="맑은 고딕" w:eastAsia="맑은 고딕"/>
                <w:b w:val="0"/>
                <w:color w:val="222222"/>
                <w:sz w:val="18"/>
              </w:rPr>
              <w:t>여러 하중, 형상 또는 조건을 비교한 사례</w:t>
            </w:r>
          </w:p>
        </w:tc>
      </w:tr>
      <w:tr>
        <w:tc>
          <w:tcPr>
            <w:tcW w:type="dxa" w:w="2268"/>
            <w:vAlign w:val="center"/>
            <w:shd w:fill="E2F0D9"/>
          </w:tcPr>
          <w:p>
            <w:r/>
            <w:r>
              <w:rPr>
                <w:rFonts w:ascii="맑은 고딕" w:hAnsi="맑은 고딕" w:eastAsia="맑은 고딕"/>
                <w:b w:val="0"/>
                <w:color w:val="222222"/>
                <w:sz w:val="18"/>
              </w:rPr>
              <w:t>정보 부족 사례</w:t>
            </w:r>
          </w:p>
        </w:tc>
        <w:tc>
          <w:tcPr>
            <w:tcW w:type="dxa" w:w="6803"/>
            <w:vAlign w:val="center"/>
          </w:tcPr>
          <w:p>
            <w:r/>
            <w:r>
              <w:rPr>
                <w:rFonts w:ascii="맑은 고딕" w:hAnsi="맑은 고딕" w:eastAsia="맑은 고딕"/>
                <w:b w:val="0"/>
                <w:color w:val="222222"/>
                <w:sz w:val="18"/>
              </w:rPr>
              <w:t>입력 누락, 조건부 필드 또는 담당자 재문의가 있었던 사례</w:t>
            </w:r>
          </w:p>
        </w:tc>
      </w:tr>
    </w:tbl>
    <w:p/>
    <w:p>
      <w:pPr>
        <w:pStyle w:val="Heading1"/>
      </w:pPr>
      <w:r>
        <w:t>4. Master에서 확인할 업무 규칙</w:t>
      </w:r>
    </w:p>
    <w:tbl>
      <w:tblPr>
        <w:tblStyle w:val="TableGrid"/>
        <w:tblW w:type="auto" w:w="0"/>
        <w:tblLook w:firstColumn="1" w:firstRow="1" w:lastColumn="0" w:lastRow="0" w:noHBand="0" w:noVBand="1" w:val="04A0"/>
      </w:tblPr>
      <w:tblGrid>
        <w:gridCol w:w="4986"/>
        <w:gridCol w:w="4986"/>
      </w:tblGrid>
      <w:tr>
        <w:tc>
          <w:tcPr>
            <w:tcW w:type="dxa" w:w="2268"/>
            <w:vAlign w:val="center"/>
            <w:shd w:fill="17324D"/>
          </w:tcPr>
          <w:p>
            <w:r/>
            <w:r>
              <w:rPr>
                <w:rFonts w:ascii="맑은 고딕" w:hAnsi="맑은 고딕" w:eastAsia="맑은 고딕"/>
                <w:b/>
                <w:color w:val="FFFFFF"/>
                <w:sz w:val="18"/>
              </w:rPr>
              <w:t>구분</w:t>
            </w:r>
          </w:p>
        </w:tc>
        <w:tc>
          <w:tcPr>
            <w:tcW w:type="dxa" w:w="6803"/>
            <w:vAlign w:val="center"/>
            <w:shd w:fill="17324D"/>
          </w:tcPr>
          <w:p>
            <w:r/>
            <w:r>
              <w:rPr>
                <w:rFonts w:ascii="맑은 고딕" w:hAnsi="맑은 고딕" w:eastAsia="맑은 고딕"/>
                <w:b/>
                <w:color w:val="FFFFFF"/>
                <w:sz w:val="18"/>
              </w:rPr>
              <w:t>확인 내용</w:t>
            </w:r>
          </w:p>
        </w:tc>
      </w:tr>
      <w:tr>
        <w:tc>
          <w:tcPr>
            <w:tcW w:type="dxa" w:w="2268"/>
            <w:vAlign w:val="center"/>
            <w:shd w:fill="E2F0D9"/>
          </w:tcPr>
          <w:p>
            <w:r/>
            <w:r>
              <w:rPr>
                <w:rFonts w:ascii="맑은 고딕" w:hAnsi="맑은 고딕" w:eastAsia="맑은 고딕"/>
                <w:b w:val="0"/>
                <w:color w:val="222222"/>
                <w:sz w:val="18"/>
              </w:rPr>
              <w:t>제품/형상</w:t>
            </w:r>
          </w:p>
        </w:tc>
        <w:tc>
          <w:tcPr>
            <w:tcW w:type="dxa" w:w="6803"/>
            <w:vAlign w:val="center"/>
          </w:tcPr>
          <w:p>
            <w:r/>
            <w:r>
              <w:rPr>
                <w:rFonts w:ascii="맑은 고딕" w:hAnsi="맑은 고딕" w:eastAsia="맑은 고딕"/>
                <w:b w:val="0"/>
                <w:color w:val="222222"/>
                <w:sz w:val="18"/>
              </w:rPr>
              <w:t>어셈블리·부품 식별자, CAD Revision, 기준/비교 형상, 단순화 부위, 관심 위치</w:t>
            </w:r>
          </w:p>
        </w:tc>
      </w:tr>
      <w:tr>
        <w:tc>
          <w:tcPr>
            <w:tcW w:type="dxa" w:w="2268"/>
            <w:vAlign w:val="center"/>
            <w:shd w:fill="E2F0D9"/>
          </w:tcPr>
          <w:p>
            <w:r/>
            <w:r>
              <w:rPr>
                <w:rFonts w:ascii="맑은 고딕" w:hAnsi="맑은 고딕" w:eastAsia="맑은 고딕"/>
                <w:b w:val="0"/>
                <w:color w:val="222222"/>
                <w:sz w:val="18"/>
              </w:rPr>
              <w:t>재질</w:t>
            </w:r>
          </w:p>
        </w:tc>
        <w:tc>
          <w:tcPr>
            <w:tcW w:type="dxa" w:w="6803"/>
            <w:vAlign w:val="center"/>
          </w:tcPr>
          <w:p>
            <w:r/>
            <w:r>
              <w:rPr>
                <w:rFonts w:ascii="맑은 고딕" w:hAnsi="맑은 고딕" w:eastAsia="맑은 고딕"/>
                <w:b w:val="0"/>
                <w:color w:val="222222"/>
                <w:sz w:val="18"/>
              </w:rPr>
              <w:t>대상 부품, 재질명, 필요한 물성, 물성 출처와 담당자 보완 규칙</w:t>
            </w:r>
          </w:p>
        </w:tc>
      </w:tr>
      <w:tr>
        <w:tc>
          <w:tcPr>
            <w:tcW w:type="dxa" w:w="2268"/>
            <w:vAlign w:val="center"/>
            <w:shd w:fill="E2F0D9"/>
          </w:tcPr>
          <w:p>
            <w:r/>
            <w:r>
              <w:rPr>
                <w:rFonts w:ascii="맑은 고딕" w:hAnsi="맑은 고딕" w:eastAsia="맑은 고딕"/>
                <w:b w:val="0"/>
                <w:color w:val="222222"/>
                <w:sz w:val="18"/>
              </w:rPr>
              <w:t>연결/접촉</w:t>
            </w:r>
          </w:p>
        </w:tc>
        <w:tc>
          <w:tcPr>
            <w:tcW w:type="dxa" w:w="6803"/>
            <w:vAlign w:val="center"/>
          </w:tcPr>
          <w:p>
            <w:r/>
            <w:r>
              <w:rPr>
                <w:rFonts w:ascii="맑은 고딕" w:hAnsi="맑은 고딕" w:eastAsia="맑은 고딕"/>
                <w:b w:val="0"/>
                <w:color w:val="222222"/>
                <w:sz w:val="18"/>
              </w:rPr>
              <w:t>연결 부품, 접촉·용접·볼트·체결 유형과 필수 파라미터</w:t>
            </w:r>
          </w:p>
        </w:tc>
      </w:tr>
      <w:tr>
        <w:tc>
          <w:tcPr>
            <w:tcW w:type="dxa" w:w="2268"/>
            <w:vAlign w:val="center"/>
            <w:shd w:fill="E2F0D9"/>
          </w:tcPr>
          <w:p>
            <w:r/>
            <w:r>
              <w:rPr>
                <w:rFonts w:ascii="맑은 고딕" w:hAnsi="맑은 고딕" w:eastAsia="맑은 고딕"/>
                <w:b w:val="0"/>
                <w:color w:val="222222"/>
                <w:sz w:val="18"/>
              </w:rPr>
              <w:t>구속</w:t>
            </w:r>
          </w:p>
        </w:tc>
        <w:tc>
          <w:tcPr>
            <w:tcW w:type="dxa" w:w="6803"/>
            <w:vAlign w:val="center"/>
          </w:tcPr>
          <w:p>
            <w:r/>
            <w:r>
              <w:rPr>
                <w:rFonts w:ascii="맑은 고딕" w:hAnsi="맑은 고딕" w:eastAsia="맑은 고딕"/>
                <w:b w:val="0"/>
                <w:color w:val="222222"/>
                <w:sz w:val="18"/>
              </w:rPr>
              <w:t>적용 위치, 제한 자유도, 좌표계와 실제 설치·지지 이유</w:t>
            </w:r>
          </w:p>
        </w:tc>
      </w:tr>
      <w:tr>
        <w:tc>
          <w:tcPr>
            <w:tcW w:type="dxa" w:w="2268"/>
            <w:vAlign w:val="center"/>
            <w:shd w:fill="E2F0D9"/>
          </w:tcPr>
          <w:p>
            <w:r/>
            <w:r>
              <w:rPr>
                <w:rFonts w:ascii="맑은 고딕" w:hAnsi="맑은 고딕" w:eastAsia="맑은 고딕"/>
                <w:b w:val="0"/>
                <w:color w:val="222222"/>
                <w:sz w:val="18"/>
              </w:rPr>
              <w:t>하중</w:t>
            </w:r>
          </w:p>
        </w:tc>
        <w:tc>
          <w:tcPr>
            <w:tcW w:type="dxa" w:w="6803"/>
            <w:vAlign w:val="center"/>
          </w:tcPr>
          <w:p>
            <w:r/>
            <w:r>
              <w:rPr>
                <w:rFonts w:ascii="맑은 고딕" w:hAnsi="맑은 고딕" w:eastAsia="맑은 고딕"/>
                <w:b w:val="0"/>
                <w:color w:val="222222"/>
                <w:sz w:val="18"/>
              </w:rPr>
              <w:t>종류, 크기, 단위, 방향, 작용 위치, 시간·주파수 의존성과 동시 적용 관계</w:t>
            </w:r>
          </w:p>
        </w:tc>
      </w:tr>
      <w:tr>
        <w:tc>
          <w:tcPr>
            <w:tcW w:type="dxa" w:w="2268"/>
            <w:vAlign w:val="center"/>
            <w:shd w:fill="E2F0D9"/>
          </w:tcPr>
          <w:p>
            <w:r/>
            <w:r>
              <w:rPr>
                <w:rFonts w:ascii="맑은 고딕" w:hAnsi="맑은 고딕" w:eastAsia="맑은 고딕"/>
                <w:b w:val="0"/>
                <w:color w:val="222222"/>
                <w:sz w:val="18"/>
              </w:rPr>
              <w:t>환경</w:t>
            </w:r>
          </w:p>
        </w:tc>
        <w:tc>
          <w:tcPr>
            <w:tcW w:type="dxa" w:w="6803"/>
            <w:vAlign w:val="center"/>
          </w:tcPr>
          <w:p>
            <w:r/>
            <w:r>
              <w:rPr>
                <w:rFonts w:ascii="맑은 고딕" w:hAnsi="맑은 고딕" w:eastAsia="맑은 고딕"/>
                <w:b w:val="0"/>
                <w:color w:val="222222"/>
                <w:sz w:val="18"/>
              </w:rPr>
              <w:t>온도, 중력 방향, 조립·설치 상태 등 해석유형별 필요 항목</w:t>
            </w:r>
          </w:p>
        </w:tc>
      </w:tr>
      <w:tr>
        <w:tc>
          <w:tcPr>
            <w:tcW w:type="dxa" w:w="2268"/>
            <w:vAlign w:val="center"/>
            <w:shd w:fill="E2F0D9"/>
          </w:tcPr>
          <w:p>
            <w:r/>
            <w:r>
              <w:rPr>
                <w:rFonts w:ascii="맑은 고딕" w:hAnsi="맑은 고딕" w:eastAsia="맑은 고딕"/>
                <w:b w:val="0"/>
                <w:color w:val="222222"/>
                <w:sz w:val="18"/>
              </w:rPr>
              <w:t>결과 요청</w:t>
            </w:r>
          </w:p>
        </w:tc>
        <w:tc>
          <w:tcPr>
            <w:tcW w:type="dxa" w:w="6803"/>
            <w:vAlign w:val="center"/>
          </w:tcPr>
          <w:p>
            <w:r/>
            <w:r>
              <w:rPr>
                <w:rFonts w:ascii="맑은 고딕" w:hAnsi="맑은 고딕" w:eastAsia="맑은 고딕"/>
                <w:b w:val="0"/>
                <w:color w:val="222222"/>
                <w:sz w:val="18"/>
              </w:rPr>
              <w:t>결과 종류, 확인 위치, 비교 대상, 허용 기준, 안전율 또는 합격 조건</w:t>
            </w:r>
          </w:p>
        </w:tc>
      </w:tr>
      <w:tr>
        <w:tc>
          <w:tcPr>
            <w:tcW w:type="dxa" w:w="2268"/>
            <w:vAlign w:val="center"/>
            <w:shd w:fill="E2F0D9"/>
          </w:tcPr>
          <w:p>
            <w:r/>
            <w:r>
              <w:rPr>
                <w:rFonts w:ascii="맑은 고딕" w:hAnsi="맑은 고딕" w:eastAsia="맑은 고딕"/>
                <w:b w:val="0"/>
                <w:color w:val="222222"/>
                <w:sz w:val="18"/>
              </w:rPr>
              <w:t>Case</w:t>
            </w:r>
          </w:p>
        </w:tc>
        <w:tc>
          <w:tcPr>
            <w:tcW w:type="dxa" w:w="6803"/>
            <w:vAlign w:val="center"/>
          </w:tcPr>
          <w:p>
            <w:r/>
            <w:r>
              <w:rPr>
                <w:rFonts w:ascii="맑은 고딕" w:hAnsi="맑은 고딕" w:eastAsia="맑은 고딕"/>
                <w:b w:val="0"/>
                <w:color w:val="222222"/>
                <w:sz w:val="18"/>
              </w:rPr>
              <w:t>구분 축, 동시 하중, 기본 Case, 금지·중복 조합, 기준 Case와 계수 입력 주체</w:t>
            </w:r>
          </w:p>
        </w:tc>
      </w:tr>
    </w:tbl>
    <w:p/>
    <w:p>
      <w:pPr>
        <w:pStyle w:val="Heading1"/>
      </w:pPr>
      <w:r>
        <w:t>5. 협업 방식</w:t>
      </w:r>
    </w:p>
    <w:p>
      <w:pPr>
        <w:pStyle w:val="ListBullet"/>
      </w:pPr>
      <w:r>
        <w:t>사전 회신: 후보 유형과 실제 사례를 먼저 공유합니다.</w:t>
      </w:r>
    </w:p>
    <w:p>
      <w:pPr>
        <w:pStyle w:val="ListBullet"/>
      </w:pPr>
      <w:r>
        <w:t>1차 워크숍: MVP 2~3종을 선정하고 대표 사례 한 건을 처음부터 끝까지 분해합니다.</w:t>
      </w:r>
    </w:p>
    <w:p>
      <w:pPr>
        <w:pStyle w:val="ListBullet"/>
      </w:pPr>
      <w:r>
        <w:t>개발자 초안: 사례를 Field Rule, 반복 객체, Case 규칙과 사용자 질문으로 변환합니다.</w:t>
      </w:r>
    </w:p>
    <w:p>
      <w:pPr>
        <w:pStyle w:val="ListBullet"/>
      </w:pPr>
      <w:r>
        <w:t>2차 워크숍: 필수·조건부·담당자 판단 항목과 예외를 확정합니다.</w:t>
      </w:r>
    </w:p>
    <w:p>
      <w:pPr>
        <w:pStyle w:val="ListBullet"/>
      </w:pPr>
      <w:r>
        <w:t>최종 검수: 유형별 3개 사례를 Master로 재현하고 무재문의 착수 가능 여부를 승인합니다.</w:t>
      </w:r>
    </w:p>
    <w:p>
      <w:pPr>
        <w:pStyle w:val="Heading1"/>
      </w:pPr>
      <w:r>
        <w:t>6. 구조 담당자에게 요청하지 않는 사항</w:t>
      </w:r>
    </w:p>
    <w:p>
      <w:r>
        <w:t>구조 담당자께 영문 필드 키, JSON, Python 또는 데이터베이스 구조 설계를 요청드리지 않습니다. 구조 담당자는 한글 업무 규칙을 확정하고 개발자가 시스템 구조로 변환합니다.</w:t>
      </w:r>
    </w:p>
    <w:p>
      <w:pPr>
        <w:pStyle w:val="ListBullet"/>
      </w:pPr>
      <w:r>
        <w:t>솔버 및 해석 코드 선택</w:t>
      </w:r>
    </w:p>
    <w:p>
      <w:pPr>
        <w:pStyle w:val="ListBullet"/>
      </w:pPr>
      <w:r>
        <w:t>요소 종류와 메시 크기</w:t>
      </w:r>
    </w:p>
    <w:p>
      <w:pPr>
        <w:pStyle w:val="ListBullet"/>
      </w:pPr>
      <w:r>
        <w:t>접촉 알고리즘의 수치 설정</w:t>
      </w:r>
    </w:p>
    <w:p>
      <w:pPr>
        <w:pStyle w:val="ListBullet"/>
      </w:pPr>
      <w:r>
        <w:t>비선형 증분과 수렴 설정</w:t>
      </w:r>
    </w:p>
    <w:p>
      <w:pPr>
        <w:pStyle w:val="ListBullet"/>
      </w:pPr>
      <w:r>
        <w:t>담당자가 표준 절차로 결정할 수 있는 기타 계산 제어값</w:t>
      </w:r>
    </w:p>
    <w:p>
      <w:pPr>
        <w:pStyle w:val="Heading1"/>
      </w:pPr>
      <w:r>
        <w:t>7. 승인 기준</w:t>
      </w:r>
    </w:p>
    <w:p>
      <w:pPr>
        <w:pStyle w:val="ListBullet"/>
      </w:pPr>
      <w:r>
        <w:t>MVP 유형마다 활성 입력 그룹과 필수·조건부 필드가 결정되어 있습니다.</w:t>
      </w:r>
    </w:p>
    <w:p>
      <w:pPr>
        <w:pStyle w:val="ListBullet"/>
      </w:pPr>
      <w:r>
        <w:t>재질·하중·구속·연결·결과 요청과 제품·부품·Case의 연결이 명확합니다.</w:t>
      </w:r>
    </w:p>
    <w:p>
      <w:pPr>
        <w:pStyle w:val="ListBullet"/>
      </w:pPr>
      <w:r>
        <w:t>사용자가 모르는 값을 입력했을 때 후속 질문 또는 담당자 이관 방식이 있습니다.</w:t>
      </w:r>
    </w:p>
    <w:p>
      <w:pPr>
        <w:pStyle w:val="ListBullet"/>
      </w:pPr>
      <w:r>
        <w:t>정상·다중 Case·정보 부족 사례가 승인된 Master로 재현됩니다.</w:t>
      </w:r>
    </w:p>
    <w:p>
      <w:pPr>
        <w:pStyle w:val="ListBullet"/>
      </w:pPr>
      <w:r>
        <w:t>구조 담당자가 추가 전화나 메일 없이 착수 여부를 판단할 수 있습니다.</w:t>
      </w:r>
    </w:p>
    <w:p>
      <w:pPr>
        <w:pStyle w:val="Heading1"/>
      </w:pPr>
      <w:r>
        <w:t>8. 회신 정보</w:t>
      </w:r>
    </w:p>
    <w:tbl>
      <w:tblPr>
        <w:tblStyle w:val="TableGrid"/>
        <w:tblW w:type="auto" w:w="0"/>
        <w:tblLook w:firstColumn="1" w:firstRow="1" w:lastColumn="0" w:lastRow="0" w:noHBand="0" w:noVBand="1" w:val="04A0"/>
      </w:tblPr>
      <w:tblGrid>
        <w:gridCol w:w="4986"/>
        <w:gridCol w:w="4986"/>
      </w:tblGrid>
      <w:tr>
        <w:tc>
          <w:tcPr>
            <w:tcW w:type="dxa" w:w="2835"/>
            <w:vAlign w:val="center"/>
            <w:shd w:fill="17324D"/>
          </w:tcPr>
          <w:p>
            <w:r/>
            <w:r>
              <w:rPr>
                <w:rFonts w:ascii="맑은 고딕" w:hAnsi="맑은 고딕" w:eastAsia="맑은 고딕"/>
                <w:b/>
                <w:color w:val="FFFFFF"/>
                <w:sz w:val="18"/>
              </w:rPr>
              <w:t>항목</w:t>
            </w:r>
          </w:p>
        </w:tc>
        <w:tc>
          <w:tcPr>
            <w:tcW w:type="dxa" w:w="6236"/>
            <w:vAlign w:val="center"/>
            <w:shd w:fill="17324D"/>
          </w:tcPr>
          <w:p>
            <w:r/>
            <w:r>
              <w:rPr>
                <w:rFonts w:ascii="맑은 고딕" w:hAnsi="맑은 고딕" w:eastAsia="맑은 고딕"/>
                <w:b/>
                <w:color w:val="FFFFFF"/>
                <w:sz w:val="18"/>
              </w:rPr>
              <w:t>회신</w:t>
            </w:r>
          </w:p>
        </w:tc>
      </w:tr>
      <w:tr>
        <w:tc>
          <w:tcPr>
            <w:tcW w:type="dxa" w:w="2835"/>
            <w:vAlign w:val="center"/>
            <w:shd w:fill="E2F0D9"/>
          </w:tcPr>
          <w:p>
            <w:r/>
            <w:r>
              <w:rPr>
                <w:rFonts w:ascii="맑은 고딕" w:hAnsi="맑은 고딕" w:eastAsia="맑은 고딕"/>
                <w:b w:val="0"/>
                <w:color w:val="222222"/>
                <w:sz w:val="18"/>
              </w:rPr>
              <w:t>구조해석 업무 담당자</w:t>
            </w:r>
          </w:p>
        </w:tc>
        <w:tc>
          <w:tcPr>
            <w:tcW w:type="dxa" w:w="6236"/>
            <w:vAlign w:val="center"/>
          </w:tcPr>
          <w:p>
            <w:r/>
            <w:r>
              <w:rPr>
                <w:rFonts w:ascii="맑은 고딕" w:hAnsi="맑은 고딕" w:eastAsia="맑은 고딕"/>
                <w:b w:val="0"/>
                <w:color w:val="222222"/>
                <w:sz w:val="18"/>
              </w:rPr>
            </w:r>
          </w:p>
        </w:tc>
      </w:tr>
      <w:tr>
        <w:tc>
          <w:tcPr>
            <w:tcW w:type="dxa" w:w="2835"/>
            <w:vAlign w:val="center"/>
            <w:shd w:fill="E2F0D9"/>
          </w:tcPr>
          <w:p>
            <w:r/>
            <w:r>
              <w:rPr>
                <w:rFonts w:ascii="맑은 고딕" w:hAnsi="맑은 고딕" w:eastAsia="맑은 고딕"/>
                <w:b w:val="0"/>
                <w:color w:val="222222"/>
                <w:sz w:val="18"/>
              </w:rPr>
              <w:t>Master 최종 승인자</w:t>
            </w:r>
          </w:p>
        </w:tc>
        <w:tc>
          <w:tcPr>
            <w:tcW w:type="dxa" w:w="6236"/>
            <w:vAlign w:val="center"/>
          </w:tcPr>
          <w:p>
            <w:r/>
            <w:r>
              <w:rPr>
                <w:rFonts w:ascii="맑은 고딕" w:hAnsi="맑은 고딕" w:eastAsia="맑은 고딕"/>
                <w:b w:val="0"/>
                <w:color w:val="222222"/>
                <w:sz w:val="18"/>
              </w:rPr>
            </w:r>
          </w:p>
        </w:tc>
      </w:tr>
      <w:tr>
        <w:tc>
          <w:tcPr>
            <w:tcW w:type="dxa" w:w="2835"/>
            <w:vAlign w:val="center"/>
            <w:shd w:fill="E2F0D9"/>
          </w:tcPr>
          <w:p>
            <w:r/>
            <w:r>
              <w:rPr>
                <w:rFonts w:ascii="맑은 고딕" w:hAnsi="맑은 고딕" w:eastAsia="맑은 고딕"/>
                <w:b w:val="0"/>
                <w:color w:val="222222"/>
                <w:sz w:val="18"/>
              </w:rPr>
              <w:t>1차 워크숍 가능 일정</w:t>
            </w:r>
          </w:p>
        </w:tc>
        <w:tc>
          <w:tcPr>
            <w:tcW w:type="dxa" w:w="6236"/>
            <w:vAlign w:val="center"/>
          </w:tcPr>
          <w:p>
            <w:r/>
            <w:r>
              <w:rPr>
                <w:rFonts w:ascii="맑은 고딕" w:hAnsi="맑은 고딕" w:eastAsia="맑은 고딕"/>
                <w:b w:val="0"/>
                <w:color w:val="222222"/>
                <w:sz w:val="18"/>
              </w:rPr>
            </w:r>
          </w:p>
        </w:tc>
      </w:tr>
      <w:tr>
        <w:tc>
          <w:tcPr>
            <w:tcW w:type="dxa" w:w="2835"/>
            <w:vAlign w:val="center"/>
            <w:shd w:fill="E2F0D9"/>
          </w:tcPr>
          <w:p>
            <w:r/>
            <w:r>
              <w:rPr>
                <w:rFonts w:ascii="맑은 고딕" w:hAnsi="맑은 고딕" w:eastAsia="맑은 고딕"/>
                <w:b w:val="0"/>
                <w:color w:val="222222"/>
                <w:sz w:val="18"/>
              </w:rPr>
              <w:t>보안·익명화 유의사항</w:t>
            </w:r>
          </w:p>
        </w:tc>
        <w:tc>
          <w:tcPr>
            <w:tcW w:type="dxa" w:w="6236"/>
            <w:vAlign w:val="center"/>
          </w:tcPr>
          <w:p>
            <w:r/>
            <w:r>
              <w:rPr>
                <w:rFonts w:ascii="맑은 고딕" w:hAnsi="맑은 고딕" w:eastAsia="맑은 고딕"/>
                <w:b w:val="0"/>
                <w:color w:val="222222"/>
                <w:sz w:val="18"/>
              </w:rPr>
            </w:r>
          </w:p>
        </w:tc>
      </w:tr>
      <w:tr>
        <w:tc>
          <w:tcPr>
            <w:tcW w:type="dxa" w:w="2835"/>
            <w:vAlign w:val="center"/>
            <w:shd w:fill="E2F0D9"/>
          </w:tcPr>
          <w:p>
            <w:r/>
            <w:r>
              <w:rPr>
                <w:rFonts w:ascii="맑은 고딕" w:hAnsi="맑은 고딕" w:eastAsia="맑은 고딕"/>
                <w:b w:val="0"/>
                <w:color w:val="222222"/>
                <w:sz w:val="18"/>
              </w:rPr>
              <w:t>기타 의견</w:t>
            </w:r>
          </w:p>
        </w:tc>
        <w:tc>
          <w:tcPr>
            <w:tcW w:type="dxa" w:w="6236"/>
            <w:vAlign w:val="center"/>
          </w:tcPr>
          <w:p>
            <w:r/>
            <w:r>
              <w:rPr>
                <w:rFonts w:ascii="맑은 고딕" w:hAnsi="맑은 고딕" w:eastAsia="맑은 고딕"/>
                <w:b w:val="0"/>
                <w:color w:val="222222"/>
                <w:sz w:val="18"/>
              </w:rPr>
            </w:r>
          </w:p>
        </w:tc>
      </w:tr>
    </w:tbl>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8" w:lineRule="auto"/>
    </w:pPr>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17324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17324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24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구조해석 담당자 정보요청서</dc:title>
  <dc:subject>h7_v0 구조해석 확장 사전 정보수집</dc:subject>
  <dc:creator>CAE Request Agent</dc:creator>
  <cp:keywords/>
  <dc:description>generated by python-docx</dc:description>
  <cp:lastModifiedBy/>
  <cp:revision>1</cp:revision>
  <dcterms:created xsi:type="dcterms:W3CDTF">2013-12-23T23:15:00Z</dcterms:created>
  <dcterms:modified xsi:type="dcterms:W3CDTF">2013-12-23T23:15:00Z</dcterms:modified>
  <cp:category/>
</cp:coreProperties>
</file>