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GB"/>
        </w:rPr>
      </w:pPr>
      <w:bookmarkStart w:id="0" w:name="_Toc155876008"/>
      <w:r>
        <w:rPr>
          <w:lang w:val="en-GB"/>
        </w:rPr>
        <w:t>Submission Cover Sheet</w:t>
      </w:r>
      <w:bookmarkEnd w:id="0"/>
    </w:p>
    <w:p>
      <w:pPr>
        <w:pStyle w:val="Normal"/>
        <w:rPr>
          <w:lang w:val="en-GB"/>
        </w:rPr>
      </w:pPr>
      <w:r>
        <w:rPr>
          <w:lang w:val="en-GB"/>
        </w:rPr>
      </w:r>
    </w:p>
    <w:p>
      <w:pPr>
        <w:pStyle w:val="Heading1"/>
        <w:numPr>
          <w:ilvl w:val="0"/>
          <w:numId w:val="1"/>
        </w:numPr>
        <w:ind w:hanging="0" w:start="0"/>
        <w:rPr>
          <w:lang w:val="en-GB"/>
        </w:rPr>
      </w:pPr>
      <w:bookmarkStart w:id="1" w:name="__RefHeading___Toc4629_3546879363"/>
      <w:bookmarkStart w:id="2" w:name="_Toc155876009"/>
      <w:bookmarkStart w:id="3" w:name="_Toc199754777"/>
      <w:bookmarkEnd w:id="1"/>
      <w:r>
        <w:rPr>
          <w:lang w:val="en-GB"/>
        </w:rPr>
        <w:t>Course Details</w:t>
      </w:r>
      <w:bookmarkEnd w:id="2"/>
      <w:bookmarkEnd w:id="3"/>
    </w:p>
    <w:p>
      <w:pPr>
        <w:pStyle w:val="Normal"/>
        <w:rPr>
          <w:lang w:val="en-GB"/>
        </w:rPr>
      </w:pPr>
      <w:r>
        <w:rPr>
          <w:lang w:val="en-GB"/>
        </w:rPr>
        <w:t xml:space="preserve">Title: </w:t>
        <w:tab/>
        <w:tab/>
        <w:t>Data Visualisation</w:t>
      </w:r>
    </w:p>
    <w:p>
      <w:pPr>
        <w:pStyle w:val="Normal"/>
        <w:rPr>
          <w:lang w:val="en-GB"/>
        </w:rPr>
      </w:pPr>
      <w:r>
        <w:rPr>
          <w:lang w:val="en-GB"/>
        </w:rPr>
        <w:t xml:space="preserve">Code: </w:t>
        <w:tab/>
        <w:tab/>
        <w:t>DAT5001 S2_25</w:t>
      </w:r>
    </w:p>
    <w:p>
      <w:pPr>
        <w:pStyle w:val="Normal"/>
        <w:rPr>
          <w:lang w:val="en-GB"/>
        </w:rPr>
      </w:pPr>
      <w:r>
        <w:rPr>
          <w:lang w:val="en-GB"/>
        </w:rPr>
        <w:t>Term:</w:t>
        <w:tab/>
        <w:tab/>
        <w:t>Autumn 2025</w:t>
      </w:r>
    </w:p>
    <w:p>
      <w:pPr>
        <w:pStyle w:val="Normal"/>
        <w:rPr>
          <w:lang w:val="en-GB"/>
        </w:rPr>
      </w:pPr>
      <w:r>
        <w:rPr>
          <w:lang w:val="en-GB"/>
        </w:rPr>
        <w:t>Assessment:</w:t>
        <w:tab/>
      </w:r>
      <w:r>
        <w:rPr>
          <w:b/>
          <w:bCs/>
          <w:lang w:val="en-GB"/>
        </w:rPr>
        <w:t>WRIT1</w:t>
      </w:r>
    </w:p>
    <w:p>
      <w:pPr>
        <w:pStyle w:val="Heading3"/>
        <w:numPr>
          <w:ilvl w:val="2"/>
          <w:numId w:val="1"/>
        </w:numPr>
        <w:ind w:hanging="0" w:start="0"/>
        <w:rPr>
          <w:lang w:val="en-GB"/>
        </w:rPr>
      </w:pPr>
      <w:r>
        <w:rPr>
          <w:lang w:val="en-GB"/>
        </w:rPr>
      </w:r>
    </w:p>
    <w:p>
      <w:pPr>
        <w:pStyle w:val="Heading1"/>
        <w:numPr>
          <w:ilvl w:val="0"/>
          <w:numId w:val="1"/>
        </w:numPr>
        <w:ind w:hanging="0" w:start="0"/>
        <w:rPr>
          <w:lang w:val="en-GB"/>
        </w:rPr>
      </w:pPr>
      <w:bookmarkStart w:id="4" w:name="__RefHeading___Toc4631_3546879363"/>
      <w:bookmarkStart w:id="5" w:name="_Toc199754778"/>
      <w:bookmarkEnd w:id="4"/>
      <w:r>
        <w:rPr>
          <w:lang w:val="en-GB"/>
        </w:rPr>
        <w:t>Student Details</w:t>
      </w:r>
      <w:bookmarkEnd w:id="5"/>
    </w:p>
    <w:p>
      <w:pPr>
        <w:pStyle w:val="Normal"/>
        <w:rPr>
          <w:lang w:val="en-GB"/>
        </w:rPr>
      </w:pPr>
      <w:r>
        <w:rPr>
          <w:lang w:val="en-GB"/>
        </w:rPr>
        <w:t xml:space="preserve">Tom Rowan </w:t>
        <w:tab/>
        <w:t xml:space="preserve">ST20285213 </w:t>
      </w:r>
    </w:p>
    <w:p>
      <w:pPr>
        <w:pStyle w:val="Normal"/>
        <w:rPr>
          <w:lang w:val="en-GB"/>
        </w:rPr>
      </w:pPr>
      <w:r>
        <w:rPr>
          <w:lang w:val="en-GB"/>
        </w:rPr>
      </w:r>
    </w:p>
    <w:p>
      <w:pPr>
        <w:pStyle w:val="Heading1"/>
        <w:numPr>
          <w:ilvl w:val="0"/>
          <w:numId w:val="1"/>
        </w:numPr>
        <w:ind w:hanging="0" w:start="0"/>
        <w:rPr>
          <w:lang w:val="en-GB"/>
        </w:rPr>
      </w:pPr>
      <w:bookmarkStart w:id="6" w:name="__RefHeading___Toc4633_3546879363"/>
      <w:bookmarkStart w:id="7" w:name="_Toc155876011"/>
      <w:bookmarkStart w:id="8" w:name="_Toc199754779"/>
      <w:bookmarkEnd w:id="6"/>
      <w:r>
        <w:rPr>
          <w:lang w:val="en-GB"/>
        </w:rPr>
        <w:t>Project Tutor</w:t>
      </w:r>
      <w:bookmarkEnd w:id="7"/>
      <w:bookmarkEnd w:id="8"/>
    </w:p>
    <w:p>
      <w:pPr>
        <w:pStyle w:val="Normal"/>
        <w:rPr>
          <w:lang w:val="en-GB"/>
        </w:rPr>
      </w:pPr>
      <w:r>
        <w:rPr>
          <w:lang w:val="en-GB"/>
        </w:rPr>
        <w:t>Dr. Imtiaz Khan</w:t>
      </w:r>
      <w:r>
        <w:br w:type="page"/>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Title"/>
        <w:rPr/>
      </w:pPr>
      <w:r>
        <w:rPr/>
        <w:t>From Launch to Litter: Orbital Overload</w:t>
      </w:r>
      <w:r>
        <w:br w:type="page"/>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629_3546879363">
            <w:r>
              <w:rPr>
                <w:rStyle w:val="IndexLink"/>
              </w:rPr>
              <w:t>Course Details</w:t>
              <w:tab/>
              <w:t>1</w:t>
            </w:r>
          </w:hyperlink>
        </w:p>
        <w:p>
          <w:pPr>
            <w:pStyle w:val="TOC1"/>
            <w:tabs>
              <w:tab w:val="clear" w:pos="9638"/>
              <w:tab w:val="right" w:pos="9637" w:leader="dot"/>
            </w:tabs>
            <w:rPr/>
          </w:pPr>
          <w:hyperlink w:anchor="__RefHeading___Toc4631_3546879363">
            <w:r>
              <w:rPr>
                <w:rStyle w:val="IndexLink"/>
              </w:rPr>
              <w:t>Student Details</w:t>
              <w:tab/>
              <w:t>1</w:t>
            </w:r>
          </w:hyperlink>
        </w:p>
        <w:p>
          <w:pPr>
            <w:pStyle w:val="TOC1"/>
            <w:tabs>
              <w:tab w:val="clear" w:pos="9638"/>
              <w:tab w:val="right" w:pos="9637" w:leader="dot"/>
            </w:tabs>
            <w:rPr/>
          </w:pPr>
          <w:hyperlink w:anchor="__RefHeading___Toc4633_3546879363">
            <w:r>
              <w:rPr>
                <w:rStyle w:val="IndexLink"/>
              </w:rPr>
              <w:t>Project Tutor</w:t>
              <w:tab/>
              <w:t>1</w:t>
            </w:r>
          </w:hyperlink>
        </w:p>
        <w:p>
          <w:pPr>
            <w:pStyle w:val="TOC1"/>
            <w:tabs>
              <w:tab w:val="clear" w:pos="9638"/>
              <w:tab w:val="right" w:pos="9637" w:leader="dot"/>
            </w:tabs>
            <w:rPr/>
          </w:pPr>
          <w:hyperlink w:anchor="__RefHeading___Toc1762_3613666628">
            <w:r>
              <w:rPr>
                <w:rStyle w:val="IndexLink"/>
              </w:rPr>
              <w:t>Part 1 - Introduction</w:t>
              <w:tab/>
              <w:t>4</w:t>
            </w:r>
          </w:hyperlink>
        </w:p>
        <w:p>
          <w:pPr>
            <w:pStyle w:val="TOC1"/>
            <w:tabs>
              <w:tab w:val="clear" w:pos="9638"/>
              <w:tab w:val="right" w:pos="9637" w:leader="dot"/>
            </w:tabs>
            <w:rPr/>
          </w:pPr>
          <w:hyperlink w:anchor="__RefHeading___Toc1764_3613666628">
            <w:r>
              <w:rPr>
                <w:rStyle w:val="IndexLink"/>
              </w:rPr>
              <w:t>Part 2 – Materials and Methods</w:t>
              <w:tab/>
              <w:t>6</w:t>
            </w:r>
          </w:hyperlink>
        </w:p>
        <w:p>
          <w:pPr>
            <w:pStyle w:val="TOC2"/>
            <w:tabs>
              <w:tab w:val="clear" w:pos="9355"/>
              <w:tab w:val="right" w:pos="9637" w:leader="dot"/>
            </w:tabs>
            <w:rPr/>
          </w:pPr>
          <w:hyperlink w:anchor="__RefHeading___Toc1766_3613666628">
            <w:r>
              <w:rPr>
                <w:rStyle w:val="IndexLink"/>
              </w:rPr>
              <w:t>Data Collection</w:t>
              <w:tab/>
              <w:t>6</w:t>
            </w:r>
          </w:hyperlink>
        </w:p>
        <w:p>
          <w:pPr>
            <w:pStyle w:val="TOC2"/>
            <w:tabs>
              <w:tab w:val="clear" w:pos="9355"/>
              <w:tab w:val="right" w:pos="9637" w:leader="dot"/>
            </w:tabs>
            <w:rPr/>
          </w:pPr>
          <w:hyperlink w:anchor="__RefHeading___Toc1768_3613666628">
            <w:r>
              <w:rPr>
                <w:rStyle w:val="IndexLink"/>
              </w:rPr>
              <w:t>Data Cleaning and Processing</w:t>
              <w:tab/>
              <w:t>7</w:t>
            </w:r>
          </w:hyperlink>
        </w:p>
        <w:p>
          <w:pPr>
            <w:pStyle w:val="TOC3"/>
            <w:tabs>
              <w:tab w:val="clear" w:pos="9071"/>
              <w:tab w:val="right" w:pos="9637" w:leader="dot"/>
            </w:tabs>
            <w:rPr/>
          </w:pPr>
          <w:hyperlink w:anchor="__RefHeading___Toc1770_3613666628">
            <w:r>
              <w:rPr>
                <w:rStyle w:val="IndexLink"/>
              </w:rPr>
              <w:t>Data Cleaning</w:t>
              <w:tab/>
              <w:t>7</w:t>
            </w:r>
          </w:hyperlink>
        </w:p>
        <w:p>
          <w:pPr>
            <w:pStyle w:val="TOC3"/>
            <w:tabs>
              <w:tab w:val="clear" w:pos="9071"/>
              <w:tab w:val="right" w:pos="9637" w:leader="dot"/>
            </w:tabs>
            <w:rPr/>
          </w:pPr>
          <w:hyperlink w:anchor="__RefHeading___Toc1772_3613666628">
            <w:r>
              <w:rPr>
                <w:rStyle w:val="IndexLink"/>
              </w:rPr>
              <w:t>Feature Engineering</w:t>
              <w:tab/>
              <w:t>8</w:t>
            </w:r>
          </w:hyperlink>
        </w:p>
        <w:p>
          <w:pPr>
            <w:pStyle w:val="TOC3"/>
            <w:tabs>
              <w:tab w:val="clear" w:pos="9071"/>
              <w:tab w:val="right" w:pos="9637" w:leader="dot"/>
            </w:tabs>
            <w:rPr/>
          </w:pPr>
          <w:hyperlink w:anchor="__RefHeading___Toc1774_3613666628">
            <w:r>
              <w:rPr>
                <w:rStyle w:val="IndexLink"/>
              </w:rPr>
              <w:t>Saved for Future Use</w:t>
              <w:tab/>
              <w:t>11</w:t>
            </w:r>
          </w:hyperlink>
        </w:p>
        <w:p>
          <w:pPr>
            <w:pStyle w:val="TOC2"/>
            <w:tabs>
              <w:tab w:val="clear" w:pos="9355"/>
              <w:tab w:val="right" w:pos="9637" w:leader="dot"/>
            </w:tabs>
            <w:rPr/>
          </w:pPr>
          <w:hyperlink w:anchor="__RefHeading___Toc1776_3613666628">
            <w:r>
              <w:rPr>
                <w:rStyle w:val="IndexLink"/>
              </w:rPr>
              <w:t>Design Principles and Tools</w:t>
              <w:tab/>
              <w:t>12</w:t>
            </w:r>
          </w:hyperlink>
        </w:p>
        <w:p>
          <w:pPr>
            <w:pStyle w:val="TOC3"/>
            <w:tabs>
              <w:tab w:val="clear" w:pos="9071"/>
              <w:tab w:val="right" w:pos="9637" w:leader="dot"/>
            </w:tabs>
            <w:rPr/>
          </w:pPr>
          <w:hyperlink w:anchor="__RefHeading___Toc4864_3613666628">
            <w:r>
              <w:rPr>
                <w:rStyle w:val="IndexLink"/>
              </w:rPr>
              <w:t>Tool Selection</w:t>
              <w:tab/>
              <w:t>12</w:t>
            </w:r>
          </w:hyperlink>
        </w:p>
        <w:p>
          <w:pPr>
            <w:pStyle w:val="TOC3"/>
            <w:tabs>
              <w:tab w:val="clear" w:pos="9071"/>
              <w:tab w:val="right" w:pos="9637" w:leader="dot"/>
            </w:tabs>
            <w:rPr/>
          </w:pPr>
          <w:hyperlink w:anchor="__RefHeading___Toc1778_3613666628">
            <w:r>
              <w:rPr>
                <w:rStyle w:val="IndexLink"/>
              </w:rPr>
              <w:t>Palette Selection</w:t>
              <w:tab/>
              <w:t>12</w:t>
            </w:r>
          </w:hyperlink>
        </w:p>
        <w:p>
          <w:pPr>
            <w:pStyle w:val="TOC2"/>
            <w:tabs>
              <w:tab w:val="clear" w:pos="9355"/>
              <w:tab w:val="right" w:pos="9637" w:leader="dot"/>
            </w:tabs>
            <w:rPr/>
          </w:pPr>
          <w:hyperlink w:anchor="__RefHeading___Toc1780_3613666628">
            <w:r>
              <w:rPr>
                <w:rStyle w:val="IndexLink"/>
              </w:rPr>
              <w:t>Chart Selection</w:t>
              <w:tab/>
              <w:t>13</w:t>
            </w:r>
          </w:hyperlink>
        </w:p>
        <w:p>
          <w:pPr>
            <w:pStyle w:val="TOC1"/>
            <w:tabs>
              <w:tab w:val="clear" w:pos="9638"/>
              <w:tab w:val="right" w:pos="9637" w:leader="dot"/>
            </w:tabs>
            <w:rPr/>
          </w:pPr>
          <w:hyperlink w:anchor="__RefHeading___Toc1782_3613666628">
            <w:r>
              <w:rPr>
                <w:rStyle w:val="IndexLink"/>
              </w:rPr>
              <w:t>Part 3 (Results) – From Launch to Litter</w:t>
              <w:tab/>
              <w:t>14</w:t>
            </w:r>
          </w:hyperlink>
        </w:p>
        <w:p>
          <w:pPr>
            <w:pStyle w:val="TOC2"/>
            <w:tabs>
              <w:tab w:val="clear" w:pos="9355"/>
              <w:tab w:val="right" w:pos="9637" w:leader="dot"/>
            </w:tabs>
            <w:rPr/>
          </w:pPr>
          <w:hyperlink w:anchor="__RefHeading___Toc1787_3613666628">
            <w:r>
              <w:rPr>
                <w:rStyle w:val="IndexLink"/>
              </w:rPr>
              <w:t>What is the current state of orbital congestion, and how has it evolved since space exploration began in the late 1950s?</w:t>
              <w:tab/>
              <w:t>14</w:t>
            </w:r>
          </w:hyperlink>
        </w:p>
        <w:p>
          <w:pPr>
            <w:pStyle w:val="TOC2"/>
            <w:tabs>
              <w:tab w:val="clear" w:pos="9355"/>
              <w:tab w:val="right" w:pos="9637" w:leader="dot"/>
            </w:tabs>
            <w:rPr/>
          </w:pPr>
          <w:hyperlink w:anchor="__RefHeading___Toc3793_3613666628">
            <w:r>
              <w:rPr>
                <w:rStyle w:val="IndexLink"/>
              </w:rPr>
              <w:t>What trends in satellite launches are driving the risk of Kessler Syndrome?</w:t>
              <w:tab/>
              <w:t>16</w:t>
            </w:r>
          </w:hyperlink>
        </w:p>
        <w:p>
          <w:pPr>
            <w:pStyle w:val="TOC2"/>
            <w:tabs>
              <w:tab w:val="clear" w:pos="9355"/>
              <w:tab w:val="right" w:pos="9637" w:leader="dot"/>
            </w:tabs>
            <w:rPr/>
          </w:pPr>
          <w:hyperlink w:anchor="__RefHeading___Toc3795_3613666628">
            <w:r>
              <w:rPr>
                <w:rStyle w:val="IndexLink"/>
              </w:rPr>
              <w:t>How do different nations and private firms contribute to orbital density?</w:t>
              <w:tab/>
              <w:t>18</w:t>
            </w:r>
          </w:hyperlink>
        </w:p>
        <w:p>
          <w:pPr>
            <w:pStyle w:val="TOC2"/>
            <w:tabs>
              <w:tab w:val="clear" w:pos="9355"/>
              <w:tab w:val="right" w:pos="9637" w:leader="dot"/>
            </w:tabs>
            <w:rPr/>
          </w:pPr>
          <w:hyperlink w:anchor="__RefHeading___Toc3797_3613666628">
            <w:r>
              <w:rPr>
                <w:rStyle w:val="IndexLink"/>
              </w:rPr>
              <w:t>What mitigation strategies are feasible, and what barriers exist to implementation?</w:t>
              <w:tab/>
              <w:t>20</w:t>
            </w:r>
          </w:hyperlink>
        </w:p>
        <w:p>
          <w:pPr>
            <w:pStyle w:val="TOC1"/>
            <w:tabs>
              <w:tab w:val="clear" w:pos="9638"/>
              <w:tab w:val="right" w:pos="9637" w:leader="dot"/>
            </w:tabs>
            <w:rPr/>
          </w:pPr>
          <w:hyperlink w:anchor="__RefHeading___Toc1784_3613666628">
            <w:r>
              <w:rPr>
                <w:rStyle w:val="IndexLink"/>
              </w:rPr>
              <w:t>References:</w:t>
              <w:tab/>
              <w:t>23</w:t>
            </w:r>
          </w:hyperlink>
          <w:r>
            <w:rPr>
              <w:rStyle w:val="IndexLink"/>
            </w:rPr>
            <w:fldChar w:fldCharType="end"/>
          </w:r>
        </w:p>
      </w:sdtContent>
    </w:sdt>
    <w:p>
      <w:pPr>
        <w:pStyle w:val="Heading1"/>
        <w:widowControl/>
        <w:numPr>
          <w:ilvl w:val="0"/>
          <w:numId w:val="0"/>
        </w:numPr>
        <w:suppressAutoHyphens w:val="true"/>
        <w:ind w:hanging="0" w:start="0"/>
        <w:jc w:val="start"/>
        <w:rPr>
          <w:lang w:val="en-GB"/>
        </w:rPr>
      </w:pPr>
      <w:r>
        <w:rPr>
          <w:lang w:val="en-GB"/>
        </w:rPr>
      </w:r>
      <w:r>
        <w:br w:type="page"/>
      </w:r>
    </w:p>
    <w:p>
      <w:pPr>
        <w:pStyle w:val="Heading1"/>
        <w:numPr>
          <w:ilvl w:val="0"/>
          <w:numId w:val="1"/>
        </w:numPr>
        <w:spacing w:before="0" w:after="120"/>
        <w:ind w:hanging="0" w:start="0"/>
        <w:rPr>
          <w:lang w:val="en-GB"/>
        </w:rPr>
      </w:pPr>
      <w:bookmarkStart w:id="9" w:name="__RefHeading___Toc1762_3613666628"/>
      <w:bookmarkEnd w:id="9"/>
      <w:r>
        <w:rPr>
          <w:lang w:val="en-GB"/>
        </w:rPr>
        <w:t>Part 1 - Introduction</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The Space Age began in 1957 with the successful launch and entry into orbit of </w:t>
      </w:r>
      <w:r>
        <w:rPr>
          <w:rStyle w:val="Emphasis"/>
          <w:rFonts w:eastAsia="Arial" w:cs="Arial" w:ascii="Nimbus Sans" w:hAnsi="Nimbus Sans"/>
          <w:i w:val="false"/>
          <w:iCs w:val="false"/>
          <w:kern w:val="0"/>
          <w:sz w:val="24"/>
          <w:szCs w:val="24"/>
          <w:lang w:val="en-GB" w:eastAsia="en-US" w:bidi="ar-SA"/>
        </w:rPr>
        <w:t>Sputnik-1 by the USSR.</w:t>
      </w:r>
      <w:r>
        <w:rPr>
          <w:rFonts w:eastAsia="Arial" w:cs="Arial" w:ascii="Nimbus Sans" w:hAnsi="Nimbus Sans"/>
          <w:kern w:val="0"/>
          <w:sz w:val="24"/>
          <w:szCs w:val="24"/>
          <w:lang w:val="en-GB" w:eastAsia="en-US" w:bidi="ar-SA"/>
        </w:rPr>
        <w:t xml:space="preserve">  In the subsequent sixty-eight years, space technology has become an essential part of modern life. From GPS navigation to weather forecasting, communications, defence, Earth imaging and scientific exploration, satellites underpin much of our daily existence. This report discusses a growing existential threat to these uses of space technology to support our way of life. </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Earth’s orbit has become increasingly congested with satellites, rocket stages, and debris fragments of past missions. While a large number of these objects decay naturally over time or are purposefully caused to re-enter the atmosphere, a huge number remain in orbit many years after launch. </w:t>
      </w:r>
      <w:r>
        <w:rPr>
          <w:rStyle w:val="Strong"/>
          <w:rFonts w:eastAsia="Arial" w:cs="Arial" w:ascii="Nimbus Sans" w:hAnsi="Nimbus Sans"/>
          <w:b w:val="false"/>
          <w:bCs w:val="false"/>
          <w:kern w:val="0"/>
          <w:sz w:val="24"/>
          <w:szCs w:val="24"/>
          <w:lang w:val="en-GB" w:eastAsia="en-US" w:bidi="ar-SA"/>
        </w:rPr>
        <w:t>Even small fragments as tiny as a paint fleck can damage spacecraft travelling at orbital speeds of 7–8 km/s.</w:t>
      </w:r>
    </w:p>
    <w:p>
      <w:pPr>
        <w:pStyle w:val="Normal"/>
        <w:widowControl/>
        <w:bidi w:val="0"/>
        <w:spacing w:before="0" w:after="0"/>
        <w:jc w:val="both"/>
        <w:rPr>
          <w:rFonts w:eastAsia="Arial" w:cs="Arial"/>
          <w:kern w:val="0"/>
          <w:lang w:val="en-GB" w:eastAsia="en-US" w:bidi="ar-SA"/>
        </w:rPr>
      </w:pPr>
      <w:r>
        <w:rPr>
          <w:rFonts w:eastAsia="Arial" w:cs="Arial"/>
          <w:kern w:val="0"/>
          <w:lang w:val="en-GB" w:eastAsia="en-US" w:bidi="ar-SA"/>
        </w:rPr>
      </w:r>
    </w:p>
    <w:p>
      <w:pPr>
        <w:pStyle w:val="Normal"/>
        <w:widowControl/>
        <w:bidi w:val="0"/>
        <w:spacing w:before="0" w:after="0"/>
        <w:jc w:val="both"/>
        <w:rPr/>
      </w:pPr>
      <w:r>
        <w:rPr>
          <w:rFonts w:eastAsia="Arial" w:cs="Arial" w:ascii="Nimbus Sans" w:hAnsi="Nimbus Sans"/>
          <w:kern w:val="0"/>
          <w:sz w:val="24"/>
          <w:szCs w:val="24"/>
          <w:lang w:val="en-GB" w:eastAsia="en-US" w:bidi="ar-SA"/>
        </w:rPr>
        <w:t>The congestion in orbit means that collisions already occur between objects.  As the number of objects in orbit continues to grow, there is an increased chance that occasional collisions will happen.</w:t>
      </w:r>
      <w:r>
        <w:rPr>
          <w:rStyle w:val="Strong"/>
          <w:rFonts w:eastAsia="Arial" w:cs="Arial" w:ascii="Nimbus Sans" w:hAnsi="Nimbus Sans"/>
          <w:b w:val="false"/>
          <w:bCs w:val="false"/>
          <w:kern w:val="0"/>
          <w:sz w:val="24"/>
          <w:szCs w:val="24"/>
          <w:lang w:val="en-GB" w:eastAsia="en-US" w:bidi="ar-SA"/>
        </w:rPr>
        <w:t xml:space="preserve"> Each impact generates more fragments, in turn increasing the likelihood of additional collisions. The most severe accident so far is the 2009 collision between Iridium 33 and Cosmos 2251, which generated more than 1800 pieces of debris (Johnson 2013).</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Fonts w:eastAsia="Arial" w:cs="Arial" w:ascii="Nimbus Sans" w:hAnsi="Nimbus Sans"/>
          <w:b w:val="false"/>
          <w:bCs w:val="false"/>
          <w:kern w:val="0"/>
          <w:sz w:val="24"/>
          <w:szCs w:val="24"/>
          <w:lang w:val="en-GB" w:eastAsia="en-US" w:bidi="ar-SA"/>
        </w:rPr>
        <w:t xml:space="preserve">In 1978, </w:t>
      </w:r>
      <w:r>
        <w:rPr>
          <w:rStyle w:val="Strong"/>
          <w:rFonts w:eastAsia="Arial" w:cs="Arial" w:ascii="Nimbus Sans" w:hAnsi="Nimbus Sans"/>
          <w:b w:val="false"/>
          <w:bCs w:val="false"/>
          <w:kern w:val="0"/>
          <w:sz w:val="24"/>
          <w:szCs w:val="24"/>
          <w:lang w:val="en-GB" w:eastAsia="en-US" w:bidi="ar-SA"/>
        </w:rPr>
        <w:t>Donald J. Kessler</w:t>
      </w:r>
      <w:r>
        <w:rPr>
          <w:rFonts w:eastAsia="Arial" w:cs="Arial" w:ascii="Nimbus Sans" w:hAnsi="Nimbus Sans"/>
          <w:b w:val="false"/>
          <w:bCs w:val="false"/>
          <w:kern w:val="0"/>
          <w:sz w:val="24"/>
          <w:szCs w:val="24"/>
          <w:lang w:val="en-GB" w:eastAsia="en-US" w:bidi="ar-SA"/>
        </w:rPr>
        <w:t xml:space="preserve"> and </w:t>
      </w:r>
      <w:r>
        <w:rPr>
          <w:rStyle w:val="Strong"/>
          <w:rFonts w:eastAsia="Arial" w:cs="Arial" w:ascii="Nimbus Sans" w:hAnsi="Nimbus Sans"/>
          <w:b w:val="false"/>
          <w:bCs w:val="false"/>
          <w:kern w:val="0"/>
          <w:sz w:val="24"/>
          <w:szCs w:val="24"/>
          <w:lang w:val="en-GB" w:eastAsia="en-US" w:bidi="ar-SA"/>
        </w:rPr>
        <w:t xml:space="preserve">Burton G. Cour-Palais authored a paper (Kessler 1978) which describes a scenario whereby the density of objects in Low Earth Orbit (LEO) reaches a tipping point. </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 xml:space="preserve">Under this model, collisions between objects become a cascade, creating a debris cloud and causing more and more objects to collide until and all satellite payloads have been destroyed. A Low Earth Orbit devoid of useable safe orbits would be catastrophic for modern civilisation; the resultant debris could last many generations. </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While catastrophic cascading has not yet occurred, incidents such as Iridium-Cosmos demonstrate that the risk is real. The 2013 film “Gravity” depicts a Kessler cascade, which destroys most satellites, the International Space Station (ISS) and kills nearly everyone in orbit. (**Cite)</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ascii="Nimbus Sans" w:hAnsi="Nimbus Sans"/>
          <w:sz w:val="24"/>
          <w:szCs w:val="24"/>
          <w:lang w:val="en-GB"/>
        </w:rPr>
        <w:t>This report will answer the following questions:</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numPr>
          <w:ilvl w:val="0"/>
          <w:numId w:val="3"/>
        </w:numPr>
        <w:bidi w:val="0"/>
        <w:spacing w:before="0" w:after="0"/>
        <w:jc w:val="both"/>
        <w:rPr>
          <w:lang w:val="en-GB"/>
        </w:rPr>
      </w:pPr>
      <w:r>
        <w:rPr>
          <w:rFonts w:ascii="Nimbus Sans" w:hAnsi="Nimbus Sans"/>
          <w:sz w:val="24"/>
          <w:szCs w:val="24"/>
          <w:lang w:val="en-GB"/>
        </w:rPr>
        <w:t>What is the current state of orbital congestion, and how has it evolved since space exploration began in the late 1950s?</w:t>
      </w:r>
    </w:p>
    <w:p>
      <w:pPr>
        <w:pStyle w:val="Normal"/>
        <w:widowControl/>
        <w:numPr>
          <w:ilvl w:val="0"/>
          <w:numId w:val="3"/>
        </w:numPr>
        <w:bidi w:val="0"/>
        <w:spacing w:before="0" w:after="0"/>
        <w:jc w:val="both"/>
        <w:rPr>
          <w:lang w:val="en-GB"/>
        </w:rPr>
      </w:pPr>
      <w:r>
        <w:rPr>
          <w:rFonts w:ascii="Nimbus Sans" w:hAnsi="Nimbus Sans"/>
          <w:sz w:val="24"/>
          <w:szCs w:val="24"/>
          <w:lang w:val="en-GB"/>
        </w:rPr>
        <w:t>What trends in satellite launches are driving the risk of Kessler Syndrome?</w:t>
      </w:r>
    </w:p>
    <w:p>
      <w:pPr>
        <w:pStyle w:val="Normal"/>
        <w:widowControl/>
        <w:numPr>
          <w:ilvl w:val="0"/>
          <w:numId w:val="3"/>
        </w:numPr>
        <w:bidi w:val="0"/>
        <w:spacing w:before="0" w:after="0"/>
        <w:jc w:val="both"/>
        <w:rPr>
          <w:lang w:val="en-GB"/>
        </w:rPr>
      </w:pPr>
      <w:r>
        <w:rPr>
          <w:rFonts w:ascii="Nimbus Sans" w:hAnsi="Nimbus Sans"/>
          <w:sz w:val="24"/>
          <w:szCs w:val="24"/>
          <w:lang w:val="en-GB"/>
        </w:rPr>
        <w:t>How do different nations and private firms contribute to orbital density?</w:t>
      </w:r>
    </w:p>
    <w:p>
      <w:pPr>
        <w:pStyle w:val="Normal"/>
        <w:widowControl/>
        <w:numPr>
          <w:ilvl w:val="0"/>
          <w:numId w:val="3"/>
        </w:numPr>
        <w:bidi w:val="0"/>
        <w:spacing w:before="0" w:after="0"/>
        <w:jc w:val="both"/>
        <w:rPr>
          <w:lang w:val="en-GB"/>
        </w:rPr>
      </w:pPr>
      <w:r>
        <w:rPr>
          <w:rFonts w:ascii="Nimbus Sans" w:hAnsi="Nimbus Sans"/>
          <w:sz w:val="24"/>
          <w:szCs w:val="24"/>
          <w:lang w:val="en-GB"/>
        </w:rPr>
        <w:t>What mitigation strategies are feasible, and what barriers exist to implementation?</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ascii="Nimbus Sans" w:hAnsi="Nimbus Sans"/>
          <w:sz w:val="24"/>
          <w:szCs w:val="24"/>
          <w:lang w:val="en-GB"/>
        </w:rPr>
        <w:t xml:space="preserve">The hypothesis is that without coordinated international regulation, and active debris removal, orbital congestion will reach a tipping point within the next few decades. To test this assertion, this report will </w:t>
      </w:r>
      <w:r>
        <w:rPr>
          <w:rFonts w:ascii="Nimbus Sans" w:hAnsi="Nimbus Sans"/>
          <w:sz w:val="24"/>
          <w:szCs w:val="24"/>
          <w:lang w:val="en-GB" w:eastAsia="zh-CN" w:bidi="hi-IN"/>
        </w:rPr>
        <w:t>analyse</w:t>
      </w:r>
      <w:r>
        <w:rPr>
          <w:rFonts w:ascii="Nimbus Sans" w:hAnsi="Nimbus Sans"/>
          <w:sz w:val="24"/>
          <w:szCs w:val="24"/>
          <w:lang w:val="en-GB"/>
        </w:rPr>
        <w:t xml:space="preserve"> available</w:t>
      </w:r>
      <w:r>
        <w:rPr>
          <w:rFonts w:ascii="Nimbus Sans" w:hAnsi="Nimbus Sans"/>
          <w:sz w:val="24"/>
          <w:szCs w:val="24"/>
          <w:lang w:val="en-GB" w:eastAsia="zh-CN" w:bidi="hi-IN"/>
        </w:rPr>
        <w:t xml:space="preserve"> </w:t>
      </w:r>
      <w:r>
        <w:rPr>
          <w:rFonts w:ascii="Nimbus Sans" w:hAnsi="Nimbus Sans"/>
          <w:sz w:val="24"/>
          <w:szCs w:val="24"/>
          <w:lang w:val="en-GB"/>
        </w:rPr>
        <w:t xml:space="preserve">data on objects that are in orbit, along with launch trends to assess the likelihood and potential impact of Kessler Syndrome. </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tabs>
          <w:tab w:val="clear" w:pos="709"/>
          <w:tab w:val="left" w:pos="1980" w:leader="none"/>
        </w:tabs>
        <w:bidi w:val="0"/>
        <w:spacing w:before="0" w:after="0"/>
        <w:jc w:val="both"/>
        <w:rPr>
          <w:lang w:val="en-GB"/>
        </w:rPr>
      </w:pPr>
      <w:r>
        <w:rPr>
          <w:rFonts w:eastAsia="Arial" w:cs="Arial" w:ascii="Nimbus Sans" w:hAnsi="Nimbus Sans"/>
          <w:kern w:val="0"/>
          <w:sz w:val="24"/>
          <w:szCs w:val="24"/>
          <w:lang w:val="en-GB" w:eastAsia="en-US" w:bidi="ar-SA"/>
        </w:rPr>
        <w:t xml:space="preserve">This report seeks to contextualize the Kessler Syndrome not as a distant theoretical risk, but as an imminent challenge shaped by seven decades of satellite launches and accelerating commercial activity. </w:t>
      </w:r>
    </w:p>
    <w:p>
      <w:pPr>
        <w:pStyle w:val="Normal"/>
        <w:widowControl/>
        <w:tabs>
          <w:tab w:val="clear" w:pos="709"/>
          <w:tab w:val="left" w:pos="1980" w:leader="none"/>
        </w:tabs>
        <w:bidi w:val="0"/>
        <w:spacing w:before="0" w:after="0"/>
        <w:jc w:val="both"/>
        <w:rPr>
          <w:rFonts w:eastAsia="Arial" w:cs="Arial"/>
          <w:kern w:val="0"/>
          <w:lang w:val="en-GB" w:eastAsia="en-US" w:bidi="ar-SA"/>
        </w:rPr>
      </w:pPr>
      <w:r>
        <w:rPr>
          <w:rFonts w:eastAsia="Arial" w:cs="Arial"/>
          <w:kern w:val="0"/>
          <w:lang w:val="en-GB" w:eastAsia="en-US" w:bidi="ar-SA"/>
        </w:rPr>
      </w:r>
    </w:p>
    <w:p>
      <w:pPr>
        <w:pStyle w:val="Normal"/>
        <w:widowControl/>
        <w:tabs>
          <w:tab w:val="clear" w:pos="709"/>
          <w:tab w:val="left" w:pos="1980" w:leader="none"/>
        </w:tabs>
        <w:bidi w:val="0"/>
        <w:spacing w:before="0" w:after="0"/>
        <w:jc w:val="both"/>
        <w:rPr>
          <w:lang w:val="en-GB"/>
        </w:rPr>
      </w:pPr>
      <w:r>
        <w:rPr>
          <w:rFonts w:eastAsia="Arial" w:cs="Arial" w:ascii="Nimbus Sans" w:hAnsi="Nimbus Sans"/>
          <w:kern w:val="0"/>
          <w:sz w:val="24"/>
          <w:szCs w:val="24"/>
          <w:lang w:val="en-GB" w:eastAsia="en-US" w:bidi="ar-SA"/>
        </w:rPr>
        <w:t>By examining orbital conditions, launch trends, and mitigation strategies, the report aims to provide a comprehensive understanding of the issue. The ultimate goal is to highlight the necessity of international cooperation and technological innovation to ensure that Earth’s orbital environment remains a sustainable resource.</w:t>
      </w:r>
    </w:p>
    <w:p>
      <w:pPr>
        <w:pStyle w:val="Normal"/>
        <w:widowControl/>
        <w:tabs>
          <w:tab w:val="clear" w:pos="709"/>
          <w:tab w:val="left" w:pos="1980" w:leader="none"/>
        </w:tabs>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tabs>
          <w:tab w:val="clear" w:pos="709"/>
          <w:tab w:val="left" w:pos="1980" w:leader="none"/>
        </w:tabs>
        <w:bidi w:val="0"/>
        <w:spacing w:before="0" w:after="0"/>
        <w:jc w:val="both"/>
        <w:rPr>
          <w:rFonts w:eastAsia="Arial" w:cs="Arial"/>
          <w:color w:val="C9211E"/>
          <w:kern w:val="0"/>
          <w:lang w:val="en-GB" w:eastAsia="en-US" w:bidi="ar-SA"/>
        </w:rPr>
      </w:pPr>
      <w:r>
        <w:rPr>
          <w:rFonts w:eastAsia="Arial" w:cs="Arial"/>
          <w:color w:val="C9211E"/>
          <w:kern w:val="0"/>
          <w:lang w:val="en-GB" w:eastAsia="en-US" w:bidi="ar-SA"/>
        </w:rPr>
        <w:t>(approx 500 words)</w:t>
      </w:r>
      <w:r>
        <w:br w:type="page"/>
      </w:r>
    </w:p>
    <w:p>
      <w:pPr>
        <w:pStyle w:val="Heading1"/>
        <w:numPr>
          <w:ilvl w:val="0"/>
          <w:numId w:val="1"/>
        </w:numPr>
        <w:spacing w:before="0" w:after="120"/>
        <w:ind w:hanging="0" w:start="0"/>
        <w:rPr>
          <w:lang w:val="en-GB"/>
        </w:rPr>
      </w:pPr>
      <w:bookmarkStart w:id="10" w:name="__RefHeading___Toc1764_3613666628"/>
      <w:bookmarkEnd w:id="10"/>
      <w:r>
        <w:rPr>
          <w:lang w:val="en-GB"/>
        </w:rPr>
        <w:t>Part 2 – Materials and Methods</w:t>
      </w:r>
    </w:p>
    <w:p>
      <w:pPr>
        <w:pStyle w:val="Heading2"/>
        <w:numPr>
          <w:ilvl w:val="1"/>
          <w:numId w:val="1"/>
        </w:numPr>
        <w:ind w:hanging="0" w:start="0"/>
        <w:rPr>
          <w:lang w:val="en-GB"/>
        </w:rPr>
      </w:pPr>
      <w:bookmarkStart w:id="11" w:name="__RefHeading___Toc1766_3613666628"/>
      <w:bookmarkEnd w:id="11"/>
      <w:r>
        <w:rPr>
          <w:lang w:val="en-GB"/>
        </w:rPr>
        <w:t>Data Collection</w:t>
      </w:r>
    </w:p>
    <w:p>
      <w:pPr>
        <w:pStyle w:val="Normal"/>
        <w:widowControl/>
        <w:bidi w:val="0"/>
        <w:spacing w:before="0" w:after="0"/>
        <w:jc w:val="both"/>
        <w:rPr>
          <w:lang w:val="en-GB"/>
        </w:rPr>
      </w:pPr>
      <w:r>
        <w:rPr>
          <w:rFonts w:cs="Arial" w:ascii="Nimbus Sans" w:hAnsi="Nimbus Sans"/>
          <w:sz w:val="24"/>
          <w:szCs w:val="24"/>
          <w:lang w:val="en-GB"/>
        </w:rPr>
        <w:t xml:space="preserve">To answer these questions, it was necessary to obtain and prepare a suitable dataset. </w:t>
      </w:r>
      <w:r>
        <w:rPr>
          <w:rFonts w:eastAsia="Arial" w:cs="Arial" w:ascii="Nimbus Sans" w:hAnsi="Nimbus Sans"/>
          <w:kern w:val="0"/>
          <w:sz w:val="24"/>
          <w:szCs w:val="24"/>
          <w:lang w:val="en-GB" w:eastAsia="en-US" w:bidi="ar-SA"/>
        </w:rPr>
        <w:t>Finding complete and free data sources regarding satellites initially proved to be more challenging than expected. Simple searches for “satellite datasets” tend to return samples taken by optical imaging satellites for machine learning purposes.</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The obvious start place to search for this data was the NASA website. NASA appear to have once provided a dataset that looks to have been very useful called the National Space Science Master Catalog (NASA NMC 2025?) but this web resource is no longer responding to requests.  This was the case from both a UK and USA based IP address. NASA funding has been reduced (Luscombe 2025) and this may have had some impact on web services provided. </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A search uncovered the Union of Concerned Scientists Satellite Database, which was last updated in May 2023, covering 7,560 satellites. This data was downloaded and an exploratory analysis carried out. 28 data points are offered per satellite – such as mass, apogee and operator - but crucially there is no re-entry date recorded. Moreover, the dataset only covers satellite payloads, not debris or other objects. (UCS 2023). </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The n2yo.com website offers live tracking data for satellites. It has regularly updated database of around 66,000 satellite payloads from Sputnik 1 until today. There is also a free API key available to registered users. As the API is intended to give access to live tracking it is strictly rate-limited. </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pPr>
      <w:r>
        <w:rPr>
          <w:rFonts w:eastAsia="Arial" w:cs="Arial" w:ascii="Nimbus Sans" w:hAnsi="Nimbus Sans"/>
          <w:kern w:val="0"/>
          <w:sz w:val="24"/>
          <w:szCs w:val="24"/>
          <w:lang w:val="en-GB" w:eastAsia="en-US" w:bidi="ar-SA"/>
        </w:rPr>
        <w:t xml:space="preserve">It would be possible to scrape data from the website, as the URL structure makes this a simple process, for example: </w:t>
      </w:r>
      <w:r>
        <w:rPr>
          <w:rStyle w:val="Hyperlink"/>
          <w:rFonts w:eastAsia="Arial" w:cs="Arial" w:ascii="Nimbus Sans" w:hAnsi="Nimbus Sans"/>
          <w:color w:val="000000"/>
          <w:kern w:val="0"/>
          <w:sz w:val="24"/>
          <w:szCs w:val="24"/>
          <w:u w:val="none"/>
          <w:lang w:val="en-GB" w:eastAsia="en-US" w:bidi="ar-SA"/>
        </w:rPr>
        <w:t>https://www.n2yo.com/satellite/?s=66645.</w:t>
      </w:r>
      <w:r>
        <w:rPr>
          <w:rFonts w:eastAsia="Arial" w:cs="Arial" w:ascii="Nimbus Sans" w:hAnsi="Nimbus Sans"/>
          <w:kern w:val="0"/>
          <w:sz w:val="24"/>
          <w:szCs w:val="24"/>
          <w:lang w:val="en-GB" w:eastAsia="en-US" w:bidi="ar-SA"/>
        </w:rPr>
        <w:t xml:space="preserve"> Python code to achieve this was written using the “requests” and “BeautifulSoup” libraries and tested against a small number of pages. However, collecting a complete dataset would have required making tens of thousands of GET requests. Every access to a website costs money in terms of processing and bandwidth costs, and this could be considered unethical, especially as the site survives through donations. Furthermore, the database on this website also covers only satellite payloads.</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An article on the n2yo.com website led to a free database of tracked orbital objects that is updated daily. It is maintained by Jonathan McDowell who works for the Harvard-Smithsonian Center for Astrophysics. It appears to be curated as part of his work, and partly as a hobby and is released under the Creative Commons CC-BY licence. (McDowell 2019). This dataset contains data on debris, satellite payloads and other objects. It provides over forty data points on each object. Secondary datasets are also available providing details about space related organisations and launch sites among others. This dataset was chosen to support this report.</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As well as suitable datasets, news reports showing instances when fragments of space debris have caused issues for satellites, space craft and humans in space were sought in order to anchor the issue in reality. In the time-frame of this project, there has been an instance of three Chinese taikonauts being stranded one the Tiangong space station due to debris striking their return capsule (Livescience 2025). </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color w:val="FF4000"/>
          <w:lang w:val="en-GB"/>
        </w:rPr>
      </w:pPr>
      <w:r>
        <w:rPr>
          <w:rFonts w:eastAsia="Arial" w:cs="Arial" w:ascii="Nimbus Sans" w:hAnsi="Nimbus Sans"/>
          <w:color w:val="FF4000"/>
          <w:kern w:val="0"/>
          <w:sz w:val="24"/>
          <w:szCs w:val="24"/>
          <w:lang w:val="en-GB" w:eastAsia="en-US" w:bidi="ar-SA"/>
        </w:rPr>
        <w:t>Approx 508 words.</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Heading2"/>
        <w:numPr>
          <w:ilvl w:val="1"/>
          <w:numId w:val="1"/>
        </w:numPr>
        <w:spacing w:before="0" w:after="120"/>
        <w:ind w:hanging="0" w:start="0"/>
        <w:rPr>
          <w:lang w:val="en-GB"/>
        </w:rPr>
      </w:pPr>
      <w:bookmarkStart w:id="12" w:name="__RefHeading___Toc1768_3613666628"/>
      <w:bookmarkEnd w:id="12"/>
      <w:r>
        <w:rPr>
          <w:lang w:val="en-GB"/>
        </w:rPr>
        <w:t>Data Cleaning and Processing</w:t>
      </w:r>
    </w:p>
    <w:p>
      <w:pPr>
        <w:pStyle w:val="Normal"/>
        <w:widowControl/>
        <w:bidi w:val="0"/>
        <w:spacing w:before="0" w:after="0"/>
        <w:jc w:val="both"/>
        <w:rPr>
          <w:lang w:val="en-GB"/>
        </w:rPr>
      </w:pPr>
      <w:r>
        <w:rPr>
          <w:rFonts w:cs="Arial" w:ascii="Nimbus Sans" w:hAnsi="Nimbus Sans"/>
          <w:sz w:val="24"/>
          <w:szCs w:val="24"/>
          <w:lang w:val="en-GB"/>
        </w:rPr>
        <w:t>The McDowell dataset</w:t>
      </w:r>
      <w:r>
        <w:rPr>
          <w:rFonts w:eastAsia="Arial" w:cs="Arial" w:ascii="Nimbus Sans" w:hAnsi="Nimbus Sans"/>
          <w:kern w:val="0"/>
          <w:sz w:val="24"/>
          <w:szCs w:val="24"/>
          <w:lang w:val="en-GB" w:eastAsia="en-US" w:bidi="ar-SA"/>
        </w:rPr>
        <w:t xml:space="preserve"> is split into a number of databases, provided as tab separated files. The documentation for the datasets is very detailed and provided as an over four thousand page PDF file: https://www.planet4589.org/space/gcat/pdf/doc.pdf. From the large selection available, a number were selected for use. Initial exploration of the datasets revealed the information in the following table:</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tbl>
      <w:tblPr>
        <w:tblW w:w="9602" w:type="dxa"/>
        <w:jc w:val="start"/>
        <w:tblInd w:w="-5" w:type="dxa"/>
        <w:tblLayout w:type="fixed"/>
        <w:tblCellMar>
          <w:top w:w="55" w:type="dxa"/>
          <w:start w:w="55" w:type="dxa"/>
          <w:bottom w:w="55" w:type="dxa"/>
          <w:end w:w="55" w:type="dxa"/>
        </w:tblCellMar>
      </w:tblPr>
      <w:tblGrid>
        <w:gridCol w:w="1795"/>
        <w:gridCol w:w="5369"/>
        <w:gridCol w:w="1175"/>
        <w:gridCol w:w="1262"/>
      </w:tblGrid>
      <w:tr>
        <w:trPr/>
        <w:tc>
          <w:tcPr>
            <w:tcW w:w="1795" w:type="dxa"/>
            <w:tcBorders>
              <w:top w:val="single" w:sz="4" w:space="0" w:color="000000"/>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Database</w:t>
            </w:r>
          </w:p>
        </w:tc>
        <w:tc>
          <w:tcPr>
            <w:tcW w:w="5369" w:type="dxa"/>
            <w:tcBorders>
              <w:top w:val="single" w:sz="4" w:space="0" w:color="000000"/>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ascii="Nimbus Sans" w:hAnsi="Nimbus Sans"/>
                <w:sz w:val="24"/>
                <w:szCs w:val="24"/>
                <w:lang w:val="en-GB"/>
              </w:rPr>
              <w:t>Purpose</w:t>
            </w:r>
          </w:p>
        </w:tc>
        <w:tc>
          <w:tcPr>
            <w:tcW w:w="1175" w:type="dxa"/>
            <w:tcBorders>
              <w:top w:val="single" w:sz="4" w:space="0" w:color="000000"/>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Columns</w:t>
            </w:r>
          </w:p>
        </w:tc>
        <w:tc>
          <w:tcPr>
            <w:tcW w:w="1262" w:type="dxa"/>
            <w:tcBorders>
              <w:top w:val="single" w:sz="4" w:space="0" w:color="000000"/>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Rows</w:t>
            </w:r>
          </w:p>
        </w:tc>
      </w:tr>
      <w:tr>
        <w:trPr/>
        <w:tc>
          <w:tcPr>
            <w:tcW w:w="1795"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Satcat</w:t>
            </w:r>
          </w:p>
        </w:tc>
        <w:tc>
          <w:tcPr>
            <w:tcW w:w="5369"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Detail on the launch and initial state of objects.</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42</w:t>
            </w:r>
          </w:p>
        </w:tc>
        <w:tc>
          <w:tcPr>
            <w:tcW w:w="1262"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66,650</w:t>
            </w:r>
          </w:p>
        </w:tc>
      </w:tr>
      <w:tr>
        <w:trPr/>
        <w:tc>
          <w:tcPr>
            <w:tcW w:w="1795"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Events</w:t>
            </w:r>
          </w:p>
        </w:tc>
        <w:tc>
          <w:tcPr>
            <w:tcW w:w="5369"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Subsequent changes to object status.</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42</w:t>
            </w:r>
          </w:p>
        </w:tc>
        <w:tc>
          <w:tcPr>
            <w:tcW w:w="1262"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7,345</w:t>
            </w:r>
          </w:p>
        </w:tc>
      </w:tr>
      <w:tr>
        <w:trPr/>
        <w:tc>
          <w:tcPr>
            <w:tcW w:w="1795"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Payloads</w:t>
            </w:r>
          </w:p>
        </w:tc>
        <w:tc>
          <w:tcPr>
            <w:tcW w:w="5369"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Additional information on satellite payloads.</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28</w:t>
            </w:r>
          </w:p>
        </w:tc>
        <w:tc>
          <w:tcPr>
            <w:tcW w:w="1262"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24,724</w:t>
            </w:r>
          </w:p>
        </w:tc>
      </w:tr>
      <w:tr>
        <w:trPr/>
        <w:tc>
          <w:tcPr>
            <w:tcW w:w="1795"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Launch Site</w:t>
            </w:r>
          </w:p>
        </w:tc>
        <w:tc>
          <w:tcPr>
            <w:tcW w:w="5369"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Details of launch sites, including latitude and longitude.</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17</w:t>
            </w:r>
          </w:p>
        </w:tc>
        <w:tc>
          <w:tcPr>
            <w:tcW w:w="1262"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3,968</w:t>
            </w:r>
          </w:p>
        </w:tc>
      </w:tr>
      <w:tr>
        <w:trPr/>
        <w:tc>
          <w:tcPr>
            <w:tcW w:w="1795" w:type="dxa"/>
            <w:tcBorders>
              <w:start w:val="single" w:sz="4" w:space="0" w:color="000000"/>
              <w:bottom w:val="single" w:sz="4" w:space="0" w:color="000000"/>
            </w:tcBorders>
          </w:tcPr>
          <w:p>
            <w:pPr>
              <w:pStyle w:val="TableContents"/>
              <w:bidi w:val="0"/>
              <w:jc w:val="both"/>
              <w:rPr>
                <w:rFonts w:ascii="Nimbus Sans" w:hAnsi="Nimbus Sans"/>
                <w:sz w:val="24"/>
                <w:szCs w:val="24"/>
                <w:lang w:val="en-GB"/>
              </w:rPr>
            </w:pPr>
            <w:r>
              <w:rPr>
                <w:rFonts w:eastAsia="Arial" w:ascii="Nimbus Sans" w:hAnsi="Nimbus Sans"/>
                <w:sz w:val="24"/>
                <w:szCs w:val="24"/>
                <w:lang w:val="en-GB"/>
              </w:rPr>
              <w:t>Organisations</w:t>
            </w:r>
          </w:p>
        </w:tc>
        <w:tc>
          <w:tcPr>
            <w:tcW w:w="5369" w:type="dxa"/>
            <w:tcBorders>
              <w:start w:val="single" w:sz="4" w:space="0" w:color="000000"/>
              <w:bottom w:val="single" w:sz="4" w:space="0" w:color="000000"/>
            </w:tcBorders>
          </w:tcPr>
          <w:p>
            <w:pPr>
              <w:pStyle w:val="Normal"/>
              <w:widowControl/>
              <w:bidi w:val="0"/>
              <w:spacing w:before="0" w:after="0"/>
              <w:jc w:val="both"/>
              <w:rPr>
                <w:rFonts w:ascii="Nimbus Sans" w:hAnsi="Nimbus Sans"/>
                <w:sz w:val="24"/>
                <w:szCs w:val="24"/>
                <w:lang w:val="en-GB"/>
              </w:rPr>
            </w:pPr>
            <w:r>
              <w:rPr>
                <w:rFonts w:eastAsia="Arial" w:cs="Arial" w:ascii="Nimbus Sans" w:hAnsi="Nimbus Sans"/>
                <w:kern w:val="0"/>
                <w:sz w:val="24"/>
                <w:szCs w:val="24"/>
                <w:lang w:val="en-GB" w:eastAsia="en-US" w:bidi="ar-SA"/>
              </w:rPr>
              <w:t>Data on all related organisations, such as manufacturers and users of satellites. Includes latitude and longitude.</w:t>
            </w:r>
          </w:p>
        </w:tc>
        <w:tc>
          <w:tcPr>
            <w:tcW w:w="1175" w:type="dxa"/>
            <w:tcBorders>
              <w:start w:val="single" w:sz="4" w:space="0" w:color="000000"/>
              <w:bottom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18</w:t>
            </w:r>
          </w:p>
        </w:tc>
        <w:tc>
          <w:tcPr>
            <w:tcW w:w="1262" w:type="dxa"/>
            <w:tcBorders>
              <w:start w:val="single" w:sz="4" w:space="0" w:color="000000"/>
              <w:bottom w:val="single" w:sz="4" w:space="0" w:color="000000"/>
              <w:end w:val="single" w:sz="4" w:space="0" w:color="000000"/>
            </w:tcBorders>
          </w:tcPr>
          <w:p>
            <w:pPr>
              <w:pStyle w:val="TableContents"/>
              <w:bidi w:val="0"/>
              <w:jc w:val="center"/>
              <w:rPr>
                <w:rFonts w:ascii="Nimbus Sans" w:hAnsi="Nimbus Sans"/>
                <w:sz w:val="24"/>
                <w:szCs w:val="24"/>
                <w:lang w:val="en-GB"/>
              </w:rPr>
            </w:pPr>
            <w:r>
              <w:rPr>
                <w:rFonts w:eastAsia="Arial" w:ascii="Nimbus Sans" w:hAnsi="Nimbus Sans"/>
                <w:sz w:val="24"/>
                <w:szCs w:val="24"/>
                <w:lang w:val="en-GB"/>
              </w:rPr>
              <w:t>707</w:t>
            </w:r>
          </w:p>
        </w:tc>
      </w:tr>
    </w:tbl>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eastAsia="Arial" w:ascii="Nimbus Sans" w:hAnsi="Nimbus Sans"/>
          <w:kern w:val="0"/>
          <w:sz w:val="24"/>
          <w:szCs w:val="24"/>
          <w:lang w:val="en-GB" w:eastAsia="en-US" w:bidi="ar-SA"/>
        </w:rPr>
        <w:t>These figures are correct on 26</w:t>
      </w:r>
      <w:r>
        <w:rPr>
          <w:rFonts w:eastAsia="Arial" w:ascii="Nimbus Sans" w:hAnsi="Nimbus Sans"/>
          <w:kern w:val="0"/>
          <w:sz w:val="24"/>
          <w:szCs w:val="24"/>
          <w:vertAlign w:val="superscript"/>
          <w:lang w:val="en-GB" w:eastAsia="en-US" w:bidi="ar-SA"/>
        </w:rPr>
        <w:t>th</w:t>
      </w:r>
      <w:r>
        <w:rPr>
          <w:rFonts w:eastAsia="Arial" w:ascii="Nimbus Sans" w:hAnsi="Nimbus Sans"/>
          <w:kern w:val="0"/>
          <w:sz w:val="24"/>
          <w:szCs w:val="24"/>
          <w:lang w:val="en-GB" w:eastAsia="en-US" w:bidi="ar-SA"/>
        </w:rPr>
        <w:t xml:space="preserve"> November 2025, although these grow daily with new launches or re-entry events.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Initially, these databases were downloaded from the website and loaded in to individual pandas data frames. This allows for manipulation using python in Jupyter notebooks. The aim was to create a single combined dataset useful to answer the questions. </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Heading3"/>
        <w:numPr>
          <w:ilvl w:val="2"/>
          <w:numId w:val="1"/>
        </w:numPr>
        <w:ind w:hanging="0" w:start="0"/>
        <w:rPr>
          <w:lang w:val="en-GB"/>
        </w:rPr>
      </w:pPr>
      <w:bookmarkStart w:id="13" w:name="__RefHeading___Toc1770_3613666628"/>
      <w:bookmarkEnd w:id="13"/>
      <w:r>
        <w:rPr>
          <w:lang w:val="en-GB"/>
        </w:rPr>
        <w:t>Data Cleaning</w:t>
      </w:r>
    </w:p>
    <w:p>
      <w:pPr>
        <w:pStyle w:val="Normal"/>
        <w:widowControl/>
        <w:bidi w:val="0"/>
        <w:spacing w:before="0" w:after="0"/>
        <w:jc w:val="both"/>
        <w:rPr>
          <w:lang w:val="en-GB"/>
        </w:rPr>
      </w:pPr>
      <w:r>
        <w:rPr>
          <w:rFonts w:cs="Arial" w:ascii="Nimbus Sans" w:hAnsi="Nimbus Sans"/>
          <w:sz w:val="24"/>
          <w:szCs w:val="24"/>
          <w:lang w:val="en-GB"/>
        </w:rPr>
        <w:t xml:space="preserve">The datasets were found to contain many columns that were not useful for this report. These were removed from each database as required. Then the remaining columns were renamed </w:t>
      </w:r>
      <w:r>
        <w:rPr>
          <w:rFonts w:eastAsia="Arial" w:cs="Arial" w:ascii="Nimbus Sans" w:hAnsi="Nimbus Sans"/>
          <w:kern w:val="0"/>
          <w:sz w:val="24"/>
          <w:szCs w:val="24"/>
          <w:lang w:val="en-GB" w:eastAsia="en-US" w:bidi="ar-SA"/>
        </w:rPr>
        <w:t>to make them more readable and self-explanatory to future users of the dataset.</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In all datasets, the dates were found to have been entered inconsistently. For example, some entries were only dates, some had date and time values; unknown dates were referenced as ‘-’ or ‘?’. These were cleaned to date only values, and Null values used to replace unknown dates. Any objects without a known launch date were dropped. Finally, dates were converted to the standard UK format (Day/Month/Year).</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It was not possible to drop large numbers of rows where there was missing data because most rows had sufficient data to nonetheless make their inclusion in the study useful. Therefore, prior to creating a graph of a given feature, care was taken to remove or mask Null values for that feature from a filtered dataset.</w:t>
      </w:r>
    </w:p>
    <w:p>
      <w:pPr>
        <w:pStyle w:val="Heading3"/>
        <w:numPr>
          <w:ilvl w:val="2"/>
          <w:numId w:val="1"/>
        </w:numPr>
        <w:ind w:hanging="0" w:start="0"/>
        <w:rPr>
          <w:lang w:val="en-GB"/>
        </w:rPr>
      </w:pPr>
      <w:bookmarkStart w:id="14" w:name="__RefHeading___Toc1772_3613666628"/>
      <w:bookmarkEnd w:id="14"/>
      <w:r>
        <w:rPr>
          <w:lang w:val="en-GB"/>
        </w:rPr>
        <w:t>Feature Engineering</w:t>
      </w:r>
    </w:p>
    <w:p>
      <w:pPr>
        <w:pStyle w:val="Normal"/>
        <w:widowControl/>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Each dataset was assessed individually to ascertain which features could be derived or added to aid analysis, or to make drawing graphs and charts more effective.</w:t>
      </w:r>
    </w:p>
    <w:p>
      <w:pPr>
        <w:pStyle w:val="Normal"/>
        <w:widowControl/>
        <w:bidi w:val="0"/>
        <w:spacing w:before="0" w:after="0"/>
        <w:jc w:val="both"/>
        <w:rPr>
          <w:rFonts w:ascii="Nimbus Sans" w:hAnsi="Nimbus Sans" w:eastAsia="Arial" w:cs="Arial"/>
          <w:b/>
          <w:bCs/>
          <w:kern w:val="0"/>
          <w:sz w:val="24"/>
          <w:szCs w:val="24"/>
          <w:lang w:eastAsia="en-US" w:bidi="ar-SA"/>
        </w:rPr>
      </w:pPr>
      <w:r>
        <w:rPr>
          <w:rFonts w:eastAsia="Arial" w:cs="Arial" w:ascii="Nimbus Sans" w:hAnsi="Nimbus Sans"/>
          <w:b/>
          <w:bCs/>
          <w:kern w:val="0"/>
          <w:sz w:val="24"/>
          <w:szCs w:val="24"/>
          <w:lang w:eastAsia="en-US" w:bidi="ar-SA"/>
        </w:rPr>
      </w:r>
    </w:p>
    <w:p>
      <w:pPr>
        <w:pStyle w:val="Normal"/>
        <w:widowControl/>
        <w:bidi w:val="0"/>
        <w:spacing w:before="0" w:after="0"/>
        <w:jc w:val="both"/>
        <w:rPr>
          <w:lang w:val="en-GB"/>
        </w:rPr>
      </w:pPr>
      <w:r>
        <w:rPr>
          <w:rFonts w:eastAsia="Arial" w:cs="Arial" w:ascii="Nimbus Sans" w:hAnsi="Nimbus Sans"/>
          <w:b/>
          <w:bCs/>
          <w:kern w:val="0"/>
          <w:sz w:val="24"/>
          <w:szCs w:val="24"/>
          <w:lang w:val="en-GB" w:eastAsia="en-US" w:bidi="ar-SA"/>
        </w:rPr>
        <w:t>In Orbit</w:t>
      </w:r>
    </w:p>
    <w:p>
      <w:pPr>
        <w:pStyle w:val="Normal"/>
        <w:widowControl/>
        <w:bidi w:val="0"/>
        <w:spacing w:before="0" w:after="0"/>
        <w:jc w:val="both"/>
        <w:rPr>
          <w:lang w:val="en-GB"/>
        </w:rPr>
      </w:pPr>
      <w:r>
        <w:rPr>
          <w:rFonts w:eastAsia="Arial" w:cs="Arial" w:ascii="Nimbus Sans" w:hAnsi="Nimbus Sans"/>
          <w:b w:val="false"/>
          <w:bCs w:val="false"/>
          <w:kern w:val="0"/>
          <w:sz w:val="24"/>
          <w:szCs w:val="24"/>
          <w:lang w:val="en-GB" w:eastAsia="en-US" w:bidi="ar-SA"/>
        </w:rPr>
        <w:t xml:space="preserve">One of the most important features to generate was a reliable boolean flag to confirm whether the object is still in orbit or not. Some of the objects in the Satcat database are marked with a “Decay Date”. This can be taken to reference that the object is not longer in orbit. However, there are a significant number where there is no value recorded. </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b w:val="false"/>
          <w:bCs w:val="false"/>
          <w:kern w:val="0"/>
          <w:sz w:val="24"/>
          <w:szCs w:val="24"/>
          <w:lang w:val="en-GB" w:eastAsia="en-US" w:bidi="ar-SA"/>
        </w:rPr>
        <w:t>The Status column provides more useful data. A</w:t>
      </w:r>
      <w:r>
        <w:rPr>
          <w:rFonts w:eastAsia="Arial" w:cs="Arial" w:ascii="Nimbus Sans" w:hAnsi="Nimbus Sans"/>
          <w:kern w:val="0"/>
          <w:sz w:val="24"/>
          <w:szCs w:val="24"/>
          <w:lang w:val="en-GB" w:eastAsia="en-US" w:bidi="ar-SA"/>
        </w:rPr>
        <w:t>ccording to the creator of the original datasets: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ind w:hanging="0" w:start="709"/>
        <w:jc w:val="both"/>
        <w:rPr>
          <w:lang w:val="en-GB"/>
        </w:rPr>
      </w:pPr>
      <w:r>
        <w:rPr>
          <w:rFonts w:eastAsia="Arial" w:cs="Arial" w:ascii="Nimbus Sans" w:hAnsi="Nimbus Sans"/>
          <w:i/>
          <w:iCs/>
          <w:kern w:val="0"/>
          <w:sz w:val="24"/>
          <w:szCs w:val="24"/>
          <w:lang w:val="en-GB" w:eastAsia="en-US" w:bidi="ar-SA"/>
        </w:rPr>
        <w:t>“</w:t>
      </w:r>
      <w:r>
        <w:rPr>
          <w:rFonts w:eastAsia="Arial" w:cs="Arial" w:ascii="Nimbus Sans" w:hAnsi="Nimbus Sans"/>
          <w:i/>
          <w:iCs/>
          <w:kern w:val="0"/>
          <w:sz w:val="24"/>
          <w:szCs w:val="24"/>
          <w:lang w:val="en-GB" w:eastAsia="en-US" w:bidi="ar-SA"/>
        </w:rPr>
        <w:t>An artificial space object … can be in one of the following object states:</w:t>
      </w:r>
    </w:p>
    <w:p>
      <w:pPr>
        <w:pStyle w:val="Normal"/>
        <w:widowControl/>
        <w:bidi w:val="0"/>
        <w:spacing w:before="0" w:after="0"/>
        <w:ind w:hanging="0" w:start="709"/>
        <w:jc w:val="both"/>
        <w:rPr>
          <w:rFonts w:ascii="Nimbus Sans" w:hAnsi="Nimbus Sans" w:cs="Arial"/>
          <w:i/>
          <w:i/>
          <w:iCs/>
          <w:sz w:val="24"/>
          <w:szCs w:val="24"/>
          <w:lang w:val="en-GB"/>
        </w:rPr>
      </w:pPr>
      <w:r>
        <w:rPr>
          <w:rFonts w:cs="Arial" w:ascii="Nimbus Sans" w:hAnsi="Nimbus Sans"/>
          <w:i/>
          <w:iCs/>
          <w:sz w:val="24"/>
          <w:szCs w:val="24"/>
          <w:lang w:val="en-GB"/>
        </w:rPr>
      </w:r>
    </w:p>
    <w:p>
      <w:pPr>
        <w:pStyle w:val="Normal"/>
        <w:widowControl/>
        <w:numPr>
          <w:ilvl w:val="0"/>
          <w:numId w:val="2"/>
        </w:numPr>
        <w:bidi w:val="0"/>
        <w:spacing w:before="0" w:after="0"/>
        <w:ind w:hanging="360" w:start="1418"/>
        <w:jc w:val="both"/>
        <w:rPr>
          <w:lang w:val="en-GB"/>
        </w:rPr>
      </w:pPr>
      <w:r>
        <w:rPr>
          <w:rFonts w:eastAsia="Arial" w:cs="Arial" w:ascii="Nimbus Sans" w:hAnsi="Nimbus Sans"/>
          <w:i/>
          <w:iCs/>
          <w:kern w:val="0"/>
          <w:sz w:val="24"/>
          <w:szCs w:val="24"/>
          <w:lang w:val="en-GB" w:eastAsia="en-US" w:bidi="ar-SA"/>
        </w:rPr>
        <w:t>Attached to another object</w:t>
      </w:r>
    </w:p>
    <w:p>
      <w:pPr>
        <w:pStyle w:val="Normal"/>
        <w:widowControl/>
        <w:numPr>
          <w:ilvl w:val="0"/>
          <w:numId w:val="2"/>
        </w:numPr>
        <w:bidi w:val="0"/>
        <w:spacing w:before="0" w:after="0"/>
        <w:ind w:hanging="360" w:start="1418"/>
        <w:jc w:val="both"/>
        <w:rPr>
          <w:lang w:val="en-GB"/>
        </w:rPr>
      </w:pPr>
      <w:r>
        <w:rPr>
          <w:rFonts w:eastAsia="Arial" w:cs="Arial" w:ascii="Nimbus Sans" w:hAnsi="Nimbus Sans"/>
          <w:i/>
          <w:iCs/>
          <w:kern w:val="0"/>
          <w:sz w:val="24"/>
          <w:szCs w:val="24"/>
          <w:lang w:val="en-GB" w:eastAsia="en-US" w:bidi="ar-SA"/>
        </w:rPr>
        <w:t>In free flight in the gravitational field of a world or astronomical body</w:t>
      </w:r>
    </w:p>
    <w:p>
      <w:pPr>
        <w:pStyle w:val="Normal"/>
        <w:widowControl/>
        <w:numPr>
          <w:ilvl w:val="0"/>
          <w:numId w:val="2"/>
        </w:numPr>
        <w:bidi w:val="0"/>
        <w:spacing w:before="0" w:after="0"/>
        <w:ind w:hanging="360" w:start="1418"/>
        <w:jc w:val="both"/>
        <w:rPr>
          <w:lang w:val="en-GB"/>
        </w:rPr>
      </w:pPr>
      <w:r>
        <w:rPr>
          <w:rFonts w:eastAsia="Arial" w:cs="Arial" w:ascii="Nimbus Sans" w:hAnsi="Nimbus Sans"/>
          <w:i/>
          <w:iCs/>
          <w:kern w:val="0"/>
          <w:sz w:val="24"/>
          <w:szCs w:val="24"/>
          <w:lang w:val="en-GB" w:eastAsia="en-US" w:bidi="ar-SA"/>
        </w:rPr>
        <w:t>On the surface of an astronomical body</w:t>
      </w:r>
    </w:p>
    <w:p>
      <w:pPr>
        <w:pStyle w:val="Normal"/>
        <w:widowControl/>
        <w:numPr>
          <w:ilvl w:val="0"/>
          <w:numId w:val="2"/>
        </w:numPr>
        <w:bidi w:val="0"/>
        <w:spacing w:before="0" w:after="0"/>
        <w:ind w:hanging="360" w:start="1418"/>
        <w:jc w:val="both"/>
        <w:rPr>
          <w:lang w:val="en-GB"/>
        </w:rPr>
      </w:pPr>
      <w:r>
        <w:rPr>
          <w:rFonts w:eastAsia="Arial" w:cs="Arial" w:ascii="Nimbus Sans" w:hAnsi="Nimbus Sans"/>
          <w:i/>
          <w:iCs/>
          <w:kern w:val="0"/>
          <w:sz w:val="24"/>
          <w:szCs w:val="24"/>
          <w:lang w:val="en-GB" w:eastAsia="en-US" w:bidi="ar-SA"/>
        </w:rPr>
        <w:t>Destroyed (in a collision, explosion or by burnup in atmospheric entry).</w:t>
      </w:r>
    </w:p>
    <w:p>
      <w:pPr>
        <w:pStyle w:val="Normal"/>
        <w:widowControl/>
        <w:bidi w:val="0"/>
        <w:spacing w:before="0" w:after="0"/>
        <w:ind w:hanging="0" w:start="709"/>
        <w:jc w:val="both"/>
        <w:rPr>
          <w:rFonts w:ascii="Nimbus Sans" w:hAnsi="Nimbus Sans" w:cs="Arial"/>
          <w:i/>
          <w:i/>
          <w:iCs/>
          <w:sz w:val="24"/>
          <w:szCs w:val="24"/>
          <w:lang w:val="en-GB"/>
        </w:rPr>
      </w:pPr>
      <w:r>
        <w:rPr>
          <w:rFonts w:cs="Arial" w:ascii="Nimbus Sans" w:hAnsi="Nimbus Sans"/>
          <w:i/>
          <w:iCs/>
          <w:sz w:val="24"/>
          <w:szCs w:val="24"/>
          <w:lang w:val="en-GB"/>
        </w:rPr>
      </w:r>
    </w:p>
    <w:p>
      <w:pPr>
        <w:pStyle w:val="Normal"/>
        <w:widowControl/>
        <w:bidi w:val="0"/>
        <w:spacing w:before="0" w:after="0"/>
        <w:ind w:hanging="0" w:start="709"/>
        <w:jc w:val="both"/>
        <w:rPr>
          <w:lang w:val="en-GB"/>
        </w:rPr>
      </w:pPr>
      <w:r>
        <w:rPr>
          <w:rFonts w:eastAsia="Arial" w:ascii="Nimbus Sans" w:hAnsi="Nimbus Sans"/>
          <w:i/>
          <w:iCs/>
          <w:kern w:val="0"/>
          <w:sz w:val="24"/>
          <w:szCs w:val="24"/>
          <w:lang w:val="en-GB" w:eastAsia="en-US" w:bidi="ar-SA"/>
        </w:rPr>
        <w:t>Each time the object transitions to another state (undocks, is attached to something, reenters, changes which body it is orbiting, etc.) marks the beginning or end of a phase. Most objects in GCAT have only a single phase - they separate from an object (launch vehicle) and then are either still in free flight or have re-entered. However, some objects go through many phases.</w:t>
      </w:r>
    </w:p>
    <w:p>
      <w:pPr>
        <w:pStyle w:val="Normal"/>
        <w:widowControl/>
        <w:bidi w:val="0"/>
        <w:spacing w:before="0" w:after="0"/>
        <w:ind w:hanging="0" w:start="709"/>
        <w:jc w:val="both"/>
        <w:rPr>
          <w:rFonts w:ascii="Nimbus Sans" w:hAnsi="Nimbus Sans" w:cs="Arial"/>
          <w:i/>
          <w:i/>
          <w:iCs/>
          <w:sz w:val="24"/>
          <w:szCs w:val="24"/>
          <w:lang w:val="en-GB"/>
        </w:rPr>
      </w:pPr>
      <w:r>
        <w:rPr>
          <w:rFonts w:cs="Arial" w:ascii="Nimbus Sans" w:hAnsi="Nimbus Sans"/>
          <w:i/>
          <w:iCs/>
          <w:sz w:val="24"/>
          <w:szCs w:val="24"/>
          <w:lang w:val="en-GB"/>
        </w:rPr>
      </w:r>
    </w:p>
    <w:p>
      <w:pPr>
        <w:pStyle w:val="Normal"/>
        <w:widowControl/>
        <w:bidi w:val="0"/>
        <w:spacing w:before="0" w:after="0"/>
        <w:ind w:hanging="0" w:start="709"/>
        <w:jc w:val="both"/>
        <w:rPr>
          <w:lang w:val="en-GB"/>
        </w:rPr>
      </w:pPr>
      <w:r>
        <w:rPr>
          <w:rFonts w:eastAsia="Arial" w:ascii="Nimbus Sans" w:hAnsi="Nimbus Sans"/>
          <w:i/>
          <w:iCs/>
          <w:kern w:val="0"/>
          <w:sz w:val="24"/>
          <w:szCs w:val="24"/>
          <w:lang w:val="en-GB" w:eastAsia="en-US" w:bidi="ar-SA"/>
        </w:rPr>
        <w:t>The main object catalogs define and list the first phase of each object. Objects with more than one phase have their subsequent phases listed as entries in the event object catalogs.”</w:t>
      </w:r>
      <w:r>
        <w:rPr>
          <w:rFonts w:eastAsia="Arial" w:ascii="Nimbus Sans" w:hAnsi="Nimbus Sans"/>
          <w:kern w:val="0"/>
          <w:sz w:val="24"/>
          <w:szCs w:val="24"/>
          <w:lang w:val="en-GB" w:eastAsia="en-US" w:bidi="ar-SA"/>
        </w:rPr>
        <w:t xml:space="preserve"> (McDowell 2019)</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In other words, the Satcat dataset includes the initial phase of the objects life only. Applying the data in the Events database allows for this to be updated to show the most recently known state of the object. Once this state is confirmed, it is then possible to determine whether an object is still in orbit.</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For example, taking a random object (‘Progress-36’, a satellite payload), the Satcat database shows it as Docked, which would imply that it remains in orbit.</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drawing>
          <wp:anchor behindDoc="0" distT="0" distB="0" distL="0" distR="0" simplePos="0" locked="0" layoutInCell="0" allowOverlap="1" relativeHeight="2">
            <wp:simplePos x="0" y="0"/>
            <wp:positionH relativeFrom="column">
              <wp:posOffset>63500</wp:posOffset>
            </wp:positionH>
            <wp:positionV relativeFrom="paragraph">
              <wp:posOffset>137795</wp:posOffset>
            </wp:positionV>
            <wp:extent cx="2893060" cy="81280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2893060" cy="812800"/>
                    </a:xfrm>
                    <a:prstGeom prst="rect">
                      <a:avLst/>
                    </a:prstGeom>
                  </pic:spPr>
                </pic:pic>
              </a:graphicData>
            </a:graphic>
          </wp:anchor>
        </w:drawing>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However, the Events database shows two subsequent phase transitions: undocked and de-orbited:</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drawing>
          <wp:anchor behindDoc="0" distT="0" distB="0" distL="0" distR="0" simplePos="0" locked="0" layoutInCell="0" allowOverlap="1" relativeHeight="3">
            <wp:simplePos x="0" y="0"/>
            <wp:positionH relativeFrom="column">
              <wp:posOffset>64135</wp:posOffset>
            </wp:positionH>
            <wp:positionV relativeFrom="paragraph">
              <wp:posOffset>112395</wp:posOffset>
            </wp:positionV>
            <wp:extent cx="2849245" cy="939165"/>
            <wp:effectExtent l="0" t="0" r="0" b="0"/>
            <wp:wrapTopAndBottom/>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2849245" cy="939165"/>
                    </a:xfrm>
                    <a:prstGeom prst="rect">
                      <a:avLst/>
                    </a:prstGeom>
                  </pic:spPr>
                </pic:pic>
              </a:graphicData>
            </a:graphic>
          </wp:anchor>
        </w:drawing>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This example shows that the most recent update can be found at the highest index value, so a deduplicated version of the events database was created containing only these rows. This was merged with the Satcat data, overwriting the original values with those found in Events. </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Once the Status column had been updated with the latest known values, working out whether an object is orbiting still is a case of comparing against a list of status codes: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tbl>
      <w:tblPr>
        <w:tblW w:w="7648" w:type="dxa"/>
        <w:jc w:val="start"/>
        <w:tblInd w:w="-5" w:type="dxa"/>
        <w:tblLayout w:type="fixed"/>
        <w:tblCellMar>
          <w:top w:w="55" w:type="dxa"/>
          <w:start w:w="55" w:type="dxa"/>
          <w:bottom w:w="55" w:type="dxa"/>
          <w:end w:w="55" w:type="dxa"/>
        </w:tblCellMar>
      </w:tblPr>
      <w:tblGrid>
        <w:gridCol w:w="1677"/>
        <w:gridCol w:w="5970"/>
      </w:tblGrid>
      <w:tr>
        <w:trPr/>
        <w:tc>
          <w:tcPr>
            <w:tcW w:w="1677" w:type="dxa"/>
            <w:tcBorders>
              <w:top w:val="single" w:sz="4" w:space="0" w:color="000000"/>
              <w:start w:val="single" w:sz="4" w:space="0" w:color="000000"/>
              <w:bottom w:val="single" w:sz="4" w:space="0" w:color="000000"/>
            </w:tcBorders>
          </w:tcPr>
          <w:p>
            <w:pPr>
              <w:pStyle w:val="TableContents"/>
              <w:bidi w:val="0"/>
              <w:jc w:val="both"/>
              <w:rPr>
                <w:lang w:val="en-GB"/>
              </w:rPr>
            </w:pPr>
            <w:r>
              <w:rPr>
                <w:rFonts w:eastAsia="Arial" w:ascii="Nimbus Sans" w:hAnsi="Nimbus Sans"/>
                <w:sz w:val="24"/>
                <w:szCs w:val="24"/>
                <w:lang w:val="en-GB"/>
              </w:rPr>
              <w:t>In orbit</w:t>
            </w:r>
          </w:p>
        </w:tc>
        <w:tc>
          <w:tcPr>
            <w:tcW w:w="5970" w:type="dxa"/>
            <w:tcBorders>
              <w:top w:val="single" w:sz="4" w:space="0" w:color="000000"/>
              <w:start w:val="single" w:sz="4" w:space="0" w:color="000000"/>
              <w:bottom w:val="single" w:sz="4" w:space="0" w:color="000000"/>
              <w:end w:val="single" w:sz="4" w:space="0" w:color="000000"/>
            </w:tcBorders>
          </w:tcPr>
          <w:p>
            <w:pPr>
              <w:pStyle w:val="TableContents"/>
              <w:bidi w:val="0"/>
              <w:jc w:val="both"/>
              <w:rPr>
                <w:lang w:val="en-GB"/>
              </w:rPr>
            </w:pPr>
            <w:r>
              <w:rPr>
                <w:rFonts w:eastAsia="Arial" w:ascii="Nimbus Sans" w:hAnsi="Nimbus Sans"/>
                <w:sz w:val="24"/>
                <w:szCs w:val="24"/>
                <w:lang w:val="en-GB"/>
              </w:rPr>
              <w:t>In Orbit, Attached in orbit, Docked</w:t>
            </w:r>
          </w:p>
        </w:tc>
      </w:tr>
      <w:tr>
        <w:trPr/>
        <w:tc>
          <w:tcPr>
            <w:tcW w:w="1677" w:type="dxa"/>
            <w:tcBorders>
              <w:start w:val="single" w:sz="4" w:space="0" w:color="000000"/>
              <w:bottom w:val="single" w:sz="4" w:space="0" w:color="000000"/>
            </w:tcBorders>
          </w:tcPr>
          <w:p>
            <w:pPr>
              <w:pStyle w:val="TableContents"/>
              <w:bidi w:val="0"/>
              <w:jc w:val="both"/>
              <w:rPr>
                <w:lang w:val="en-GB"/>
              </w:rPr>
            </w:pPr>
            <w:r>
              <w:rPr>
                <w:rFonts w:eastAsia="Arial" w:ascii="Nimbus Sans" w:hAnsi="Nimbus Sans"/>
                <w:sz w:val="24"/>
                <w:szCs w:val="24"/>
                <w:lang w:val="en-GB"/>
              </w:rPr>
              <w:t>Not in orbit</w:t>
            </w:r>
          </w:p>
        </w:tc>
        <w:tc>
          <w:tcPr>
            <w:tcW w:w="5970" w:type="dxa"/>
            <w:tcBorders>
              <w:start w:val="single" w:sz="4" w:space="0" w:color="000000"/>
              <w:bottom w:val="single" w:sz="4" w:space="0" w:color="000000"/>
              <w:end w:val="single" w:sz="4" w:space="0" w:color="000000"/>
            </w:tcBorders>
          </w:tcPr>
          <w:p>
            <w:pPr>
              <w:pStyle w:val="TableContents"/>
              <w:bidi w:val="0"/>
              <w:jc w:val="both"/>
              <w:rPr>
                <w:lang w:val="en-GB"/>
              </w:rPr>
            </w:pPr>
            <w:r>
              <w:rPr>
                <w:rFonts w:eastAsia="Arial" w:ascii="Nimbus Sans" w:hAnsi="Nimbus Sans"/>
                <w:sz w:val="24"/>
                <w:szCs w:val="24"/>
                <w:lang w:val="en-GB"/>
              </w:rPr>
              <w:t>Reentered, Landed, Deorbited, Reentered attached, Reentered inside, Landed attached, Landed inside</w:t>
            </w:r>
          </w:p>
        </w:tc>
      </w:tr>
    </w:tbl>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If present, a Decay Date can be use to indicate “not in orbit” where the status is not in either of these definitive lists. As expected, the previous example object is no longer in orbit:</w:t>
      </w:r>
    </w:p>
    <w:p>
      <w:pPr>
        <w:pStyle w:val="Normal"/>
        <w:widowControl/>
        <w:bidi w:val="0"/>
        <w:spacing w:before="0" w:after="0"/>
        <w:jc w:val="both"/>
        <w:rPr>
          <w:b w:val="false"/>
          <w:bCs w:val="false"/>
          <w:lang w:val="en-GB"/>
        </w:rPr>
      </w:pPr>
      <w:r>
        <w:drawing>
          <wp:anchor behindDoc="0" distT="0" distB="0" distL="0" distR="0" simplePos="0" locked="0" layoutInCell="0" allowOverlap="1" relativeHeight="4">
            <wp:simplePos x="0" y="0"/>
            <wp:positionH relativeFrom="column">
              <wp:posOffset>36830</wp:posOffset>
            </wp:positionH>
            <wp:positionV relativeFrom="paragraph">
              <wp:posOffset>144145</wp:posOffset>
            </wp:positionV>
            <wp:extent cx="2839085" cy="912495"/>
            <wp:effectExtent l="0" t="0" r="0" b="0"/>
            <wp:wrapTopAndBottom/>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2839085" cy="912495"/>
                    </a:xfrm>
                    <a:prstGeom prst="rect">
                      <a:avLst/>
                    </a:prstGeom>
                  </pic:spPr>
                </pic:pic>
              </a:graphicData>
            </a:graphic>
          </wp:anchor>
        </w:drawing>
      </w:r>
      <w:r>
        <w:rPr>
          <w:rFonts w:eastAsia="Arial" w:cs="Arial" w:ascii="Nimbus Sans" w:hAnsi="Nimbus Sans"/>
          <w:b w:val="false"/>
          <w:bCs w:val="false"/>
          <w:kern w:val="0"/>
          <w:sz w:val="24"/>
          <w:szCs w:val="24"/>
          <w:lang w:val="en-GB" w:eastAsia="en-US" w:bidi="ar-SA"/>
        </w:rPr>
        <w:br/>
      </w:r>
      <w:r>
        <w:br w:type="page"/>
      </w:r>
    </w:p>
    <w:p>
      <w:pPr>
        <w:pStyle w:val="Normal"/>
        <w:widowControl/>
        <w:bidi w:val="0"/>
        <w:spacing w:before="0" w:after="0"/>
        <w:jc w:val="both"/>
        <w:rPr>
          <w:b w:val="false"/>
          <w:bCs w:val="false"/>
          <w:lang w:val="en-GB"/>
        </w:rPr>
      </w:pPr>
      <w:r>
        <w:rPr>
          <w:rFonts w:eastAsia="Arial" w:cs="Arial" w:ascii="Nimbus Sans" w:hAnsi="Nimbus Sans"/>
          <w:b/>
          <w:bCs/>
          <w:kern w:val="0"/>
          <w:sz w:val="24"/>
          <w:szCs w:val="24"/>
          <w:lang w:val="en-GB" w:eastAsia="en-US" w:bidi="ar-SA"/>
        </w:rPr>
        <w:t>Dates</w:t>
      </w:r>
    </w:p>
    <w:p>
      <w:pPr>
        <w:pStyle w:val="Normal"/>
        <w:widowControl/>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In the Satcat Launch Date is the date of launch, while Decay Date is the date of re-entry. These additional date columns were derived from these values:</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Launch Year</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Launch Month (Numerical)</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Launch Month (Long Text)</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Launch Decade (For example, 1950 is 1950-1959.)</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Decay Year</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Decay Month (Numerical)</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Decay Month (Long Text)</w:t>
      </w:r>
    </w:p>
    <w:p>
      <w:pPr>
        <w:pStyle w:val="Normal"/>
        <w:widowControl/>
        <w:numPr>
          <w:ilvl w:val="0"/>
          <w:numId w:val="4"/>
        </w:numPr>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 xml:space="preserve">Decay Decade </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b w:val="false"/>
          <w:bCs w:val="false"/>
          <w:lang w:val="en-GB"/>
        </w:rPr>
      </w:pPr>
      <w:r>
        <w:rPr>
          <w:rFonts w:eastAsia="Arial" w:cs="Arial" w:ascii="Nimbus Sans" w:hAnsi="Nimbus Sans"/>
          <w:b w:val="false"/>
          <w:bCs w:val="false"/>
          <w:kern w:val="0"/>
          <w:sz w:val="24"/>
          <w:szCs w:val="24"/>
          <w:lang w:val="en-GB" w:eastAsia="en-US" w:bidi="ar-SA"/>
        </w:rPr>
        <w:t>A temporary value for 'Effective Decay Date' was either copied from 'Decay Date' or set to today's date on the day of processing if the object is still in orbit. This allowed for lifetime values in days, months and years to be calculated. The Effective Decay Date column was then dropped.</w:t>
      </w:r>
    </w:p>
    <w:p>
      <w:pPr>
        <w:pStyle w:val="Normal"/>
        <w:widowControl/>
        <w:bidi w:val="0"/>
        <w:spacing w:before="0" w:after="0"/>
        <w:jc w:val="both"/>
        <w:rPr>
          <w:rFonts w:ascii="Nimbus Sans" w:hAnsi="Nimbus Sans" w:eastAsia="Arial" w:cs="Arial"/>
          <w:b/>
          <w:bCs/>
          <w:kern w:val="0"/>
          <w:sz w:val="24"/>
          <w:szCs w:val="24"/>
          <w:lang w:eastAsia="en-US" w:bidi="ar-SA"/>
        </w:rPr>
      </w:pPr>
      <w:r>
        <w:rPr>
          <w:rFonts w:eastAsia="Arial" w:cs="Arial" w:ascii="Nimbus Sans" w:hAnsi="Nimbus Sans"/>
          <w:b/>
          <w:bCs/>
          <w:kern w:val="0"/>
          <w:sz w:val="24"/>
          <w:szCs w:val="24"/>
          <w:lang w:eastAsia="en-US" w:bidi="ar-SA"/>
        </w:rPr>
      </w:r>
    </w:p>
    <w:p>
      <w:pPr>
        <w:pStyle w:val="Normal"/>
        <w:widowControl/>
        <w:bidi w:val="0"/>
        <w:spacing w:before="0" w:after="0"/>
        <w:jc w:val="both"/>
        <w:rPr>
          <w:lang w:val="en-GB"/>
        </w:rPr>
      </w:pPr>
      <w:r>
        <w:rPr>
          <w:rFonts w:eastAsia="Arial" w:cs="Arial" w:ascii="Nimbus Sans" w:hAnsi="Nimbus Sans"/>
          <w:b/>
          <w:bCs/>
          <w:kern w:val="0"/>
          <w:sz w:val="24"/>
          <w:szCs w:val="24"/>
          <w:lang w:val="en-GB" w:eastAsia="en-US" w:bidi="ar-SA"/>
        </w:rPr>
        <w:t>Organisations Dataset</w:t>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The Organisations database was subjected to extensive processing to develop a more useful dataset.</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Many of the organisations had an ‘English readable’ name recorded, but many only had an localised name, and a large number had a record for both an English and a local name. A single replacement column was created from these columns, preferring the English name where available; other columns were then dropped.</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 xml:space="preserve">The Nominatim geocoding API was then used to perform a reverse look up of latitude and longitude values into an address, adding values for city, state, country and country code into the Organisations dataset. </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This API is strictly rate-limited to under one request per second. Therefore, the requesting lambda function was limited to one request every 1.5 seconds to guarantee avoiding an IP address ban. There are over 3,600 entries in the dataset, so this process took approximately three hours to complete.</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Once this processes was completed, the organisations database was merged into the Satcat dataset. Organisations has a “Org Code” column, and this was merged by comparing to the “Owner Code” and “Manufacturer Code” columns in the Satcat dataset. This was done in two operations so that the resultant dataset includes two sets of columns copied from the Organisations database, prefixed respectively as follows:</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tbl>
      <w:tblPr>
        <w:tblW w:w="5000" w:type="pct"/>
        <w:jc w:val="start"/>
        <w:tblInd w:w="0" w:type="dxa"/>
        <w:tblLayout w:type="fixed"/>
        <w:tblCellMar>
          <w:top w:w="0" w:type="dxa"/>
          <w:start w:w="0" w:type="dxa"/>
          <w:bottom w:w="0" w:type="dxa"/>
          <w:end w:w="0" w:type="dxa"/>
        </w:tblCellMar>
      </w:tblPr>
      <w:tblGrid>
        <w:gridCol w:w="4818"/>
        <w:gridCol w:w="4819"/>
      </w:tblGrid>
      <w:tr>
        <w:trPr/>
        <w:tc>
          <w:tcPr>
            <w:tcW w:w="4818" w:type="dxa"/>
            <w:tcBorders/>
          </w:tcPr>
          <w:p>
            <w:pPr>
              <w:pStyle w:val="TableContents"/>
              <w:rPr>
                <w:rFonts w:ascii="Nimbus Sans" w:hAnsi="Nimbus Sans"/>
                <w:lang w:val="en-GB"/>
              </w:rPr>
            </w:pPr>
            <w:r>
              <w:rPr>
                <w:rFonts w:ascii="Nimbus Sans" w:hAnsi="Nimbus Sans"/>
                <w:lang w:val="en-GB"/>
              </w:rPr>
              <w:t>Operator</w:t>
            </w:r>
          </w:p>
        </w:tc>
        <w:tc>
          <w:tcPr>
            <w:tcW w:w="4819" w:type="dxa"/>
            <w:tcBorders/>
          </w:tcPr>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Short Name'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Long Name'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Longitude'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Latitude'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Parent'</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City’</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State'</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Country'</w:t>
            </w:r>
          </w:p>
          <w:p>
            <w:pPr>
              <w:pStyle w:val="Normal"/>
              <w:widowControl/>
              <w:numPr>
                <w:ilvl w:val="0"/>
                <w:numId w:val="5"/>
              </w:numPr>
              <w:bidi w:val="0"/>
              <w:spacing w:before="0" w:after="0"/>
              <w:jc w:val="both"/>
              <w:rPr>
                <w:lang w:val="en-GB"/>
              </w:rPr>
            </w:pPr>
            <w:r>
              <w:rPr>
                <w:rFonts w:eastAsia="Arial" w:cs="Arial" w:ascii="Nimbus Sans" w:hAnsi="Nimbus Sans"/>
                <w:kern w:val="0"/>
                <w:sz w:val="24"/>
                <w:szCs w:val="24"/>
                <w:lang w:val="en-GB" w:eastAsia="en-US" w:bidi="ar-SA"/>
              </w:rPr>
              <w:t>'Operator Country Code'</w:t>
            </w:r>
          </w:p>
        </w:tc>
      </w:tr>
      <w:tr>
        <w:trPr/>
        <w:tc>
          <w:tcPr>
            <w:tcW w:w="4818" w:type="dxa"/>
            <w:tcBorders/>
          </w:tcPr>
          <w:p>
            <w:pPr>
              <w:pStyle w:val="TableContents"/>
              <w:rPr>
                <w:rFonts w:ascii="Nimbus Sans" w:hAnsi="Nimbus Sans"/>
                <w:lang w:val="en-GB"/>
              </w:rPr>
            </w:pPr>
            <w:r>
              <w:rPr>
                <w:rFonts w:ascii="Nimbus Sans" w:hAnsi="Nimbus Sans"/>
                <w:lang w:val="en-GB"/>
              </w:rPr>
              <w:t>Manufacturer</w:t>
            </w:r>
          </w:p>
        </w:tc>
        <w:tc>
          <w:tcPr>
            <w:tcW w:w="4819" w:type="dxa"/>
            <w:tcBorders/>
          </w:tcPr>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Short Name'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Long Name'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Longitude'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Latitude'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Parent'</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City'</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State'</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Country'</w:t>
            </w:r>
          </w:p>
          <w:p>
            <w:pPr>
              <w:pStyle w:val="Normal"/>
              <w:widowControl/>
              <w:numPr>
                <w:ilvl w:val="0"/>
                <w:numId w:val="6"/>
              </w:numPr>
              <w:bidi w:val="0"/>
              <w:spacing w:before="0" w:after="0"/>
              <w:jc w:val="both"/>
              <w:rPr>
                <w:lang w:val="en-GB"/>
              </w:rPr>
            </w:pPr>
            <w:r>
              <w:rPr>
                <w:rFonts w:eastAsia="Arial" w:cs="Arial" w:ascii="Nimbus Sans" w:hAnsi="Nimbus Sans"/>
                <w:kern w:val="0"/>
                <w:sz w:val="24"/>
                <w:szCs w:val="24"/>
                <w:lang w:val="en-GB" w:eastAsia="en-US" w:bidi="ar-SA"/>
              </w:rPr>
              <w:t>'Manufacturer Country Code'</w:t>
            </w:r>
          </w:p>
        </w:tc>
      </w:tr>
    </w:tbl>
    <w:p>
      <w:pPr>
        <w:pStyle w:val="Normal"/>
        <w:widowControl/>
        <w:bidi w:val="0"/>
        <w:spacing w:before="0" w:after="0"/>
        <w:jc w:val="both"/>
        <w:rPr>
          <w:rFonts w:ascii="Nimbus Sans" w:hAnsi="Nimbus Sans" w:eastAsia="Arial" w:cs="Arial"/>
          <w:b/>
          <w:bCs/>
          <w:kern w:val="0"/>
          <w:sz w:val="24"/>
          <w:szCs w:val="24"/>
          <w:lang w:eastAsia="en-US" w:bidi="ar-SA"/>
        </w:rPr>
      </w:pPr>
      <w:r>
        <w:rPr>
          <w:rFonts w:eastAsia="Arial" w:cs="Arial" w:ascii="Nimbus Sans" w:hAnsi="Nimbus Sans"/>
          <w:b/>
          <w:bCs/>
          <w:kern w:val="0"/>
          <w:sz w:val="24"/>
          <w:szCs w:val="24"/>
          <w:lang w:eastAsia="en-US" w:bidi="ar-SA"/>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b/>
          <w:bCs/>
          <w:kern w:val="0"/>
          <w:sz w:val="24"/>
          <w:szCs w:val="24"/>
          <w:lang w:val="en-GB" w:eastAsia="en-US" w:bidi="ar-SA"/>
        </w:rPr>
        <w:t>Status Codes</w:t>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The downloaded datasets include columns that use codes to indicate the state, type, class or category of the object. These letter codes are not readable without interpretation using the provided dataset documentation (McDowell 2019).</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JSON mappings were created between the documented letter codes and descriptive text labels more suitable for producing meaningful charts. These were applied to the appropriate columns, the letter code columns dropped. For example, the Type mapping was as follows:</w:t>
      </w:r>
    </w:p>
    <w:p>
      <w:pPr>
        <w:pStyle w:val="Normal"/>
        <w:widowControl/>
        <w:bidi w:val="0"/>
        <w:spacing w:before="0" w:after="0"/>
        <w:jc w:val="both"/>
        <w:rPr>
          <w:rFonts w:ascii="Nimbus Sans" w:hAnsi="Nimbus Sans" w:eastAsia="Arial" w:cs="Arial"/>
          <w:kern w:val="0"/>
          <w:sz w:val="24"/>
          <w:szCs w:val="24"/>
          <w:lang w:eastAsia="en-US" w:bidi="ar-SA"/>
        </w:rPr>
      </w:pPr>
      <w:r>
        <w:rPr>
          <w:rFonts w:eastAsia="Arial" w:cs="Arial" w:ascii="Nimbus Sans" w:hAnsi="Nimbus Sans"/>
          <w:kern w:val="0"/>
          <w:sz w:val="24"/>
          <w:szCs w:val="24"/>
          <w:lang w:eastAsia="en-US" w:bidi="ar-SA"/>
        </w:rPr>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type_json = {</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"P": "Payload",</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"C": "Component",</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"R": "Rocket Body",</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"D": "Debris",</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"S": "Suborbital payload",</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"X": "Deleted Object",</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"Z": "Spurious Entry"</w:t>
      </w:r>
    </w:p>
    <w:p>
      <w:pPr>
        <w:pStyle w:val="Normal"/>
        <w:widowControl/>
        <w:bidi w:val="0"/>
        <w:spacing w:before="0" w:after="0"/>
        <w:jc w:val="both"/>
        <w:rPr>
          <w:rFonts w:ascii="Liberation Mono" w:hAnsi="Liberation Mono"/>
          <w:sz w:val="16"/>
          <w:szCs w:val="16"/>
          <w:lang w:val="en-GB"/>
        </w:rPr>
      </w:pPr>
      <w:r>
        <w:rPr>
          <w:rFonts w:eastAsia="Arial" w:cs="Arial" w:ascii="Liberation Mono" w:hAnsi="Liberation Mono"/>
          <w:kern w:val="0"/>
          <w:sz w:val="16"/>
          <w:szCs w:val="16"/>
          <w:lang w:val="en-GB" w:eastAsia="en-US" w:bidi="ar-SA"/>
        </w:rPr>
        <w:t>}</w:t>
      </w:r>
    </w:p>
    <w:p>
      <w:pPr>
        <w:pStyle w:val="Normal"/>
        <w:widowControl/>
        <w:bidi w:val="0"/>
        <w:spacing w:before="0" w:after="0"/>
        <w:jc w:val="both"/>
        <w:rPr>
          <w:rFonts w:ascii="Nimbus Sans" w:hAnsi="Nimbus Sans"/>
          <w:b w:val="false"/>
          <w:color w:val="CCCCCC"/>
          <w:sz w:val="24"/>
          <w:szCs w:val="24"/>
          <w:shd w:fill="1F1F1F" w:val="clear"/>
          <w:lang w:val="en-GB"/>
        </w:rPr>
      </w:pPr>
      <w:r>
        <w:rPr>
          <w:rFonts w:ascii="Nimbus Sans" w:hAnsi="Nimbus Sans"/>
          <w:b w:val="false"/>
          <w:color w:val="CCCCCC"/>
          <w:sz w:val="24"/>
          <w:szCs w:val="24"/>
          <w:shd w:fill="1F1F1F" w:val="clear"/>
          <w:lang w:val="en-GB"/>
        </w:rPr>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t>This Type field included “spurious” and “unknown” entries which were removed to cut down on the size of the dataset. The category field included codes for multiple categories such as Scientific Studies and Imaging; these were split into two columns named primary and secondary categories.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Heading3"/>
        <w:numPr>
          <w:ilvl w:val="2"/>
          <w:numId w:val="1"/>
        </w:numPr>
        <w:ind w:hanging="0" w:start="0"/>
        <w:rPr>
          <w:lang w:val="en-GB"/>
        </w:rPr>
      </w:pPr>
      <w:bookmarkStart w:id="15" w:name="__RefHeading___Toc1774_3613666628"/>
      <w:bookmarkEnd w:id="15"/>
      <w:r>
        <w:rPr>
          <w:lang w:val="en-GB"/>
        </w:rPr>
        <w:t>Saved for Future Use</w:t>
      </w:r>
    </w:p>
    <w:p>
      <w:pPr>
        <w:pStyle w:val="BodyText"/>
        <w:rPr/>
      </w:pPr>
      <w:r>
        <w:rPr>
          <w:rFonts w:ascii="Nimbus Sans" w:hAnsi="Nimbus Sans"/>
          <w:lang w:val="en-GB"/>
        </w:rPr>
        <w:t xml:space="preserve">Finally, the resultant dataset was saved out to a CSV file. </w:t>
      </w:r>
      <w:r>
        <w:rPr>
          <w:rFonts w:eastAsia="Arial" w:cs="Arial" w:ascii="Nimbus Sans" w:hAnsi="Nimbus Sans"/>
          <w:color w:val="C9211E"/>
          <w:kern w:val="0"/>
          <w:sz w:val="24"/>
          <w:szCs w:val="24"/>
          <w:lang w:val="en-GB" w:eastAsia="en-US" w:bidi="ar-SA"/>
        </w:rPr>
        <w:t xml:space="preserve">This cleaned and engineered dataset is available for others to use at: </w:t>
      </w:r>
      <w:hyperlink r:id="rId5">
        <w:r>
          <w:rPr>
            <w:rStyle w:val="Hyperlink"/>
            <w:rFonts w:eastAsia="Arial" w:cs="Arial" w:ascii="Nimbus Sans" w:hAnsi="Nimbus Sans"/>
            <w:color w:val="C9211E"/>
            <w:kern w:val="0"/>
            <w:sz w:val="24"/>
            <w:szCs w:val="24"/>
            <w:lang w:val="en-GB" w:eastAsia="en-US" w:bidi="ar-SA"/>
          </w:rPr>
          <w:t>https://datascience.daemonchild.com/year2/dat5001/pres1/datasets/space_objects_latest.csv</w:t>
        </w:r>
      </w:hyperlink>
    </w:p>
    <w:p>
      <w:pPr>
        <w:pStyle w:val="Normal"/>
        <w:widowControl/>
        <w:bidi w:val="0"/>
        <w:spacing w:before="0" w:after="0"/>
        <w:jc w:val="both"/>
        <w:rPr>
          <w:rFonts w:ascii="Nimbus Sans" w:hAnsi="Nimbus Sans"/>
          <w:color w:val="000000"/>
          <w:lang w:val="en-GB"/>
        </w:rPr>
      </w:pPr>
      <w:r>
        <w:rPr>
          <w:rFonts w:eastAsia="Arial" w:cs="Arial" w:ascii="Nimbus Sans" w:hAnsi="Nimbus Sans"/>
          <w:color w:val="000000"/>
          <w:kern w:val="0"/>
          <w:sz w:val="24"/>
          <w:szCs w:val="24"/>
          <w:lang w:val="en-GB" w:eastAsia="en-US" w:bidi="ar-SA"/>
        </w:rPr>
        <w:t>(Approx 1415 words)</w:t>
      </w:r>
    </w:p>
    <w:p>
      <w:pPr>
        <w:pStyle w:val="Normal"/>
        <w:widowControl/>
        <w:bidi w:val="0"/>
        <w:spacing w:before="0" w:after="0"/>
        <w:jc w:val="both"/>
        <w:rPr>
          <w:rFonts w:eastAsia="Arial" w:cs="Arial"/>
          <w:color w:val="C9211E"/>
          <w:kern w:val="0"/>
          <w:sz w:val="24"/>
          <w:szCs w:val="24"/>
          <w:lang w:eastAsia="en-US" w:bidi="ar-SA"/>
        </w:rPr>
      </w:pPr>
      <w:r>
        <w:rPr>
          <w:rFonts w:eastAsia="Arial" w:cs="Arial"/>
          <w:color w:val="C9211E"/>
          <w:kern w:val="0"/>
          <w:sz w:val="24"/>
          <w:szCs w:val="24"/>
          <w:lang w:eastAsia="en-US" w:bidi="ar-SA"/>
        </w:rPr>
      </w:r>
    </w:p>
    <w:p>
      <w:pPr>
        <w:pStyle w:val="Heading2"/>
        <w:numPr>
          <w:ilvl w:val="0"/>
          <w:numId w:val="0"/>
        </w:numPr>
        <w:ind w:hanging="0" w:start="0"/>
        <w:rPr>
          <w:lang w:val="en-GB"/>
        </w:rPr>
      </w:pPr>
      <w:bookmarkStart w:id="16" w:name="__RefHeading___Toc1776_3613666628"/>
      <w:bookmarkEnd w:id="16"/>
      <w:r>
        <w:rPr>
          <w:lang w:val="en-GB"/>
        </w:rPr>
        <w:t>Design Principles and Tools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This section of the report will discuss the design principles and tools used to create the storyboard and infographics of the presentation.</w:t>
      </w:r>
    </w:p>
    <w:p>
      <w:pPr>
        <w:pStyle w:val="Heading3"/>
        <w:numPr>
          <w:ilvl w:val="2"/>
          <w:numId w:val="1"/>
        </w:numPr>
        <w:ind w:hanging="0" w:start="0"/>
        <w:rPr/>
      </w:pPr>
      <w:bookmarkStart w:id="17" w:name="__RefHeading___Toc4864_3613666628"/>
      <w:bookmarkEnd w:id="17"/>
      <w:r>
        <w:rPr/>
        <w:t>Tool Selection</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 xml:space="preserve">As described above, the exploration of the data, and subsequent cleaning and feature engineering was carried out in Jupyter notebooks </w:t>
      </w:r>
      <w:r>
        <w:rPr>
          <w:rFonts w:cs="Arial" w:ascii="Nimbus Sans" w:hAnsi="Nimbus Sans"/>
          <w:sz w:val="24"/>
          <w:szCs w:val="24"/>
          <w:lang w:val="en-GB"/>
        </w:rPr>
        <w:t>running on Microsoft vsCode on Linux</w:t>
      </w:r>
      <w:r>
        <w:rPr>
          <w:rFonts w:cs="Arial" w:ascii="Nimbus Sans" w:hAnsi="Nimbus Sans"/>
          <w:sz w:val="24"/>
          <w:szCs w:val="24"/>
          <w:lang w:val="en-GB"/>
        </w:rPr>
        <w:t xml:space="preserve">. </w:t>
      </w:r>
      <w:r>
        <w:rPr>
          <w:rFonts w:eastAsia="Arial" w:cs="Arial" w:ascii="Nimbus Sans" w:hAnsi="Nimbus Sans"/>
          <w:kern w:val="0"/>
          <w:sz w:val="24"/>
          <w:szCs w:val="24"/>
          <w:lang w:val="en-GB" w:eastAsia="en-US" w:bidi="ar-SA"/>
        </w:rPr>
        <w:t>The graphs and figures used in this report and the presentation were derived from the resulting dataset, and were generated using a variety of python libraries, including:</w:t>
      </w:r>
    </w:p>
    <w:p>
      <w:pPr>
        <w:pStyle w:val="Normal"/>
        <w:widowControl/>
        <w:bidi w:val="0"/>
        <w:spacing w:before="0" w:after="0"/>
        <w:jc w:val="both"/>
        <w:rPr>
          <w:rFonts w:ascii="Nimbus Sans" w:hAnsi="Nimbus Sans"/>
        </w:rPr>
      </w:pPr>
      <w:r>
        <w:rPr>
          <w:rFonts w:ascii="Nimbus Sans" w:hAnsi="Nimbus Sans"/>
        </w:rPr>
      </w:r>
    </w:p>
    <w:p>
      <w:pPr>
        <w:pStyle w:val="Normal"/>
        <w:widowControl/>
        <w:numPr>
          <w:ilvl w:val="0"/>
          <w:numId w:val="7"/>
        </w:numPr>
        <w:bidi w:val="0"/>
        <w:spacing w:before="0" w:after="0"/>
        <w:jc w:val="both"/>
        <w:rPr>
          <w:rFonts w:ascii="Nimbus Sans" w:hAnsi="Nimbus Sans"/>
        </w:rPr>
      </w:pPr>
      <w:r>
        <w:rPr>
          <w:rFonts w:ascii="Nimbus Sans" w:hAnsi="Nimbus Sans"/>
        </w:rPr>
        <w:t>Matplotlib – Standard charting library</w:t>
      </w:r>
    </w:p>
    <w:p>
      <w:pPr>
        <w:pStyle w:val="Normal"/>
        <w:widowControl/>
        <w:numPr>
          <w:ilvl w:val="0"/>
          <w:numId w:val="7"/>
        </w:numPr>
        <w:bidi w:val="0"/>
        <w:spacing w:before="0" w:after="0"/>
        <w:jc w:val="both"/>
        <w:rPr>
          <w:rFonts w:ascii="Nimbus Sans" w:hAnsi="Nimbus Sans"/>
        </w:rPr>
      </w:pPr>
      <w:r>
        <w:rPr>
          <w:rFonts w:ascii="Nimbus Sans" w:hAnsi="Nimbus Sans"/>
        </w:rPr>
        <w:t>Seaborn - Standard charting library</w:t>
      </w:r>
    </w:p>
    <w:p>
      <w:pPr>
        <w:pStyle w:val="Normal"/>
        <w:widowControl/>
        <w:numPr>
          <w:ilvl w:val="0"/>
          <w:numId w:val="7"/>
        </w:numPr>
        <w:bidi w:val="0"/>
        <w:spacing w:before="0" w:after="0"/>
        <w:jc w:val="both"/>
        <w:rPr>
          <w:rFonts w:ascii="Nimbus Sans" w:hAnsi="Nimbus Sans"/>
        </w:rPr>
      </w:pPr>
      <w:r>
        <w:rPr>
          <w:rFonts w:ascii="Nimbus Sans" w:hAnsi="Nimbus Sans"/>
        </w:rPr>
        <w:t>Cartopy – Choropleth maps</w:t>
      </w:r>
    </w:p>
    <w:p>
      <w:pPr>
        <w:pStyle w:val="Normal"/>
        <w:widowControl/>
        <w:numPr>
          <w:ilvl w:val="0"/>
          <w:numId w:val="7"/>
        </w:numPr>
        <w:bidi w:val="0"/>
        <w:spacing w:before="0" w:after="0"/>
        <w:jc w:val="both"/>
        <w:rPr>
          <w:rFonts w:ascii="Nimbus Sans" w:hAnsi="Nimbus Sans"/>
        </w:rPr>
      </w:pPr>
      <w:r>
        <w:rPr>
          <w:rFonts w:ascii="Nimbus Sans" w:hAnsi="Nimbus Sans"/>
        </w:rPr>
        <w:t>NetworkX – Network diagrams</w:t>
      </w:r>
    </w:p>
    <w:p>
      <w:pPr>
        <w:pStyle w:val="Normal"/>
        <w:widowControl/>
        <w:numPr>
          <w:ilvl w:val="0"/>
          <w:numId w:val="7"/>
        </w:numPr>
        <w:bidi w:val="0"/>
        <w:spacing w:before="0" w:after="0"/>
        <w:jc w:val="both"/>
        <w:rPr>
          <w:rFonts w:ascii="Nimbus Sans" w:hAnsi="Nimbus Sans"/>
        </w:rPr>
      </w:pPr>
      <w:r>
        <w:rPr>
          <w:rFonts w:ascii="Nimbus Sans" w:hAnsi="Nimbus Sans"/>
        </w:rPr>
        <w:t>Holoviews – Used for chord charts</w:t>
      </w:r>
    </w:p>
    <w:p>
      <w:pPr>
        <w:pStyle w:val="Normal"/>
        <w:widowControl/>
        <w:numPr>
          <w:ilvl w:val="0"/>
          <w:numId w:val="7"/>
        </w:numPr>
        <w:bidi w:val="0"/>
        <w:spacing w:before="0" w:after="0"/>
        <w:jc w:val="both"/>
        <w:rPr>
          <w:rFonts w:ascii="Nimbus Sans" w:hAnsi="Nimbus Sans"/>
        </w:rPr>
      </w:pPr>
      <w:r>
        <w:rPr>
          <w:rFonts w:ascii="Nimbus Sans" w:hAnsi="Nimbus Sans"/>
        </w:rPr>
        <w:t>Plotly Express and Plotly Graph Objects – Interactive charts</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These charts were exported as images and imported into LibreOffice on Linux. Impress was used to create a PowerPoint style presentation, while this report was written in Writer.</w:t>
      </w:r>
    </w:p>
    <w:p>
      <w:pPr>
        <w:pStyle w:val="Heading3"/>
        <w:numPr>
          <w:ilvl w:val="2"/>
          <w:numId w:val="1"/>
        </w:numPr>
        <w:ind w:hanging="0" w:start="0"/>
        <w:rPr>
          <w:lang w:val="en-GB"/>
        </w:rPr>
      </w:pPr>
      <w:bookmarkStart w:id="18" w:name="__RefHeading___Toc1778_3613666628"/>
      <w:bookmarkEnd w:id="18"/>
      <w:r>
        <w:rPr>
          <w:lang w:val="en-GB"/>
        </w:rPr>
        <w:t>Palette Selection</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Colo</w:t>
      </w:r>
      <w:r>
        <w:rPr>
          <w:rFonts w:cs="Arial" w:ascii="Nimbus Sans" w:hAnsi="Nimbus Sans"/>
          <w:sz w:val="24"/>
          <w:szCs w:val="24"/>
          <w:lang w:val="en-GB"/>
        </w:rPr>
        <w:t>u</w:t>
      </w:r>
      <w:r>
        <w:rPr>
          <w:rFonts w:cs="Arial" w:ascii="Nimbus Sans" w:hAnsi="Nimbus Sans"/>
          <w:sz w:val="24"/>
          <w:szCs w:val="24"/>
          <w:lang w:val="en-GB"/>
        </w:rPr>
        <w:t>r palette selection is a</w:t>
      </w:r>
      <w:r>
        <w:rPr>
          <w:rFonts w:cs="Arial" w:ascii="Nimbus Sans" w:hAnsi="Nimbus Sans"/>
          <w:sz w:val="24"/>
          <w:szCs w:val="24"/>
          <w:lang w:val="en-GB"/>
        </w:rPr>
        <w:t xml:space="preserve">n important part of </w:t>
      </w:r>
      <w:r>
        <w:rPr>
          <w:rFonts w:cs="Arial" w:ascii="Nimbus Sans" w:hAnsi="Nimbus Sans"/>
          <w:sz w:val="24"/>
          <w:szCs w:val="24"/>
          <w:lang w:val="en-GB"/>
        </w:rPr>
        <w:t>effective data visuali</w:t>
      </w:r>
      <w:r>
        <w:rPr>
          <w:rFonts w:cs="Arial" w:ascii="Nimbus Sans" w:hAnsi="Nimbus Sans"/>
          <w:sz w:val="24"/>
          <w:szCs w:val="24"/>
          <w:lang w:val="en-GB"/>
        </w:rPr>
        <w:t>s</w:t>
      </w:r>
      <w:r>
        <w:rPr>
          <w:rFonts w:cs="Arial" w:ascii="Nimbus Sans" w:hAnsi="Nimbus Sans"/>
          <w:sz w:val="24"/>
          <w:szCs w:val="24"/>
          <w:lang w:val="en-GB"/>
        </w:rPr>
        <w:t>ation and storytelling. The choice of colo</w:t>
      </w:r>
      <w:r>
        <w:rPr>
          <w:rFonts w:cs="Arial" w:ascii="Nimbus Sans" w:hAnsi="Nimbus Sans"/>
          <w:sz w:val="24"/>
          <w:szCs w:val="24"/>
          <w:lang w:val="en-GB"/>
        </w:rPr>
        <w:t>u</w:t>
      </w:r>
      <w:r>
        <w:rPr>
          <w:rFonts w:cs="Arial" w:ascii="Nimbus Sans" w:hAnsi="Nimbus Sans"/>
          <w:sz w:val="24"/>
          <w:szCs w:val="24"/>
          <w:lang w:val="en-GB"/>
        </w:rPr>
        <w:t xml:space="preserve">rs influences not only the aesthetic appeal of a report or presentation but also its ability to convey meaning </w:t>
      </w:r>
      <w:r>
        <w:rPr>
          <w:rFonts w:cs="Arial" w:ascii="Nimbus Sans" w:hAnsi="Nimbus Sans"/>
          <w:sz w:val="24"/>
          <w:szCs w:val="24"/>
          <w:lang w:val="en-GB"/>
        </w:rPr>
        <w:t>(Munzer 2014).</w:t>
      </w:r>
      <w:r>
        <w:rPr>
          <w:rFonts w:cs="Arial" w:ascii="Nimbus Sans" w:hAnsi="Nimbus Sans"/>
          <w:sz w:val="24"/>
          <w:szCs w:val="24"/>
          <w:lang w:val="en-GB"/>
        </w:rPr>
        <w:t xml:space="preserve"> </w:t>
      </w:r>
      <w:r>
        <w:rPr>
          <w:rFonts w:cs="Arial" w:ascii="Nimbus Sans" w:hAnsi="Nimbus Sans"/>
          <w:sz w:val="24"/>
          <w:szCs w:val="24"/>
          <w:lang w:val="en-GB"/>
        </w:rPr>
        <w:t xml:space="preserve">Ideas of </w:t>
      </w:r>
      <w:r>
        <w:rPr>
          <w:rFonts w:cs="Arial" w:ascii="Nimbus Sans" w:hAnsi="Nimbus Sans"/>
          <w:sz w:val="24"/>
          <w:szCs w:val="24"/>
          <w:lang w:val="en-GB"/>
        </w:rPr>
        <w:t xml:space="preserve">clarity </w:t>
      </w:r>
      <w:r>
        <w:rPr>
          <w:rFonts w:cs="Arial" w:ascii="Nimbus Sans" w:hAnsi="Nimbus Sans"/>
          <w:sz w:val="24"/>
          <w:szCs w:val="24"/>
          <w:lang w:val="en-GB"/>
        </w:rPr>
        <w:t>and</w:t>
      </w:r>
      <w:r>
        <w:rPr>
          <w:rFonts w:cs="Arial" w:ascii="Nimbus Sans" w:hAnsi="Nimbus Sans"/>
          <w:sz w:val="24"/>
          <w:szCs w:val="24"/>
          <w:lang w:val="en-GB"/>
        </w:rPr>
        <w:t xml:space="preserve"> </w:t>
      </w:r>
      <w:r>
        <w:rPr>
          <w:rFonts w:cs="Arial" w:ascii="Nimbus Sans" w:hAnsi="Nimbus Sans"/>
          <w:sz w:val="24"/>
          <w:szCs w:val="24"/>
          <w:lang w:val="en-GB"/>
        </w:rPr>
        <w:t xml:space="preserve">inclusive </w:t>
      </w:r>
      <w:r>
        <w:rPr>
          <w:rFonts w:cs="Arial" w:ascii="Nimbus Sans" w:hAnsi="Nimbus Sans"/>
          <w:sz w:val="24"/>
          <w:szCs w:val="24"/>
          <w:lang w:val="en-GB"/>
        </w:rPr>
        <w:t xml:space="preserve">accessibility </w:t>
      </w:r>
      <w:r>
        <w:rPr>
          <w:rFonts w:cs="Arial" w:ascii="Nimbus Sans" w:hAnsi="Nimbus Sans"/>
          <w:sz w:val="24"/>
          <w:szCs w:val="24"/>
          <w:lang w:val="en-GB"/>
        </w:rPr>
        <w:t xml:space="preserve">were also considered. </w:t>
      </w:r>
      <w:r>
        <w:rPr>
          <w:rFonts w:cs="Arial" w:ascii="Nimbus Sans" w:hAnsi="Nimbus Sans"/>
          <w:sz w:val="24"/>
          <w:szCs w:val="24"/>
          <w:lang w:val="en-GB"/>
        </w:rPr>
        <w:t xml:space="preserve"> </w:t>
      </w:r>
      <w:r>
        <w:rPr>
          <w:rFonts w:cs="Arial" w:ascii="Nimbus Sans" w:hAnsi="Nimbus Sans"/>
          <w:sz w:val="24"/>
          <w:szCs w:val="24"/>
          <w:lang w:val="en-GB"/>
        </w:rPr>
        <w:t>P</w:t>
      </w:r>
      <w:r>
        <w:rPr>
          <w:rFonts w:cs="Arial" w:ascii="Nimbus Sans" w:hAnsi="Nimbus Sans"/>
          <w:sz w:val="24"/>
          <w:szCs w:val="24"/>
          <w:lang w:val="en-GB"/>
        </w:rPr>
        <w:t xml:space="preserve">alettes </w:t>
      </w:r>
      <w:r>
        <w:rPr>
          <w:rFonts w:cs="Arial" w:ascii="Nimbus Sans" w:hAnsi="Nimbus Sans"/>
          <w:sz w:val="24"/>
          <w:szCs w:val="24"/>
          <w:lang w:val="en-GB"/>
        </w:rPr>
        <w:t>used in this project were based on</w:t>
      </w:r>
      <w:r>
        <w:rPr>
          <w:rFonts w:cs="Arial" w:ascii="Nimbus Sans" w:hAnsi="Nimbus Sans"/>
          <w:sz w:val="24"/>
          <w:szCs w:val="24"/>
          <w:lang w:val="en-GB"/>
        </w:rPr>
        <w:t xml:space="preserve"> </w:t>
      </w:r>
      <w:r>
        <w:rPr>
          <w:rFonts w:cs="Arial" w:ascii="Nimbus Sans" w:hAnsi="Nimbus Sans"/>
          <w:sz w:val="24"/>
          <w:szCs w:val="24"/>
          <w:lang w:val="en-GB"/>
        </w:rPr>
        <w:t xml:space="preserve">those </w:t>
      </w:r>
      <w:r>
        <w:rPr>
          <w:rFonts w:cs="Arial" w:ascii="Nimbus Sans" w:hAnsi="Nimbus Sans"/>
          <w:sz w:val="24"/>
          <w:szCs w:val="24"/>
          <w:lang w:val="en-GB"/>
        </w:rPr>
        <w:t xml:space="preserve">generated using the Coolors platform. </w:t>
      </w:r>
      <w:r>
        <w:rPr>
          <w:rFonts w:cs="Arial" w:ascii="Nimbus Sans" w:hAnsi="Nimbus Sans"/>
          <w:sz w:val="24"/>
          <w:szCs w:val="24"/>
          <w:lang w:val="en-GB"/>
        </w:rPr>
        <w:t>(Coolors 2025).</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drawing>
          <wp:anchor behindDoc="0" distT="0" distB="0" distL="0" distR="0" simplePos="0" locked="0" layoutInCell="0" allowOverlap="1" relativeHeight="12">
            <wp:simplePos x="0" y="0"/>
            <wp:positionH relativeFrom="column">
              <wp:posOffset>33020</wp:posOffset>
            </wp:positionH>
            <wp:positionV relativeFrom="paragraph">
              <wp:posOffset>168910</wp:posOffset>
            </wp:positionV>
            <wp:extent cx="3359150" cy="567055"/>
            <wp:effectExtent l="0" t="0" r="0" b="0"/>
            <wp:wrapTopAndBottom/>
            <wp:docPr id="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descr="" title=""/>
                    <pic:cNvPicPr>
                      <a:picLocks noChangeAspect="1" noChangeArrowheads="1"/>
                    </pic:cNvPicPr>
                  </pic:nvPicPr>
                  <pic:blipFill>
                    <a:blip r:embed="rId6"/>
                    <a:stretch>
                      <a:fillRect/>
                    </a:stretch>
                  </pic:blipFill>
                  <pic:spPr bwMode="auto">
                    <a:xfrm>
                      <a:off x="0" y="0"/>
                      <a:ext cx="3359150" cy="567055"/>
                    </a:xfrm>
                    <a:prstGeom prst="rect">
                      <a:avLst/>
                    </a:prstGeom>
                  </pic:spPr>
                </pic:pic>
              </a:graphicData>
            </a:graphic>
          </wp:anchor>
        </w:drawing>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For th</w:t>
      </w:r>
      <w:r>
        <w:rPr>
          <w:rFonts w:cs="Arial" w:ascii="Nimbus Sans" w:hAnsi="Nimbus Sans"/>
          <w:sz w:val="24"/>
          <w:szCs w:val="24"/>
          <w:lang w:val="en-GB"/>
        </w:rPr>
        <w:t>is written report</w:t>
      </w:r>
      <w:r>
        <w:rPr>
          <w:rFonts w:cs="Arial" w:ascii="Nimbus Sans" w:hAnsi="Nimbus Sans"/>
          <w:sz w:val="24"/>
          <w:szCs w:val="24"/>
          <w:lang w:val="en-GB"/>
        </w:rPr>
        <w:t>, a muted palette was chosen to align with the academic tone of the document. Colo</w:t>
      </w:r>
      <w:r>
        <w:rPr>
          <w:rFonts w:cs="Arial" w:ascii="Nimbus Sans" w:hAnsi="Nimbus Sans"/>
          <w:sz w:val="24"/>
          <w:szCs w:val="24"/>
          <w:lang w:val="en-GB"/>
        </w:rPr>
        <w:t>u</w:t>
      </w:r>
      <w:r>
        <w:rPr>
          <w:rFonts w:cs="Arial" w:ascii="Nimbus Sans" w:hAnsi="Nimbus Sans"/>
          <w:sz w:val="24"/>
          <w:szCs w:val="24"/>
          <w:lang w:val="en-GB"/>
        </w:rPr>
        <w:t xml:space="preserve">rs such as dusk blue, taupe, and olive leaf </w:t>
      </w:r>
      <w:r>
        <w:rPr>
          <w:rFonts w:cs="Arial" w:ascii="Nimbus Sans" w:hAnsi="Nimbus Sans"/>
          <w:sz w:val="24"/>
          <w:szCs w:val="24"/>
          <w:lang w:val="en-GB"/>
        </w:rPr>
        <w:t xml:space="preserve">were used to </w:t>
      </w:r>
      <w:r>
        <w:rPr>
          <w:rFonts w:cs="Arial" w:ascii="Nimbus Sans" w:hAnsi="Nimbus Sans"/>
          <w:sz w:val="24"/>
          <w:szCs w:val="24"/>
          <w:lang w:val="en-GB"/>
        </w:rPr>
        <w:t xml:space="preserve">provide differentiation between categories. The use of black lines </w:t>
      </w:r>
      <w:r>
        <w:rPr>
          <w:rFonts w:cs="Arial" w:ascii="Nimbus Sans" w:hAnsi="Nimbus Sans"/>
          <w:sz w:val="24"/>
          <w:szCs w:val="24"/>
          <w:lang w:val="en-GB"/>
        </w:rPr>
        <w:t xml:space="preserve">and text </w:t>
      </w:r>
      <w:r>
        <w:rPr>
          <w:rFonts w:cs="Arial" w:ascii="Nimbus Sans" w:hAnsi="Nimbus Sans"/>
          <w:sz w:val="24"/>
          <w:szCs w:val="24"/>
          <w:lang w:val="en-GB"/>
        </w:rPr>
        <w:t>against a white background helps</w:t>
      </w:r>
      <w:r>
        <w:rPr>
          <w:rFonts w:cs="Arial" w:ascii="Nimbus Sans" w:hAnsi="Nimbus Sans"/>
          <w:sz w:val="24"/>
          <w:szCs w:val="24"/>
          <w:lang w:val="en-GB"/>
        </w:rPr>
        <w:t xml:space="preserve"> </w:t>
      </w:r>
      <w:r>
        <w:rPr>
          <w:rFonts w:cs="Arial" w:ascii="Nimbus Sans" w:hAnsi="Nimbus Sans"/>
          <w:sz w:val="24"/>
          <w:szCs w:val="24"/>
          <w:lang w:val="en-GB"/>
        </w:rPr>
        <w:t>readabilit</w:t>
      </w:r>
      <w:r>
        <w:rPr>
          <w:rFonts w:cs="Arial" w:ascii="Nimbus Sans" w:hAnsi="Nimbus Sans"/>
          <w:sz w:val="24"/>
          <w:szCs w:val="24"/>
          <w:lang w:val="en-GB"/>
        </w:rPr>
        <w:t xml:space="preserve">y. This palette </w:t>
      </w:r>
      <w:r>
        <w:rPr>
          <w:rFonts w:cs="Arial" w:ascii="Nimbus Sans" w:hAnsi="Nimbus Sans"/>
          <w:sz w:val="24"/>
          <w:szCs w:val="24"/>
          <w:lang w:val="en-GB"/>
        </w:rPr>
        <w:t>aims to enhance</w:t>
      </w:r>
      <w:r>
        <w:rPr>
          <w:rFonts w:cs="Arial" w:ascii="Nimbus Sans" w:hAnsi="Nimbus Sans"/>
          <w:sz w:val="24"/>
          <w:szCs w:val="24"/>
          <w:lang w:val="en-GB"/>
        </w:rPr>
        <w:t xml:space="preserve"> </w:t>
      </w:r>
      <w:r>
        <w:rPr>
          <w:rFonts w:cs="Arial" w:ascii="Nimbus Sans" w:hAnsi="Nimbus Sans"/>
          <w:sz w:val="24"/>
          <w:szCs w:val="24"/>
          <w:lang w:val="en-GB"/>
        </w:rPr>
        <w:t>clarity</w:t>
      </w:r>
      <w:r>
        <w:rPr>
          <w:rFonts w:cs="Arial" w:ascii="Nimbus Sans" w:hAnsi="Nimbus Sans"/>
          <w:sz w:val="24"/>
          <w:szCs w:val="24"/>
          <w:lang w:val="en-GB"/>
        </w:rPr>
        <w:t xml:space="preserve"> in a printed document. </w:t>
      </w:r>
      <w:r>
        <w:rPr>
          <w:rFonts w:cs="Arial" w:ascii="Nimbus Sans" w:hAnsi="Nimbus Sans"/>
          <w:sz w:val="24"/>
          <w:szCs w:val="24"/>
          <w:lang w:val="en-GB"/>
        </w:rPr>
        <w:t>(**Cite)</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 xml:space="preserve">In contrast, the palette </w:t>
      </w:r>
      <w:r>
        <w:rPr>
          <w:rFonts w:cs="Arial" w:ascii="Nimbus Sans" w:hAnsi="Nimbus Sans"/>
          <w:sz w:val="24"/>
          <w:szCs w:val="24"/>
          <w:lang w:val="en-GB"/>
        </w:rPr>
        <w:t xml:space="preserve">for the presentation </w:t>
      </w:r>
      <w:r>
        <w:rPr>
          <w:rFonts w:cs="Arial" w:ascii="Nimbus Sans" w:hAnsi="Nimbus Sans"/>
          <w:sz w:val="24"/>
          <w:szCs w:val="24"/>
          <w:lang w:val="en-GB"/>
        </w:rPr>
        <w:t xml:space="preserve">was designed for impact in a </w:t>
      </w:r>
      <w:r>
        <w:rPr>
          <w:rFonts w:cs="Arial" w:ascii="Nimbus Sans" w:hAnsi="Nimbus Sans"/>
          <w:sz w:val="24"/>
          <w:szCs w:val="24"/>
          <w:lang w:val="en-GB"/>
        </w:rPr>
        <w:t xml:space="preserve">purely </w:t>
      </w:r>
      <w:r>
        <w:rPr>
          <w:rFonts w:cs="Arial" w:ascii="Nimbus Sans" w:hAnsi="Nimbus Sans"/>
          <w:sz w:val="24"/>
          <w:szCs w:val="24"/>
          <w:lang w:val="en-GB"/>
        </w:rPr>
        <w:t>visual. Brighter, high</w:t>
        <w:noBreakHyphen/>
        <w:t>contrast colo</w:t>
      </w:r>
      <w:r>
        <w:rPr>
          <w:rFonts w:cs="Arial" w:ascii="Nimbus Sans" w:hAnsi="Nimbus Sans"/>
          <w:sz w:val="24"/>
          <w:szCs w:val="24"/>
          <w:lang w:val="en-GB"/>
        </w:rPr>
        <w:t>u</w:t>
      </w:r>
      <w:r>
        <w:rPr>
          <w:rFonts w:cs="Arial" w:ascii="Nimbus Sans" w:hAnsi="Nimbus Sans"/>
          <w:sz w:val="24"/>
          <w:szCs w:val="24"/>
          <w:lang w:val="en-GB"/>
        </w:rPr>
        <w:t xml:space="preserve">rs such as gold, burnt orange, and sky blue stand out vividly against the dark blue background, </w:t>
      </w:r>
      <w:r>
        <w:rPr>
          <w:rFonts w:cs="Arial" w:ascii="Nimbus Sans" w:hAnsi="Nimbus Sans"/>
          <w:sz w:val="24"/>
          <w:szCs w:val="24"/>
          <w:lang w:val="en-GB"/>
        </w:rPr>
        <w:t>which was</w:t>
      </w:r>
      <w:r>
        <w:rPr>
          <w:rFonts w:cs="Arial" w:ascii="Nimbus Sans" w:hAnsi="Nimbus Sans"/>
          <w:sz w:val="24"/>
          <w:szCs w:val="24"/>
          <w:lang w:val="en-GB"/>
        </w:rPr>
        <w:t xml:space="preserve"> chosen to evoke </w:t>
      </w:r>
      <w:r>
        <w:rPr>
          <w:rFonts w:cs="Arial" w:ascii="Nimbus Sans" w:hAnsi="Nimbus Sans"/>
          <w:sz w:val="24"/>
          <w:szCs w:val="24"/>
          <w:lang w:val="en-GB"/>
        </w:rPr>
        <w:t>a “space theme”.</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drawing>
          <wp:anchor behindDoc="0" distT="0" distB="0" distL="0" distR="0" simplePos="0" locked="0" layoutInCell="0" allowOverlap="1" relativeHeight="11">
            <wp:simplePos x="0" y="0"/>
            <wp:positionH relativeFrom="column">
              <wp:posOffset>2540</wp:posOffset>
            </wp:positionH>
            <wp:positionV relativeFrom="paragraph">
              <wp:posOffset>50165</wp:posOffset>
            </wp:positionV>
            <wp:extent cx="3308985" cy="558800"/>
            <wp:effectExtent l="0" t="0" r="0" b="0"/>
            <wp:wrapTopAndBottom/>
            <wp:docPr id="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 descr="" title=""/>
                    <pic:cNvPicPr>
                      <a:picLocks noChangeAspect="1" noChangeArrowheads="1"/>
                    </pic:cNvPicPr>
                  </pic:nvPicPr>
                  <pic:blipFill>
                    <a:blip r:embed="rId7"/>
                    <a:stretch>
                      <a:fillRect/>
                    </a:stretch>
                  </pic:blipFill>
                  <pic:spPr bwMode="auto">
                    <a:xfrm>
                      <a:off x="0" y="0"/>
                      <a:ext cx="3308985" cy="558800"/>
                    </a:xfrm>
                    <a:prstGeom prst="rect">
                      <a:avLst/>
                    </a:prstGeom>
                  </pic:spPr>
                </pic:pic>
              </a:graphicData>
            </a:graphic>
          </wp:anchor>
        </w:drawing>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This palette mak</w:t>
      </w:r>
      <w:r>
        <w:rPr>
          <w:rFonts w:cs="Arial" w:ascii="Nimbus Sans" w:hAnsi="Nimbus Sans"/>
          <w:sz w:val="24"/>
          <w:szCs w:val="24"/>
          <w:lang w:val="en-GB"/>
        </w:rPr>
        <w:t>es</w:t>
      </w:r>
      <w:r>
        <w:rPr>
          <w:rFonts w:cs="Arial" w:ascii="Nimbus Sans" w:hAnsi="Nimbus Sans"/>
          <w:sz w:val="24"/>
          <w:szCs w:val="24"/>
          <w:lang w:val="en-GB"/>
        </w:rPr>
        <w:t xml:space="preserve"> charts and graphics more dynamic and easier to interpret at a glance. White lines on a dark background improve visibility </w:t>
      </w:r>
      <w:r>
        <w:rPr>
          <w:rFonts w:cs="Arial" w:ascii="Nimbus Sans" w:hAnsi="Nimbus Sans"/>
          <w:sz w:val="24"/>
          <w:szCs w:val="24"/>
          <w:lang w:val="en-GB"/>
        </w:rPr>
        <w:t xml:space="preserve">presentation </w:t>
      </w:r>
      <w:r>
        <w:rPr>
          <w:rFonts w:cs="Arial" w:ascii="Nimbus Sans" w:hAnsi="Nimbus Sans"/>
          <w:sz w:val="24"/>
          <w:szCs w:val="24"/>
          <w:lang w:val="en-GB"/>
        </w:rPr>
        <w:t xml:space="preserve">environments, while secondary tones like slate grey and light grey provide balance </w:t>
      </w:r>
      <w:r>
        <w:rPr>
          <w:rFonts w:cs="Arial" w:ascii="Nimbus Sans" w:hAnsi="Nimbus Sans"/>
          <w:sz w:val="24"/>
          <w:szCs w:val="24"/>
          <w:lang w:val="en-GB"/>
        </w:rPr>
        <w:t>to the vibrant colours (Munzer 2014).</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 xml:space="preserve">The gradient colours used for </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Heading2"/>
        <w:numPr>
          <w:ilvl w:val="1"/>
          <w:numId w:val="1"/>
        </w:numPr>
        <w:ind w:hanging="0" w:start="0"/>
        <w:rPr/>
      </w:pPr>
      <w:bookmarkStart w:id="19" w:name="__RefHeading___Toc1780_3613666628"/>
      <w:bookmarkEnd w:id="19"/>
      <w:r>
        <w:rPr/>
        <w:t>Chart Selection</w:t>
      </w:r>
    </w:p>
    <w:p>
      <w:pPr>
        <w:pStyle w:val="Normal"/>
        <w:widowControl/>
        <w:bidi w:val="0"/>
        <w:spacing w:before="0" w:after="0"/>
        <w:jc w:val="both"/>
        <w:rPr>
          <w:rFonts w:ascii="Nimbus Sans" w:hAnsi="Nimbus Sans" w:cs="Arial"/>
          <w:sz w:val="24"/>
          <w:szCs w:val="24"/>
          <w:lang w:val="en-GB"/>
        </w:rPr>
      </w:pPr>
      <w:r>
        <w:rPr>
          <w:rStyle w:val="Strong"/>
          <w:rFonts w:cs="Arial" w:ascii="Nimbus Sans" w:hAnsi="Nimbus Sans"/>
          <w:sz w:val="24"/>
          <w:szCs w:val="24"/>
          <w:lang w:val="en-GB"/>
        </w:rPr>
        <w:t>Graph types</w:t>
      </w:r>
      <w:r>
        <w:rPr>
          <w:rFonts w:cs="Arial" w:ascii="Nimbus Sans" w:hAnsi="Nimbus Sans"/>
          <w:sz w:val="24"/>
          <w:szCs w:val="24"/>
          <w:lang w:val="en-GB"/>
        </w:rPr>
        <w:t xml:space="preserve"> were chosen to match the nature of the data. </w:t>
      </w:r>
      <w:r>
        <w:rPr>
          <w:rStyle w:val="Emphasis"/>
          <w:rFonts w:cs="Arial" w:ascii="Nimbus Sans" w:hAnsi="Nimbus Sans"/>
          <w:sz w:val="24"/>
          <w:szCs w:val="24"/>
          <w:lang w:val="en-GB"/>
        </w:rPr>
        <w:t>Horizontal bar charts</w:t>
      </w:r>
      <w:r>
        <w:rPr>
          <w:rFonts w:cs="Arial" w:ascii="Nimbus Sans" w:hAnsi="Nimbus Sans"/>
          <w:sz w:val="24"/>
          <w:szCs w:val="24"/>
          <w:lang w:val="en-GB"/>
        </w:rPr>
        <w:t xml:space="preserve"> were employed for categorical comparisons with long labels, such as nations or companies, where ranking and readability are paramount. </w:t>
      </w:r>
      <w:r>
        <w:rPr>
          <w:rStyle w:val="Emphasis"/>
          <w:rFonts w:cs="Arial" w:ascii="Nimbus Sans" w:hAnsi="Nimbus Sans"/>
          <w:sz w:val="24"/>
          <w:szCs w:val="24"/>
          <w:lang w:val="en-GB"/>
        </w:rPr>
        <w:t>Bubble charts</w:t>
      </w:r>
      <w:r>
        <w:rPr>
          <w:rFonts w:cs="Arial" w:ascii="Nimbus Sans" w:hAnsi="Nimbus Sans"/>
          <w:sz w:val="24"/>
          <w:szCs w:val="24"/>
          <w:lang w:val="en-GB"/>
        </w:rPr>
        <w:t xml:space="preserve"> were used to display relationships between three variables simultaneously, allowing orbital density to be visualized by country, firm, and satellite size. </w:t>
      </w:r>
      <w:r>
        <w:rPr>
          <w:rStyle w:val="Emphasis"/>
          <w:rFonts w:cs="Arial" w:ascii="Nimbus Sans" w:hAnsi="Nimbus Sans"/>
          <w:sz w:val="24"/>
          <w:szCs w:val="24"/>
          <w:lang w:val="en-GB"/>
        </w:rPr>
        <w:t>Donut charts</w:t>
      </w:r>
      <w:r>
        <w:rPr>
          <w:rFonts w:cs="Arial" w:ascii="Nimbus Sans" w:hAnsi="Nimbus Sans"/>
          <w:sz w:val="24"/>
          <w:szCs w:val="24"/>
          <w:lang w:val="en-GB"/>
        </w:rPr>
        <w:t xml:space="preserve"> were selected to illustrate proportions of a whole, such as the share of satellites by sector, with the central space providing room for labels or icons that reinforce the narrative.</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ontrast (emphasizing key insights with brighter tones), and accessibility (avoiding problematic red/green contrasts to ensure interpretability for color</w:t>
        <w:noBreakHyphen/>
        <w:t xml:space="preserve">blind viewers). </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BodyText"/>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 xml:space="preserve">Additional design principles included </w:t>
      </w:r>
      <w:r>
        <w:rPr>
          <w:rStyle w:val="Strong"/>
          <w:rFonts w:cs="Arial" w:ascii="Nimbus Sans" w:hAnsi="Nimbus Sans"/>
          <w:sz w:val="24"/>
          <w:szCs w:val="24"/>
          <w:lang w:val="en-GB"/>
        </w:rPr>
        <w:t>consistency</w:t>
      </w:r>
      <w:r>
        <w:rPr>
          <w:rFonts w:cs="Arial" w:ascii="Nimbus Sans" w:hAnsi="Nimbus Sans"/>
          <w:sz w:val="24"/>
          <w:szCs w:val="24"/>
          <w:lang w:val="en-GB"/>
        </w:rPr>
        <w:t xml:space="preserve"> (uniform fonts and line styles across visuals),Tools such as spreadsheet software for data cleaning and visualization libraries for chart creation were integrated into a storyboard workflow that sequenced visuals to build a coherent narrative arc: context, trends, risks, and mitigation.</w:t>
      </w:r>
    </w:p>
    <w:p>
      <w:pPr>
        <w:pStyle w:val="BodyText"/>
        <w:rPr/>
      </w:pPr>
      <w:r>
        <w:rPr/>
        <w:t>Together, these choices ensured that the infographics were not only visually appealing but also effective in guiding the audience through the complexity of orbital congestion and the Kessler Syndrome.</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Bubble charts, horizontal bar charts. Donut charts – chosen because….!?</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Story Board for Presentation</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Sequencing visuals to build a narrative arc — starting with context, then in orbit trends, then risks, and finally mitigation strategies.</w:t>
      </w:r>
      <w:r>
        <w:br w:type="page"/>
      </w:r>
    </w:p>
    <w:p>
      <w:pPr>
        <w:pStyle w:val="Heading1"/>
        <w:numPr>
          <w:ilvl w:val="0"/>
          <w:numId w:val="1"/>
        </w:numPr>
        <w:spacing w:before="0" w:after="120"/>
        <w:rPr/>
      </w:pPr>
      <w:bookmarkStart w:id="20" w:name="__RefHeading___Toc1782_3613666628"/>
      <w:bookmarkEnd w:id="20"/>
      <w:r>
        <w:rPr/>
        <w:t>Part 3 (Results) – From Launch to Litter</w:t>
      </w:r>
    </w:p>
    <w:p>
      <w:pPr>
        <w:pStyle w:val="Normal"/>
        <w:widowControl/>
        <w:bidi w:val="0"/>
        <w:spacing w:before="0" w:after="0"/>
        <w:jc w:val="both"/>
        <w:rPr>
          <w:lang w:val="en-GB"/>
        </w:rPr>
      </w:pPr>
      <w:r>
        <w:rPr>
          <w:rFonts w:ascii="Nimbus Sans" w:hAnsi="Nimbus Sans"/>
          <w:sz w:val="24"/>
          <w:szCs w:val="24"/>
          <w:lang w:val="en-GB"/>
        </w:rPr>
        <w:t>This section of the report will use graphs and diagrams to illustrate the issue and answer the questions posed above. The following terminology may be useful to the reader:</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tbl>
      <w:tblPr>
        <w:tblW w:w="9720" w:type="dxa"/>
        <w:jc w:val="start"/>
        <w:tblInd w:w="0" w:type="dxa"/>
        <w:tblLayout w:type="fixed"/>
        <w:tblCellMar>
          <w:top w:w="0" w:type="dxa"/>
          <w:start w:w="0" w:type="dxa"/>
          <w:bottom w:w="0" w:type="dxa"/>
          <w:end w:w="0" w:type="dxa"/>
        </w:tblCellMar>
      </w:tblPr>
      <w:tblGrid>
        <w:gridCol w:w="1796"/>
        <w:gridCol w:w="7923"/>
      </w:tblGrid>
      <w:tr>
        <w:trPr/>
        <w:tc>
          <w:tcPr>
            <w:tcW w:w="1796" w:type="dxa"/>
            <w:tcBorders/>
          </w:tcPr>
          <w:p>
            <w:pPr>
              <w:pStyle w:val="TableContents"/>
              <w:jc w:val="both"/>
              <w:rPr>
                <w:lang w:val="en-GB"/>
              </w:rPr>
            </w:pPr>
            <w:r>
              <w:rPr>
                <w:rFonts w:ascii="Nimbus Sans" w:hAnsi="Nimbus Sans"/>
                <w:sz w:val="16"/>
                <w:szCs w:val="16"/>
                <w:lang w:val="en-GB"/>
              </w:rPr>
              <w:t>Terminology</w:t>
            </w:r>
          </w:p>
        </w:tc>
        <w:tc>
          <w:tcPr>
            <w:tcW w:w="7923" w:type="dxa"/>
            <w:tcBorders/>
          </w:tcPr>
          <w:p>
            <w:pPr>
              <w:pStyle w:val="TableContents"/>
              <w:jc w:val="both"/>
              <w:rPr>
                <w:lang w:val="en-GB"/>
              </w:rPr>
            </w:pPr>
            <w:r>
              <w:rPr>
                <w:rFonts w:ascii="Nimbus Sans" w:hAnsi="Nimbus Sans"/>
                <w:sz w:val="16"/>
                <w:szCs w:val="16"/>
                <w:lang w:val="en-GB"/>
              </w:rPr>
              <w:t>Definition</w:t>
            </w:r>
          </w:p>
        </w:tc>
      </w:tr>
      <w:tr>
        <w:trPr/>
        <w:tc>
          <w:tcPr>
            <w:tcW w:w="1796" w:type="dxa"/>
            <w:tcBorders/>
          </w:tcPr>
          <w:p>
            <w:pPr>
              <w:pStyle w:val="TableContents"/>
              <w:jc w:val="both"/>
              <w:rPr>
                <w:lang w:val="en-GB"/>
              </w:rPr>
            </w:pPr>
            <w:r>
              <w:rPr>
                <w:rFonts w:ascii="Nimbus Sans" w:hAnsi="Nimbus Sans"/>
                <w:sz w:val="16"/>
                <w:szCs w:val="16"/>
                <w:lang w:val="en-GB"/>
              </w:rPr>
              <w:t>Payload</w:t>
            </w:r>
          </w:p>
        </w:tc>
        <w:tc>
          <w:tcPr>
            <w:tcW w:w="7923" w:type="dxa"/>
            <w:tcBorders/>
          </w:tcPr>
          <w:p>
            <w:pPr>
              <w:pStyle w:val="TableContents"/>
              <w:jc w:val="both"/>
              <w:rPr>
                <w:lang w:val="en-GB"/>
              </w:rPr>
            </w:pPr>
            <w:r>
              <w:rPr>
                <w:rFonts w:ascii="Nimbus Sans" w:hAnsi="Nimbus Sans"/>
                <w:sz w:val="16"/>
                <w:szCs w:val="16"/>
                <w:lang w:val="en-GB"/>
              </w:rPr>
              <w:t>A satellite, space craft or permanent space station.</w:t>
            </w:r>
          </w:p>
        </w:tc>
      </w:tr>
      <w:tr>
        <w:trPr/>
        <w:tc>
          <w:tcPr>
            <w:tcW w:w="1796" w:type="dxa"/>
            <w:tcBorders/>
          </w:tcPr>
          <w:p>
            <w:pPr>
              <w:pStyle w:val="TableContents"/>
              <w:jc w:val="both"/>
              <w:rPr>
                <w:lang w:val="en-GB"/>
              </w:rPr>
            </w:pPr>
            <w:r>
              <w:rPr>
                <w:rFonts w:ascii="Nimbus Sans" w:hAnsi="Nimbus Sans"/>
                <w:sz w:val="16"/>
                <w:szCs w:val="16"/>
                <w:lang w:val="en-GB"/>
              </w:rPr>
              <w:t>Debris</w:t>
            </w:r>
          </w:p>
        </w:tc>
        <w:tc>
          <w:tcPr>
            <w:tcW w:w="7923" w:type="dxa"/>
            <w:tcBorders/>
          </w:tcPr>
          <w:p>
            <w:pPr>
              <w:pStyle w:val="TableContents"/>
              <w:jc w:val="both"/>
              <w:rPr>
                <w:lang w:val="en-GB"/>
              </w:rPr>
            </w:pPr>
            <w:r>
              <w:rPr>
                <w:rFonts w:ascii="Nimbus Sans" w:hAnsi="Nimbus Sans"/>
                <w:sz w:val="16"/>
                <w:szCs w:val="16"/>
                <w:lang w:val="en-GB"/>
              </w:rPr>
              <w:t>Trackable objects over 10cm (4 inches) in size. This is the current threshold for possible monitoring.</w:t>
            </w:r>
          </w:p>
        </w:tc>
      </w:tr>
      <w:tr>
        <w:trPr/>
        <w:tc>
          <w:tcPr>
            <w:tcW w:w="1796" w:type="dxa"/>
            <w:tcBorders/>
          </w:tcPr>
          <w:p>
            <w:pPr>
              <w:pStyle w:val="TableContents"/>
              <w:jc w:val="both"/>
              <w:rPr>
                <w:lang w:val="en-GB"/>
              </w:rPr>
            </w:pPr>
            <w:r>
              <w:rPr>
                <w:rFonts w:ascii="Nimbus Sans" w:hAnsi="Nimbus Sans"/>
                <w:sz w:val="16"/>
                <w:szCs w:val="16"/>
                <w:lang w:val="en-GB"/>
              </w:rPr>
              <w:t>Component</w:t>
            </w:r>
          </w:p>
        </w:tc>
        <w:tc>
          <w:tcPr>
            <w:tcW w:w="7923" w:type="dxa"/>
            <w:tcBorders/>
          </w:tcPr>
          <w:p>
            <w:pPr>
              <w:pStyle w:val="TableContents"/>
              <w:jc w:val="both"/>
              <w:rPr>
                <w:rFonts w:ascii="Nimbus Sans" w:hAnsi="Nimbus Sans"/>
                <w:sz w:val="16"/>
                <w:szCs w:val="16"/>
                <w:lang w:val="en-GB"/>
              </w:rPr>
            </w:pPr>
            <w:r>
              <w:rPr>
                <w:rFonts w:ascii="Nimbus Sans" w:hAnsi="Nimbus Sans"/>
                <w:sz w:val="16"/>
                <w:szCs w:val="16"/>
                <w:lang w:val="en-GB"/>
              </w:rPr>
              <w:t>Small objects, such as rubbish bags, gloves, lost tools.</w:t>
            </w:r>
          </w:p>
        </w:tc>
      </w:tr>
      <w:tr>
        <w:trPr/>
        <w:tc>
          <w:tcPr>
            <w:tcW w:w="1796" w:type="dxa"/>
            <w:tcBorders/>
          </w:tcPr>
          <w:p>
            <w:pPr>
              <w:pStyle w:val="TableContents"/>
              <w:jc w:val="both"/>
              <w:rPr>
                <w:lang w:val="en-GB"/>
              </w:rPr>
            </w:pPr>
            <w:r>
              <w:rPr>
                <w:rFonts w:ascii="Nimbus Sans" w:hAnsi="Nimbus Sans"/>
                <w:sz w:val="16"/>
                <w:szCs w:val="16"/>
                <w:lang w:val="en-GB"/>
              </w:rPr>
              <w:t>Rocket Body</w:t>
            </w:r>
          </w:p>
        </w:tc>
        <w:tc>
          <w:tcPr>
            <w:tcW w:w="7923" w:type="dxa"/>
            <w:tcBorders/>
          </w:tcPr>
          <w:p>
            <w:pPr>
              <w:pStyle w:val="TableContents"/>
              <w:jc w:val="both"/>
              <w:rPr>
                <w:lang w:val="en-GB"/>
              </w:rPr>
            </w:pPr>
            <w:r>
              <w:rPr>
                <w:rFonts w:ascii="Nimbus Sans" w:hAnsi="Nimbus Sans"/>
                <w:sz w:val="16"/>
                <w:szCs w:val="16"/>
                <w:lang w:val="en-GB"/>
              </w:rPr>
              <w:t>Piece of a launch vehicle, such as a rocket stage or booster engine.</w:t>
            </w:r>
          </w:p>
        </w:tc>
      </w:tr>
    </w:tbl>
    <w:p>
      <w:pPr>
        <w:pStyle w:val="Normal"/>
        <w:widowControl/>
        <w:bidi w:val="0"/>
        <w:spacing w:before="0" w:after="0"/>
        <w:jc w:val="both"/>
        <w:rPr>
          <w:rFonts w:ascii="Nimbus Sans" w:hAnsi="Nimbus Sans"/>
          <w:color w:val="C9211E"/>
          <w:sz w:val="24"/>
          <w:szCs w:val="24"/>
        </w:rPr>
      </w:pPr>
      <w:r>
        <w:rPr>
          <w:rFonts w:ascii="Nimbus Sans" w:hAnsi="Nimbus Sans"/>
          <w:color w:val="C9211E"/>
          <w:sz w:val="24"/>
          <w:szCs w:val="24"/>
        </w:rPr>
      </w:r>
    </w:p>
    <w:p>
      <w:pPr>
        <w:pStyle w:val="Heading2"/>
        <w:numPr>
          <w:ilvl w:val="1"/>
          <w:numId w:val="1"/>
        </w:numPr>
        <w:ind w:hanging="0" w:start="0"/>
        <w:rPr/>
      </w:pPr>
      <w:bookmarkStart w:id="21" w:name="__RefHeading___Toc1787_3613666628"/>
      <w:bookmarkEnd w:id="21"/>
      <w:r>
        <w:rPr/>
        <w:t>What is the current state of orbital congestion, and how has it evolved since space exploration began in the late 1950s?</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lang w:val="en-GB"/>
        </w:rPr>
      </w:pPr>
      <w:r>
        <w:rPr>
          <w:rFonts w:ascii="Nimbus Sans" w:hAnsi="Nimbus Sans"/>
          <w:sz w:val="24"/>
          <w:szCs w:val="24"/>
          <w:lang w:val="en-GB"/>
        </w:rPr>
        <w:t>The early decades of spaceflight were dominated by military and geopolitical competition. The Cold War between the USSR and the West led to rapid satellite proliferation. The main players in satellite deployment were the USA and the USSR; few other countries had the means or resources to develop payloads or to fund launches. For instance, the UK Government used NASA rockets to launch its first satellites named Ariel 1,2 and 3 in 1962, 1964 and 1967 respectively.</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lang w:val="en-GB"/>
        </w:rPr>
      </w:pPr>
      <w:r>
        <w:rPr>
          <w:rFonts w:ascii="Nimbus Sans" w:hAnsi="Nimbus Sans"/>
          <w:sz w:val="24"/>
          <w:szCs w:val="24"/>
          <w:lang w:val="en-GB"/>
        </w:rPr>
        <w:t xml:space="preserve">In the 1950s and 60s, satellite technology was mainly focussed on defence capability and on space exploration.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lang w:val="en-GB"/>
        </w:rPr>
      </w:pPr>
      <w:r>
        <w:rPr>
          <w:rFonts w:ascii="Nimbus Sans" w:hAnsi="Nimbus Sans"/>
          <w:sz w:val="24"/>
          <w:szCs w:val="24"/>
          <w:lang w:val="en-GB"/>
        </w:rPr>
        <w:t xml:space="preserve">While there was some private commercial interest, the majority of satellite programs were government backed, whichever country sponsored them: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29501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8"/>
                    <a:stretch>
                      <a:fillRect/>
                    </a:stretch>
                  </pic:blipFill>
                  <pic:spPr bwMode="auto">
                    <a:xfrm>
                      <a:off x="0" y="0"/>
                      <a:ext cx="6120130" cy="3295015"/>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color w:val="FF4000"/>
          <w:lang w:val="en-GB"/>
        </w:rPr>
      </w:pPr>
      <w:r>
        <w:rPr>
          <w:rFonts w:ascii="Nimbus Sans" w:hAnsi="Nimbus Sans"/>
          <w:color w:val="FF4000"/>
          <w:sz w:val="24"/>
          <w:szCs w:val="24"/>
          <w:lang w:val="en-GB"/>
        </w:rPr>
        <w:t>[INSERT TABLE showing: COUNTRY, Max apogee, min apogee, counts of (top five categories, average mass… class, type) by decade]</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lang w:val="en-GB"/>
        </w:rPr>
      </w:pPr>
      <w:r>
        <w:rPr>
          <w:rFonts w:ascii="Nimbus Sans" w:hAnsi="Nimbus Sans"/>
          <w:sz w:val="24"/>
          <w:szCs w:val="24"/>
          <w:lang w:val="en-GB"/>
        </w:rPr>
        <w:t>Early space missions often failed and a lot of debris was created as well as satellite payloads deployed. Space junk was left in orbit without much thought for long</w:t>
        <w:noBreakHyphen/>
        <w:t xml:space="preserve">term sustainability. </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ascii="Nimbus Sans" w:hAnsi="Nimbus Sans"/>
          <w:sz w:val="24"/>
          <w:szCs w:val="24"/>
          <w:lang w:val="en-GB"/>
        </w:rPr>
        <w:t>From the 1990s onward, while governments continued to launch payloads such as the 24 payloads involved in the first GPS full constellation</w:t>
      </w:r>
      <w:r>
        <w:rPr>
          <w:rStyle w:val="FootnoteReference"/>
          <w:rFonts w:ascii="Nimbus Sans" w:hAnsi="Nimbus Sans"/>
          <w:sz w:val="24"/>
          <w:szCs w:val="24"/>
          <w:lang w:val="en-GB"/>
        </w:rPr>
        <w:footnoteReference w:id="2"/>
      </w:r>
      <w:r>
        <w:rPr>
          <w:rFonts w:ascii="Nimbus Sans" w:hAnsi="Nimbus Sans"/>
          <w:sz w:val="24"/>
          <w:szCs w:val="24"/>
          <w:lang w:val="en-GB"/>
        </w:rPr>
        <w:t xml:space="preserve"> more private companies started to become interested in space launching satellites for telecommunications, Earth observation and imaging, and navigation. Google Earth, for example, </w:t>
      </w:r>
      <w:r>
        <w:rPr>
          <w:rFonts w:ascii="Nimbus Sans" w:hAnsi="Nimbus Sans"/>
          <w:sz w:val="24"/>
          <w:szCs w:val="24"/>
          <w:lang w:val="en-GB" w:eastAsia="zh-CN" w:bidi="hi-IN"/>
        </w:rPr>
        <w:t>utilised</w:t>
      </w:r>
      <w:r>
        <w:rPr>
          <w:rFonts w:ascii="Nimbus Sans" w:hAnsi="Nimbus Sans"/>
          <w:sz w:val="24"/>
          <w:szCs w:val="24"/>
          <w:lang w:val="en-GB"/>
        </w:rPr>
        <w:t xml:space="preserve"> NASA satellites for commercial purposes. This shift introduced new stakeholders to space technology and accelerated growth and competition. </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lang w:val="en-GB"/>
        </w:rPr>
      </w:pPr>
      <w:r>
        <w:rPr>
          <w:rFonts w:ascii="Nimbus Sans" w:hAnsi="Nimbus Sans"/>
          <w:sz w:val="24"/>
          <w:szCs w:val="24"/>
          <w:lang w:val="en-GB"/>
        </w:rPr>
        <w:t>The 2010s and 2020s have marked a turning point, with firms like SpaceX, OneWeb, and Amazon’s Project Kuiper planning to launch tens of thousands of satellites. This scale is unprecedented compared to earlier decades and may well push object density into the territory of a Kessler Cascade.</w:t>
      </w:r>
    </w:p>
    <w:p>
      <w:pPr>
        <w:pStyle w:val="Normal"/>
        <w:widowControl/>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At the time of writing in early December 2025, there are over 32,000 tracked objects, and many millions more that are too small to monitor. Around 17,300 objects are satellite payloads, with around 10,000 of these being currently actively in service. (**cite)</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334000" cy="2644140"/>
            <wp:effectExtent l="0" t="0" r="0" b="0"/>
            <wp:wrapTopAndBottom/>
            <wp:docPr id="7"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title=""/>
                    <pic:cNvPicPr>
                      <a:picLocks noChangeAspect="1" noChangeArrowheads="1"/>
                    </pic:cNvPicPr>
                  </pic:nvPicPr>
                  <pic:blipFill>
                    <a:blip r:embed="rId9"/>
                    <a:stretch>
                      <a:fillRect/>
                    </a:stretch>
                  </pic:blipFill>
                  <pic:spPr bwMode="auto">
                    <a:xfrm>
                      <a:off x="0" y="0"/>
                      <a:ext cx="5334000" cy="2644140"/>
                    </a:xfrm>
                    <a:prstGeom prst="rect">
                      <a:avLst/>
                    </a:prstGeom>
                  </pic:spPr>
                </pic:pic>
              </a:graphicData>
            </a:graphic>
          </wp:anchor>
        </w:drawing>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The total mass of tracked space objects is estimated to be 13,136 metric tons, the same as 730 London buses (**cite – Routemaster is 18tonnes).</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tbl>
      <w:tblPr>
        <w:tblW w:w="8645" w:type="dxa"/>
        <w:jc w:val="start"/>
        <w:tblInd w:w="0" w:type="dxa"/>
        <w:tblLayout w:type="fixed"/>
        <w:tblCellMar>
          <w:top w:w="0" w:type="dxa"/>
          <w:start w:w="0" w:type="dxa"/>
          <w:bottom w:w="0" w:type="dxa"/>
          <w:end w:w="0" w:type="dxa"/>
        </w:tblCellMar>
      </w:tblPr>
      <w:tblGrid>
        <w:gridCol w:w="3779"/>
        <w:gridCol w:w="4865"/>
      </w:tblGrid>
      <w:tr>
        <w:trPr/>
        <w:tc>
          <w:tcPr>
            <w:tcW w:w="3779" w:type="dxa"/>
            <w:tcBorders/>
          </w:tcPr>
          <w:p>
            <w:pPr>
              <w:pStyle w:val="TableContents"/>
              <w:rPr>
                <w:lang w:val="en-GB"/>
              </w:rPr>
            </w:pPr>
            <w:r>
              <w:rPr>
                <w:lang w:val="en-GB"/>
              </w:rPr>
              <w:drawing>
                <wp:anchor behindDoc="0" distT="0" distB="0" distL="0" distR="0" simplePos="0" locked="0" layoutInCell="1" allowOverlap="1" relativeHeight="6">
                  <wp:simplePos x="0" y="0"/>
                  <wp:positionH relativeFrom="column">
                    <wp:posOffset>33020</wp:posOffset>
                  </wp:positionH>
                  <wp:positionV relativeFrom="paragraph">
                    <wp:posOffset>29845</wp:posOffset>
                  </wp:positionV>
                  <wp:extent cx="2206625" cy="2042160"/>
                  <wp:effectExtent l="0" t="0" r="0" b="0"/>
                  <wp:wrapTopAndBottom/>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10"/>
                          <a:stretch>
                            <a:fillRect/>
                          </a:stretch>
                        </pic:blipFill>
                        <pic:spPr bwMode="auto">
                          <a:xfrm>
                            <a:off x="0" y="0"/>
                            <a:ext cx="2206625" cy="2042160"/>
                          </a:xfrm>
                          <a:prstGeom prst="rect">
                            <a:avLst/>
                          </a:prstGeom>
                        </pic:spPr>
                      </pic:pic>
                    </a:graphicData>
                  </a:graphic>
                </wp:anchor>
              </w:drawing>
            </w:r>
          </w:p>
          <w:p>
            <w:pPr>
              <w:pStyle w:val="TableContents"/>
              <w:rPr>
                <w:lang w:val="en-GB"/>
              </w:rPr>
            </w:pPr>
            <w:r>
              <w:rPr>
                <w:lang w:val="en-GB"/>
              </w:rPr>
            </w:r>
          </w:p>
          <w:p>
            <w:pPr>
              <w:pStyle w:val="TableContents"/>
              <w:rPr>
                <w:lang w:val="en-GB"/>
              </w:rPr>
            </w:pPr>
            <w:r>
              <w:rPr>
                <w:lang w:val="en-GB"/>
              </w:rPr>
            </w:r>
          </w:p>
        </w:tc>
        <w:tc>
          <w:tcPr>
            <w:tcW w:w="4865" w:type="dxa"/>
            <w:tcBorders/>
          </w:tcPr>
          <w:p>
            <w:pPr>
              <w:pStyle w:val="TableContents"/>
              <w:rPr>
                <w:lang w:val="en-GB"/>
              </w:rPr>
            </w:pPr>
            <w:r>
              <w:rPr>
                <w:lang w:val="en-GB"/>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2957830" cy="2011680"/>
                  <wp:effectExtent l="0" t="0" r="0" b="0"/>
                  <wp:wrapTopAndBottom/>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1"/>
                          <a:stretch>
                            <a:fillRect/>
                          </a:stretch>
                        </pic:blipFill>
                        <pic:spPr bwMode="auto">
                          <a:xfrm>
                            <a:off x="0" y="0"/>
                            <a:ext cx="2957830" cy="2011680"/>
                          </a:xfrm>
                          <a:prstGeom prst="rect">
                            <a:avLst/>
                          </a:prstGeom>
                        </pic:spPr>
                      </pic:pic>
                    </a:graphicData>
                  </a:graphic>
                </wp:anchor>
              </w:drawing>
            </w:r>
          </w:p>
        </w:tc>
      </w:tr>
    </w:tbl>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Heading2"/>
        <w:numPr>
          <w:ilvl w:val="1"/>
          <w:numId w:val="1"/>
        </w:numPr>
        <w:ind w:hanging="0" w:start="0"/>
        <w:rPr/>
      </w:pPr>
      <w:bookmarkStart w:id="22" w:name="__RefHeading___Toc3793_3613666628"/>
      <w:bookmarkEnd w:id="22"/>
      <w:r>
        <w:rPr/>
        <w:t>What trends in satellite launches are driving the risk of Kessler Syndrome?</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lang w:val="en-GB"/>
        </w:rPr>
      </w:pPr>
      <w:r>
        <w:rPr>
          <w:rFonts w:ascii="Nimbus Sans" w:hAnsi="Nimbus Sans"/>
          <w:b w:val="false"/>
          <w:bCs w:val="false"/>
          <w:sz w:val="24"/>
          <w:szCs w:val="24"/>
          <w:lang w:val="en-GB"/>
        </w:rPr>
        <w:t xml:space="preserve">Discuss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The most significant trend of the past decade has been the emergence of megaconstellations. Companies like SpaceX (Starlink), OneWeb, and Amazon (Project Kuiper) plan to deploy tens of thousands of satellites in Low Earth Orbit (LEO). Starlink alone has already launched thousands, with thousands more scheduled. These constellations rely on mass production, smaller satellite designs, and frequent launches, creating unprecedented congestion in orbital shells between 500–1,200 km.</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1957–1960s: Dozens of launches annually, driven by Cold War competition.</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1970s–1980s: Expansion into weather, communications, and military satellites, reaching hundreds annually.</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1990s: Post</w:t>
        <w:noBreakHyphen/>
        <w:t>Cold War slowdown, fewer than 100 launches per year.</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2000s: Commercialization era, ~60–80 launches annually.</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2010s: Rise of private firms like SpaceX, ~80–110 launches annually.</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2020s: Megaconstellations dominate, with &gt;250 launches annually by 2025.</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Another trend is the global diversification of launch providers. Nations such as China, India, and emerging space actors are rapidly expanding their fleets, while private firms worldwide are lowering launch costs through reusable rockets. This democratization of access to orbit means more satellites from more stakeholders, often without unified debris</w:t>
        <w:noBreakHyphen/>
        <w:t>mitigation standards.</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Finally, shorter satellite lifespans and rapid technological turnover contribute to a growing population of defunct spacecraft. Combined with limited enforcement of deorbiting policies, this increases the likelihood of collisions. Together, these trends—megaconstellations, global expansion, and rapid turnover—are driving orbital densities toward the tipping point envisioned by Kessler, raising the risk of cascading debris events.</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lang w:val="en-GB"/>
        </w:rPr>
      </w:pPr>
      <w:r>
        <w:rPr>
          <w:rFonts w:ascii="Nimbus Sans" w:hAnsi="Nimbus Sans"/>
          <w:b w:val="false"/>
          <w:bCs w:val="false"/>
          <w:sz w:val="24"/>
          <w:szCs w:val="24"/>
          <w:lang w:val="en-GB"/>
        </w:rPr>
        <w:t xml:space="preserve">Low Earth Orbit (LEO), particularly altitudes between 500–1,200 km, is the most crowded region due to its utility for communications and Earth observation. </w:t>
      </w:r>
      <w:r>
        <w:rPr>
          <w:rFonts w:ascii="Nimbus Sans" w:hAnsi="Nimbus Sans"/>
          <w:b w:val="false"/>
          <w:bCs w:val="false"/>
          <w:color w:val="FF4000"/>
          <w:sz w:val="24"/>
          <w:szCs w:val="24"/>
          <w:lang w:val="en-GB"/>
        </w:rPr>
        <w:t>Show that comms satellites need to be near earth – Starlink say they want to be a cell tower.</w:t>
      </w:r>
      <w:r>
        <w:rPr>
          <w:rFonts w:ascii="Nimbus Sans" w:hAnsi="Nimbus Sans"/>
          <w:b w:val="false"/>
          <w:bCs w:val="false"/>
          <w:sz w:val="24"/>
          <w:szCs w:val="24"/>
          <w:lang w:val="en-GB"/>
        </w:rPr>
        <w:t xml:space="preserve">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967990" cy="2773680"/>
            <wp:effectExtent l="0" t="0" r="0" b="0"/>
            <wp:wrapTopAndBottom/>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2"/>
                    <a:stretch>
                      <a:fillRect/>
                    </a:stretch>
                  </pic:blipFill>
                  <pic:spPr bwMode="auto">
                    <a:xfrm>
                      <a:off x="0" y="0"/>
                      <a:ext cx="2967990" cy="2773680"/>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Heading2"/>
        <w:widowControl/>
        <w:numPr>
          <w:ilvl w:val="0"/>
          <w:numId w:val="0"/>
        </w:numPr>
        <w:suppressAutoHyphens w:val="true"/>
        <w:ind w:hanging="0" w:start="0"/>
        <w:jc w:val="start"/>
        <w:rPr/>
      </w:pPr>
      <w:r>
        <w:rPr/>
      </w:r>
      <w:r>
        <w:br w:type="page"/>
      </w:r>
    </w:p>
    <w:p>
      <w:pPr>
        <w:pStyle w:val="Heading2"/>
        <w:numPr>
          <w:ilvl w:val="1"/>
          <w:numId w:val="1"/>
        </w:numPr>
        <w:spacing w:before="0" w:after="120"/>
        <w:ind w:hanging="0" w:start="0"/>
        <w:rPr/>
      </w:pPr>
      <w:bookmarkStart w:id="23" w:name="__RefHeading___Toc3795_3613666628"/>
      <w:bookmarkEnd w:id="23"/>
      <w:r>
        <w:rPr/>
        <w:t>How do different nations and private firms contribute to orbital density?</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The United States, Russia, China, and the European Union are major contributors, but emerging space nations (India, Japan, South Korea, UAE) are increasingly active.</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Chart this??</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Orbital density is the cumulative result of decades of activity by both national space agencies and private firms. Historically, the United States and the Soviet Union (later Russia) were the primary contributors, launching thousands of satellites and rocket stages during the Cold War. These early missions often left spent upper stages and defunct satellites in orbit, forming the foundation of today’s debris population. Russia continues to operate a large fleet of military and civilian satellites, while the U.S. maintains extensive constellations for communications, navigation, and Earth observation.</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In recent decades, China has emerged as a major actor, with rapid expansion of its satellite fleet and the construction of the Tiangong space station. India, Japan, and the European Union also contribute significantly, with programs spanning weather monitoring, navigation systems, and scientific research. Each of these nations adds to orbital density through both active payloads and associated launch debris.</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The most dramatic recent change has come from private firms. SpaceX’s Starlink constellation alone accounts for thousands of satellites in Low Earth Orbit, with plans for tens of thousands more. OneWeb and Amazon’s Project Kuiper are pursuing similar megaconstellations. These companies leverage reusable rockets and mass</w:t>
        <w:noBreakHyphen/>
        <w:t>produced satellites, lowering costs and increasing launch frequency. While they provide valuable services such as global internet coverage, they also concentrate large numbers of satellites in specific orbital shells, intensifying congestion.</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color w:val="FF4000"/>
          <w:lang w:val="en-GB"/>
        </w:rPr>
      </w:pPr>
      <w:r>
        <w:rPr>
          <w:rFonts w:ascii="Nimbus Sans" w:hAnsi="Nimbus Sans"/>
          <w:b w:val="false"/>
          <w:bCs w:val="false"/>
          <w:color w:val="FF4000"/>
          <w:sz w:val="24"/>
          <w:szCs w:val="24"/>
          <w:lang w:val="en-GB"/>
        </w:rPr>
        <w:t>Together, the combined activities of established spacefaring nations and ambitious private firms are driving orbital density to unprecedented levels, heightening the risk of collisions and cascading debris events envisioned by the Kessler Syndrome.</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lang w:val="en-GB"/>
        </w:rPr>
      </w:pPr>
      <w:r>
        <w:rPr>
          <w:rFonts w:ascii="Nimbus Sans" w:hAnsi="Nimbus Sans"/>
          <w:b w:val="false"/>
          <w:bCs w:val="false"/>
          <w:sz w:val="24"/>
          <w:szCs w:val="24"/>
          <w:lang w:val="en-GB"/>
        </w:rPr>
        <w:t>Major Programs</w:t>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The majority of launches in the 2020s have been sponsored by commercial organisations.</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communications satellites, most being part of the Starlink, OneWeb and Flock programs. !Figure</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338195"/>
            <wp:effectExtent l="0" t="0" r="0" b="0"/>
            <wp:wrapSquare wrapText="largest"/>
            <wp:docPr id="1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title=""/>
                    <pic:cNvPicPr>
                      <a:picLocks noChangeAspect="1" noChangeArrowheads="1"/>
                    </pic:cNvPicPr>
                  </pic:nvPicPr>
                  <pic:blipFill>
                    <a:blip r:embed="rId13"/>
                    <a:stretch>
                      <a:fillRect/>
                    </a:stretch>
                  </pic:blipFill>
                  <pic:spPr bwMode="auto">
                    <a:xfrm>
                      <a:off x="0" y="0"/>
                      <a:ext cx="6120130" cy="3338195"/>
                    </a:xfrm>
                    <a:prstGeom prst="rect">
                      <a:avLst/>
                    </a:prstGeom>
                  </pic:spPr>
                </pic:pic>
              </a:graphicData>
            </a:graphic>
          </wp:anchor>
        </w:drawing>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lang w:val="en-GB"/>
        </w:rPr>
      </w:pPr>
      <w:r>
        <w:rPr>
          <w:rFonts w:ascii="Nimbus Sans" w:hAnsi="Nimbus Sans"/>
          <w:sz w:val="24"/>
          <w:szCs w:val="24"/>
          <w:lang w:val="en-GB"/>
        </w:rPr>
        <w:t xml:space="preserve">SpaceX, the American firm owned and run by Elon Musk, launched its first satellite in 2018.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lang w:val="en-GB"/>
        </w:rPr>
      </w:pPr>
      <w:r>
        <w:rPr>
          <w:rFonts w:ascii="Nimbus Sans" w:hAnsi="Nimbus Sans"/>
          <w:sz w:val="24"/>
          <w:szCs w:val="24"/>
          <w:lang w:val="en-GB"/>
        </w:rPr>
        <w:t>It has experienced incredible growth in the following seven years and there are now 9092 Starlink satellites in orbit</w:t>
      </w:r>
      <w:r>
        <w:rPr>
          <w:rStyle w:val="FootnoteReference"/>
          <w:rFonts w:ascii="Nimbus Sans" w:hAnsi="Nimbus Sans"/>
          <w:sz w:val="24"/>
          <w:szCs w:val="24"/>
          <w:lang w:val="en-GB"/>
        </w:rPr>
        <w:footnoteReference w:id="3"/>
      </w:r>
      <w:r>
        <w:rPr>
          <w:rStyle w:val="Strong"/>
          <w:rFonts w:eastAsia="Arial" w:cs="Arial" w:ascii="Nimbus Sans" w:hAnsi="Nimbus Sans"/>
          <w:b w:val="false"/>
          <w:bCs w:val="false"/>
          <w:kern w:val="0"/>
          <w:sz w:val="24"/>
          <w:szCs w:val="24"/>
          <w:lang w:val="en-GB" w:eastAsia="en-US" w:bidi="ar-SA"/>
        </w:rPr>
        <w:t xml:space="preserve">. </w:t>
      </w:r>
      <w:r>
        <w:rPr>
          <w:rFonts w:ascii="Nimbus Sans" w:hAnsi="Nimbus Sans"/>
          <w:sz w:val="24"/>
          <w:szCs w:val="24"/>
          <w:lang w:val="en-GB"/>
        </w:rPr>
        <w:t xml:space="preserve">The company aims to launch many more Starlink satellites to increase coverage and bandwidth for global Internet access, and to improve cellular phone communications. </w:t>
      </w:r>
      <w:r>
        <w:rPr>
          <w:rStyle w:val="Strong"/>
          <w:rFonts w:eastAsia="Arial" w:cs="Arial" w:ascii="Nimbus Sans" w:hAnsi="Nimbus Sans"/>
          <w:b w:val="false"/>
          <w:bCs w:val="false"/>
          <w:kern w:val="0"/>
          <w:sz w:val="24"/>
          <w:szCs w:val="24"/>
          <w:lang w:val="en-GB" w:eastAsia="en-US" w:bidi="ar-SA"/>
        </w:rPr>
        <w:t>(Pultarova 2025)</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Earlier in the Starlink program in around 2019, each Falcon 9 launch carried up to sixty satellites per flight. This number has decreased over time due to the satellites becoming larger and more capable. As of October 2025, SpaceX typically launches 28 Starlink satellites per mission. (Robinson-Smith 2025).</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As a side issue, each Falcon 9 launch emits approximately 336 metric tons of CO₂, contributing to climate change. (Franklin-Cheung 2020)</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By mass, Starlink far outweighs any other program. (Figure – horizontal bar.)</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t>Talk about OneWeb and Kuiper / Flock.</w:t>
      </w:r>
    </w:p>
    <w:p>
      <w:pPr>
        <w:pStyle w:val="Heading2"/>
        <w:numPr>
          <w:ilvl w:val="1"/>
          <w:numId w:val="1"/>
        </w:numPr>
        <w:ind w:hanging="0" w:start="0"/>
        <w:rPr/>
      </w:pPr>
      <w:r>
        <w:rPr/>
      </w:r>
    </w:p>
    <w:p>
      <w:pPr>
        <w:pStyle w:val="Heading2"/>
        <w:widowControl/>
        <w:numPr>
          <w:ilvl w:val="0"/>
          <w:numId w:val="0"/>
        </w:numPr>
        <w:suppressAutoHyphens w:val="true"/>
        <w:ind w:hanging="0" w:start="0"/>
        <w:jc w:val="start"/>
        <w:rPr>
          <w:rStyle w:val="Strong"/>
          <w:b w:val="false"/>
          <w:bCs w:val="false"/>
        </w:rPr>
      </w:pPr>
      <w:r>
        <w:rPr>
          <w:b w:val="false"/>
          <w:bCs w:val="false"/>
        </w:rPr>
      </w:r>
      <w:r>
        <w:br w:type="page"/>
      </w:r>
    </w:p>
    <w:p>
      <w:pPr>
        <w:pStyle w:val="Heading2"/>
        <w:numPr>
          <w:ilvl w:val="1"/>
          <w:numId w:val="1"/>
        </w:numPr>
        <w:spacing w:before="0" w:after="120"/>
        <w:ind w:hanging="0" w:start="0"/>
        <w:rPr/>
      </w:pPr>
      <w:bookmarkStart w:id="24" w:name="__RefHeading___Toc3797_3613666628"/>
      <w:bookmarkEnd w:id="24"/>
      <w:r>
        <w:rPr>
          <w:rStyle w:val="Strong"/>
          <w:b/>
          <w:bCs/>
        </w:rPr>
        <w:t>What mitigation strategies are feasible, and what barriers exist to implementation?</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BodyText"/>
        <w:widowControl/>
        <w:bidi w:val="0"/>
        <w:spacing w:before="0" w:after="0"/>
        <w:jc w:val="both"/>
        <w:rPr/>
      </w:pPr>
      <w:r>
        <w:rPr>
          <w:rStyle w:val="Strong"/>
          <w:rFonts w:eastAsia="Arial" w:cs="Arial" w:ascii="Nimbus Sans" w:hAnsi="Nimbus Sans"/>
          <w:b w:val="false"/>
          <w:bCs w:val="false"/>
          <w:color w:val="FF4000"/>
          <w:kern w:val="0"/>
          <w:sz w:val="24"/>
          <w:szCs w:val="24"/>
          <w:lang w:val="en-GB" w:eastAsia="en-US" w:bidi="ar-SA"/>
        </w:rPr>
        <w:t xml:space="preserve">Mitigating the risk of Kessler Syndrome requires a combination of technological, regulatory, and operational strategies. One promising approach is </w:t>
      </w:r>
      <w:r>
        <w:rPr>
          <w:rStyle w:val="Strong"/>
          <w:rFonts w:eastAsia="Arial" w:cs="Arial" w:ascii="Nimbus Sans" w:hAnsi="Nimbus Sans"/>
          <w:color w:val="FF4000"/>
          <w:kern w:val="0"/>
          <w:sz w:val="24"/>
          <w:szCs w:val="24"/>
          <w:lang w:val="en-GB" w:eastAsia="en-US" w:bidi="ar-SA"/>
        </w:rPr>
        <w:t>active debris removal (ADR)</w:t>
      </w:r>
      <w:r>
        <w:rPr>
          <w:rStyle w:val="Strong"/>
          <w:rFonts w:eastAsia="Arial" w:cs="Arial" w:ascii="Nimbus Sans" w:hAnsi="Nimbus Sans"/>
          <w:b w:val="false"/>
          <w:bCs w:val="false"/>
          <w:color w:val="FF4000"/>
          <w:kern w:val="0"/>
          <w:sz w:val="24"/>
          <w:szCs w:val="24"/>
          <w:lang w:val="en-GB" w:eastAsia="en-US" w:bidi="ar-SA"/>
        </w:rPr>
        <w:t xml:space="preserve">, where robotic spacecraft capture and deorbit large defunct satellites or rocket stages. Concepts include nets, harpoons, robotic arms, and drag sails. These methods target the most dangerous debris—large objects that could generate thousands of fragments if they collide. Another strategy is </w:t>
      </w:r>
      <w:r>
        <w:rPr>
          <w:rStyle w:val="Strong"/>
          <w:rFonts w:eastAsia="Arial" w:cs="Arial" w:ascii="Nimbus Sans" w:hAnsi="Nimbus Sans"/>
          <w:color w:val="FF4000"/>
          <w:kern w:val="0"/>
          <w:sz w:val="24"/>
          <w:szCs w:val="24"/>
          <w:lang w:val="en-GB" w:eastAsia="en-US" w:bidi="ar-SA"/>
        </w:rPr>
        <w:t>design for deorbit</w:t>
      </w:r>
      <w:r>
        <w:rPr>
          <w:rStyle w:val="Strong"/>
          <w:rFonts w:eastAsia="Arial" w:cs="Arial" w:ascii="Nimbus Sans" w:hAnsi="Nimbus Sans"/>
          <w:b w:val="false"/>
          <w:bCs w:val="false"/>
          <w:color w:val="FF4000"/>
          <w:kern w:val="0"/>
          <w:sz w:val="24"/>
          <w:szCs w:val="24"/>
          <w:lang w:val="en-GB" w:eastAsia="en-US" w:bidi="ar-SA"/>
        </w:rPr>
        <w:t xml:space="preserve">, where satellites are engineered to burn up in Earth’s atmosphere at the end of their mission, either through onboard propulsion or passive devices like tethers. </w:t>
      </w:r>
      <w:r>
        <w:rPr>
          <w:rStyle w:val="Strong"/>
          <w:rFonts w:eastAsia="Arial" w:cs="Arial" w:ascii="Nimbus Sans" w:hAnsi="Nimbus Sans"/>
          <w:color w:val="FF4000"/>
          <w:kern w:val="0"/>
          <w:sz w:val="24"/>
          <w:szCs w:val="24"/>
          <w:lang w:val="en-GB" w:eastAsia="en-US" w:bidi="ar-SA"/>
        </w:rPr>
        <w:t>Collision avoidance systems</w:t>
      </w:r>
      <w:r>
        <w:rPr>
          <w:rStyle w:val="Strong"/>
          <w:rFonts w:eastAsia="Arial" w:cs="Arial" w:ascii="Nimbus Sans" w:hAnsi="Nimbus Sans"/>
          <w:b w:val="false"/>
          <w:bCs w:val="false"/>
          <w:color w:val="FF4000"/>
          <w:kern w:val="0"/>
          <w:sz w:val="24"/>
          <w:szCs w:val="24"/>
          <w:lang w:val="en-GB" w:eastAsia="en-US" w:bidi="ar-SA"/>
        </w:rPr>
        <w:t xml:space="preserve"> are also increasingly used, with satellites equipped to maneuver away from predicted conjunctions. On the policy side, international guidelines such as those from the UN and national space agencies encourage debris mitigation practices, while research into </w:t>
      </w:r>
      <w:r>
        <w:rPr>
          <w:rStyle w:val="Strong"/>
          <w:rFonts w:eastAsia="Arial" w:cs="Arial" w:ascii="Nimbus Sans" w:hAnsi="Nimbus Sans"/>
          <w:color w:val="FF4000"/>
          <w:kern w:val="0"/>
          <w:sz w:val="24"/>
          <w:szCs w:val="24"/>
          <w:lang w:val="en-GB" w:eastAsia="en-US" w:bidi="ar-SA"/>
        </w:rPr>
        <w:t>space traffic management</w:t>
      </w:r>
      <w:r>
        <w:rPr>
          <w:rStyle w:val="Strong"/>
          <w:rFonts w:eastAsia="Arial" w:cs="Arial" w:ascii="Nimbus Sans" w:hAnsi="Nimbus Sans"/>
          <w:b w:val="false"/>
          <w:bCs w:val="false"/>
          <w:color w:val="FF4000"/>
          <w:kern w:val="0"/>
          <w:sz w:val="24"/>
          <w:szCs w:val="24"/>
          <w:lang w:val="en-GB" w:eastAsia="en-US" w:bidi="ar-SA"/>
        </w:rPr>
        <w:t xml:space="preserve"> aims to coordinate orbital operations more effectively.</w:t>
      </w:r>
    </w:p>
    <w:p>
      <w:pPr>
        <w:pStyle w:val="BodyText"/>
        <w:rPr/>
      </w:pPr>
      <w:r>
        <w:rPr>
          <w:color w:val="FF4000"/>
        </w:rPr>
        <w:t xml:space="preserve">Despite these feasible strategies, significant barriers remain. </w:t>
      </w:r>
      <w:r>
        <w:rPr>
          <w:rStyle w:val="Strong"/>
          <w:color w:val="FF4000"/>
        </w:rPr>
        <w:t>Cost</w:t>
      </w:r>
      <w:r>
        <w:rPr>
          <w:color w:val="FF4000"/>
        </w:rPr>
        <w:t xml:space="preserve"> is a major obstacle: ADR missions are expensive and generate little direct revenue, making them unattractive to private firms. </w:t>
      </w:r>
      <w:r>
        <w:rPr>
          <w:rStyle w:val="Strong"/>
          <w:color w:val="FF4000"/>
        </w:rPr>
        <w:t>Legal and liability issues</w:t>
      </w:r>
      <w:r>
        <w:rPr>
          <w:color w:val="FF4000"/>
        </w:rPr>
        <w:t xml:space="preserve"> complicate debris removal, as ownership of defunct satellites remains with the launching nation under international law. </w:t>
      </w:r>
      <w:r>
        <w:rPr>
          <w:rStyle w:val="Strong"/>
          <w:color w:val="FF4000"/>
        </w:rPr>
        <w:t>Coordination challenges</w:t>
      </w:r>
      <w:r>
        <w:rPr>
          <w:color w:val="FF4000"/>
        </w:rPr>
        <w:t xml:space="preserve"> arise because orbital debris is a global problem, yet enforcement of mitigation standards is fragmented across jurisdictions. Finally, </w:t>
      </w:r>
      <w:r>
        <w:rPr>
          <w:rStyle w:val="Strong"/>
          <w:color w:val="FF4000"/>
        </w:rPr>
        <w:t>technical limitations</w:t>
      </w:r>
      <w:r>
        <w:rPr>
          <w:color w:val="FF4000"/>
        </w:rPr>
        <w:t xml:space="preserve"> persist, as tracking small debris is difficult and maneuvering satellites consumes fuel, reducing operational lifespans. Together, these barriers highlight the need for sustained international cooperation, funding mechanisms, and technological innovation to make mitigation strategies viable at scale.</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color w:val="FF4000"/>
          <w:kern w:val="0"/>
          <w:sz w:val="24"/>
          <w:szCs w:val="24"/>
          <w:lang w:val="en-GB" w:eastAsia="en-US" w:bidi="ar-SA"/>
        </w:rPr>
        <w:t>Starlink satellites contain enough fuel for 350 (??) avoidance maneuvers, how long will that last? Will it have sufficient fuel to deorbit itself after becoming defunct?  (**cite) Currently, Starlink make NNN adjustments per day.</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 xml:space="preserve">    </w:t>
      </w:r>
      <w:r>
        <w:rPr>
          <w:rFonts w:eastAsia="Arial" w:cs="Arial" w:ascii="Nimbus Sans" w:hAnsi="Nimbus Sans"/>
          <w:b w:val="false"/>
          <w:bCs w:val="false"/>
          <w:kern w:val="0"/>
          <w:sz w:val="24"/>
          <w:szCs w:val="24"/>
          <w:lang w:val="en-GB" w:eastAsia="en-US" w:bidi="ar-SA"/>
        </w:rPr>
        <w:t>Active debris removal (robotic capture, drag sails).</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 xml:space="preserve">    </w:t>
      </w:r>
      <w:r>
        <w:rPr>
          <w:rFonts w:eastAsia="Arial" w:cs="Arial" w:ascii="Nimbus Sans" w:hAnsi="Nimbus Sans"/>
          <w:b w:val="false"/>
          <w:bCs w:val="false"/>
          <w:kern w:val="0"/>
          <w:sz w:val="24"/>
          <w:szCs w:val="24"/>
          <w:lang w:val="en-GB" w:eastAsia="en-US" w:bidi="ar-SA"/>
        </w:rPr>
        <w:t>Design for deorbit (satellites engineered to burn up after use).</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 xml:space="preserve">    </w:t>
      </w:r>
      <w:r>
        <w:rPr>
          <w:rFonts w:eastAsia="Arial" w:cs="Arial" w:ascii="Nimbus Sans" w:hAnsi="Nimbus Sans"/>
          <w:b w:val="false"/>
          <w:bCs w:val="false"/>
          <w:kern w:val="0"/>
          <w:sz w:val="24"/>
          <w:szCs w:val="24"/>
          <w:lang w:val="en-GB" w:eastAsia="en-US" w:bidi="ar-SA"/>
        </w:rPr>
        <w:t>International regulation (UN guidelines, national policies). Policy frameworks: The UN Committee on the Peaceful Uses of Outer Space (COPUOS) and treaties like the Outer Space Treaty (1967) provide some governance, but enforcement is weak.</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Recent initiatives: ESA’s “ClearSpace</w:t>
        <w:noBreakHyphen/>
        <w:t>1” mission (planned for late 2020s) aims to demonstrate active debris removal. NASA and JAXA are also exploring similar technologies.</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t>Balance of progress and sustainability: Humanity must weigh the benefits of satellite technology against the risks of orbital congestion.</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Summary – include Recent Events</w:t>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This provides the data for the recently launched Chinese Shenzhou-22 spacecraft. Incidently, this craft is on a rescue mission to retrieve crew from the Tiangong space station following a debris strike on Shenzhou-20.</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w:br w:type="page"/>
      </w:r>
    </w:p>
    <w:p>
      <w:pPr>
        <w:pStyle w:val="Normal"/>
        <w:widowControl/>
        <w:tabs>
          <w:tab w:val="clear" w:pos="709"/>
          <w:tab w:val="left" w:pos="1980" w:leader="none"/>
        </w:tabs>
        <w:bidi w:val="0"/>
        <w:spacing w:before="0" w:after="0"/>
        <w:jc w:val="both"/>
        <w:rPr>
          <w:lang w:val="en-GB"/>
        </w:rPr>
      </w:pPr>
      <w:r>
        <w:rPr>
          <w:rFonts w:eastAsia="Arial" w:cs="Arial" w:ascii="Nimbus Sans" w:hAnsi="Nimbus Sans"/>
          <w:b/>
          <w:kern w:val="0"/>
          <w:sz w:val="24"/>
          <w:szCs w:val="24"/>
          <w:lang w:val="en-GB" w:eastAsia="en-US" w:bidi="ar-SA"/>
        </w:rPr>
        <w:t xml:space="preserve">Part 4 (Discussion): </w:t>
      </w:r>
      <w:r>
        <w:rPr>
          <w:rFonts w:eastAsia="Arial" w:cs="Arial" w:ascii="Nimbus Sans" w:hAnsi="Nimbus Sans"/>
          <w:kern w:val="0"/>
          <w:sz w:val="24"/>
          <w:szCs w:val="24"/>
          <w:lang w:val="en-GB" w:eastAsia="en-US" w:bidi="ar-SA"/>
        </w:rPr>
        <w:t>Identification of key bottlenecks associated with the issue evident from the results.  Also provide rationale for the Questions /Hypothesis /Objective /Message /Goal.</w:t>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w:br w:type="page"/>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Heading1"/>
        <w:numPr>
          <w:ilvl w:val="0"/>
          <w:numId w:val="1"/>
        </w:numPr>
        <w:ind w:hanging="0" w:start="0"/>
        <w:rPr/>
      </w:pPr>
      <w:bookmarkStart w:id="25" w:name="__RefHeading___Toc1784_3613666628"/>
      <w:bookmarkEnd w:id="25"/>
      <w:r>
        <w:rPr/>
        <w:t>References:</w:t>
        <w:br/>
      </w:r>
    </w:p>
    <w:p>
      <w:pPr>
        <w:pStyle w:val="Normal"/>
        <w:widowControl/>
        <w:tabs>
          <w:tab w:val="clear" w:pos="709"/>
          <w:tab w:val="left" w:pos="1980" w:leader="none"/>
        </w:tabs>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https://aquarid.physics.uwo.ca/kessler/Kessler%20Syndrome-AAS%20Paper.pdf</w:t>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 xml:space="preserve"> </w:t>
      </w:r>
      <w:r>
        <w:rPr>
          <w:rFonts w:eastAsia="Arial" w:ascii="Nimbus Sans" w:hAnsi="Nimbus Sans"/>
          <w:kern w:val="0"/>
          <w:sz w:val="24"/>
          <w:szCs w:val="24"/>
          <w:lang w:val="en-GB" w:eastAsia="en-US" w:bidi="ar-SA"/>
        </w:rPr>
        <w:t xml:space="preserve">D.J. Kessler and B.G. Cour-Palais, "Collision Frequency of Artificial Satellites: The Creation of a Debris Belt", Journal of Geophysical Research, Vol. 83, No. A6, pp. 2637-2646, June 1, 1978. </w:t>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Available at: https://www.freelists.org/archives/arocket/05-2025/pdfhf1FIX9bCw.pdf</w:t>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Accessed 22/10/2025</w:t>
      </w:r>
    </w:p>
    <w:p>
      <w:pPr>
        <w:pStyle w:val="Normal"/>
        <w:widowControl/>
        <w:tabs>
          <w:tab w:val="clear" w:pos="709"/>
          <w:tab w:val="left" w:pos="1980" w:leader="none"/>
        </w:tabs>
        <w:bidi w:val="0"/>
        <w:spacing w:before="0" w:after="0"/>
        <w:jc w:val="both"/>
        <w:rPr>
          <w:lang w:val="en-GB"/>
        </w:rPr>
      </w:pPr>
      <w:r>
        <w:rPr>
          <w:lang w:val="en-GB"/>
        </w:rPr>
      </w:r>
    </w:p>
    <w:p>
      <w:pPr>
        <w:pStyle w:val="Normal"/>
        <w:widowControl/>
        <w:tabs>
          <w:tab w:val="clear" w:pos="709"/>
          <w:tab w:val="left" w:pos="1980" w:leader="none"/>
        </w:tabs>
        <w:bidi w:val="0"/>
        <w:spacing w:before="0" w:after="0"/>
        <w:jc w:val="both"/>
        <w:rPr/>
      </w:pPr>
      <w:r>
        <w:rPr>
          <w:rFonts w:eastAsia="Arial" w:ascii="Nimbus Sans" w:hAnsi="Nimbus Sans"/>
          <w:kern w:val="0"/>
          <w:sz w:val="24"/>
          <w:szCs w:val="24"/>
          <w:lang w:val="en-GB" w:eastAsia="en-US" w:bidi="ar-SA"/>
        </w:rPr>
        <w:t xml:space="preserve">Johnson 2013: </w:t>
      </w:r>
      <w:hyperlink r:id="rId14">
        <w:r>
          <w:rPr>
            <w:rStyle w:val="Hyperlink"/>
            <w:rFonts w:eastAsia="Arial" w:ascii="Nimbus Sans" w:hAnsi="Nimbus Sans"/>
            <w:kern w:val="0"/>
            <w:sz w:val="24"/>
            <w:szCs w:val="24"/>
            <w:lang w:val="en-GB" w:eastAsia="en-US" w:bidi="ar-SA"/>
          </w:rPr>
          <w:t>https://ntrs.nasa.gov/citations/20100002023</w:t>
        </w:r>
      </w:hyperlink>
      <w:r>
        <w:rPr>
          <w:rFonts w:eastAsia="Arial" w:ascii="Nimbus Sans" w:hAnsi="Nimbus Sans"/>
          <w:kern w:val="0"/>
          <w:sz w:val="24"/>
          <w:szCs w:val="24"/>
          <w:lang w:val="en-GB" w:eastAsia="en-US" w:bidi="ar-SA"/>
        </w:rPr>
        <w:t xml:space="preserve">  about The Collision of Iridium 33 and Cosmos 2251: The Shape of Things to Come</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pPr>
      <w:r>
        <w:rPr>
          <w:rFonts w:eastAsia="Arial" w:ascii="Nimbus Sans" w:hAnsi="Nimbus Sans"/>
          <w:kern w:val="0"/>
          <w:sz w:val="24"/>
          <w:szCs w:val="24"/>
          <w:lang w:val="en-GB" w:eastAsia="en-US" w:bidi="ar-SA"/>
        </w:rPr>
        <w:t>SpaceX:</w:t>
        <w:br/>
      </w:r>
      <w:r>
        <w:rPr>
          <w:rStyle w:val="Hyperlink"/>
          <w:rFonts w:eastAsia="Arial" w:ascii="Nimbus Sans" w:hAnsi="Nimbus Sans"/>
          <w:kern w:val="0"/>
          <w:sz w:val="24"/>
          <w:szCs w:val="24"/>
          <w:lang w:val="en-GB" w:eastAsia="en-US" w:bidi="ar-SA"/>
        </w:rPr>
        <w:t>https://www.aljazeera.com/economy/2025/9/8/spacex-expands-starlink-satellite-network-with-17bn-echostar-deal</w:t>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https://spaceflightnow.com/2025/05/03/live-coverage-spacex-to-launch-29-starlink-satellites-on-falcon-9-rocket-from-nasas-kennedy-space-cente/</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pPr>
      <w:hyperlink r:id="rId15">
        <w:r>
          <w:rPr>
            <w:rStyle w:val="Hyperlink"/>
            <w:rFonts w:eastAsia="Arial" w:ascii="Nimbus Sans" w:hAnsi="Nimbus Sans"/>
            <w:kern w:val="0"/>
            <w:sz w:val="24"/>
            <w:szCs w:val="24"/>
            <w:lang w:val="en-GB" w:eastAsia="en-US" w:bidi="ar-SA"/>
          </w:rPr>
          <w:t>https://www.spacex.com/updates</w:t>
        </w:r>
      </w:hyperlink>
      <w:r>
        <w:rPr>
          <w:rFonts w:eastAsia="Arial" w:ascii="Nimbus Sans" w:hAnsi="Nimbus Sans"/>
          <w:kern w:val="0"/>
          <w:sz w:val="24"/>
          <w:szCs w:val="24"/>
          <w:lang w:val="en-GB" w:eastAsia="en-US" w:bidi="ar-SA"/>
        </w:rPr>
        <w:t xml:space="preserve"> - </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Definitely worth citing, and using some bits</w:t>
      </w:r>
    </w:p>
    <w:p>
      <w:pPr>
        <w:pStyle w:val="Normal"/>
        <w:widowControl/>
        <w:tabs>
          <w:tab w:val="clear" w:pos="709"/>
          <w:tab w:val="left" w:pos="1980" w:leader="none"/>
        </w:tabs>
        <w:bidi w:val="0"/>
        <w:spacing w:before="0" w:after="0"/>
        <w:jc w:val="both"/>
        <w:rPr/>
      </w:pPr>
      <w:r>
        <w:rPr>
          <w:rStyle w:val="Hyperlink"/>
          <w:rFonts w:eastAsia="Arial" w:ascii="Nimbus Sans" w:hAnsi="Nimbus Sans"/>
          <w:kern w:val="0"/>
          <w:sz w:val="24"/>
          <w:szCs w:val="24"/>
          <w:lang w:val="en-GB" w:eastAsia="en-US" w:bidi="ar-SA"/>
        </w:rPr>
        <w:t>https://www.n2yo.com/satellite-article/How-many-satellites-can-we-safely-fit-in-Earth-orbit/86</w:t>
      </w:r>
    </w:p>
    <w:p>
      <w:pPr>
        <w:pStyle w:val="Normal"/>
        <w:widowControl/>
        <w:tabs>
          <w:tab w:val="clear" w:pos="709"/>
          <w:tab w:val="left" w:pos="1980" w:leader="none"/>
        </w:tabs>
        <w:bidi w:val="0"/>
        <w:spacing w:before="0" w:after="0"/>
        <w:jc w:val="both"/>
        <w:rPr>
          <w:rFonts w:ascii="Nimbus Sans" w:hAnsi="Nimbus Sans" w:eastAsia="Arial"/>
          <w:kern w:val="0"/>
          <w:sz w:val="24"/>
          <w:szCs w:val="24"/>
          <w:lang w:val="en-GB" w:eastAsia="en-US" w:bidi="ar-SA"/>
        </w:rPr>
      </w:pPr>
      <w:r>
        <w:rPr>
          <w:rFonts w:eastAsia="Arial" w:ascii="Nimbus Sans" w:hAnsi="Nimbus Sans"/>
          <w:kern w:val="0"/>
          <w:sz w:val="24"/>
          <w:szCs w:val="24"/>
          <w:lang w:val="en-GB" w:eastAsia="en-US" w:bidi="ar-SA"/>
        </w:rPr>
      </w:r>
    </w:p>
    <w:p>
      <w:pPr>
        <w:pStyle w:val="Normal"/>
        <w:widowControl/>
        <w:tabs>
          <w:tab w:val="clear" w:pos="709"/>
          <w:tab w:val="left" w:pos="1980" w:leader="none"/>
        </w:tabs>
        <w:bidi w:val="0"/>
        <w:spacing w:before="0" w:after="0"/>
        <w:jc w:val="both"/>
        <w:rPr>
          <w:lang w:val="en-GB"/>
        </w:rPr>
      </w:pPr>
      <w:r>
        <w:rPr>
          <w:rFonts w:eastAsia="Arial" w:ascii="Nimbus Sans" w:hAnsi="Nimbus Sans"/>
          <w:kern w:val="0"/>
          <w:sz w:val="24"/>
          <w:szCs w:val="24"/>
          <w:lang w:val="en-GB" w:eastAsia="en-US" w:bidi="ar-SA"/>
        </w:rPr>
        <w:t>Fixing it:</w:t>
      </w:r>
    </w:p>
    <w:p>
      <w:pPr>
        <w:pStyle w:val="Normal"/>
        <w:widowControl/>
        <w:tabs>
          <w:tab w:val="clear" w:pos="709"/>
          <w:tab w:val="left" w:pos="1980" w:leader="none"/>
        </w:tabs>
        <w:bidi w:val="0"/>
        <w:spacing w:before="0" w:after="0"/>
        <w:jc w:val="both"/>
        <w:rPr>
          <w:lang w:val="en-GB"/>
        </w:rPr>
      </w:pPr>
      <w:r>
        <w:rPr>
          <w:rFonts w:eastAsia="Arial" w:cs="Arial" w:ascii="Nimbus Sans" w:hAnsi="Nimbus Sans"/>
          <w:kern w:val="0"/>
          <w:sz w:val="24"/>
          <w:szCs w:val="24"/>
          <w:lang w:val="en-GB" w:eastAsia="en-US" w:bidi="ar-SA"/>
        </w:rPr>
        <w:t>https://www.space.com/space-junk-growing-problem-complicated-solution</w:t>
      </w:r>
    </w:p>
    <w:p>
      <w:pPr>
        <w:pStyle w:val="Normal"/>
        <w:widowControl/>
        <w:bidi w:val="0"/>
        <w:spacing w:before="0" w:after="0"/>
        <w:jc w:val="both"/>
        <w:rPr>
          <w:lang w:val="en-GB"/>
        </w:rPr>
      </w:pPr>
      <w:r>
        <w:rPr>
          <w:rFonts w:eastAsia="Arial" w:cs="Arial" w:ascii="Nimbus Sans" w:hAnsi="Nimbus Sans"/>
          <w:kern w:val="0"/>
          <w:sz w:val="24"/>
          <w:szCs w:val="24"/>
          <w:lang w:val="en-GB" w:eastAsia="en-US" w:bidi="ar-SA"/>
        </w:rPr>
        <w:br/>
        <w:t>Citation is "McDowell, J, 2020: General Catalog of Artificial Space Objects, https://planet4589.org/space/gcat"</w:t>
      </w:r>
    </w:p>
    <w:p>
      <w:pPr>
        <w:pStyle w:val="Normal"/>
        <w:widowControl/>
        <w:bidi w:val="0"/>
        <w:spacing w:before="0" w:after="0"/>
        <w:jc w:val="both"/>
        <w:rPr/>
      </w:pPr>
      <w:r>
        <w:rPr>
          <w:rStyle w:val="Strong"/>
          <w:rFonts w:eastAsia="Arial" w:cs="Arial" w:ascii="Nimbus Sans" w:hAnsi="Nimbus Sans"/>
          <w:b w:val="false"/>
          <w:bCs w:val="false"/>
          <w:kern w:val="0"/>
          <w:sz w:val="24"/>
          <w:szCs w:val="24"/>
          <w:lang w:val="en-GB" w:eastAsia="en-US" w:bidi="ar-SA"/>
        </w:rPr>
        <w:t>Accessed 24/10/2025</w:t>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tabs>
          <w:tab w:val="clear" w:pos="709"/>
          <w:tab w:val="left" w:pos="1980" w:leader="none"/>
        </w:tabs>
        <w:bidi w:val="0"/>
        <w:spacing w:before="0" w:after="0"/>
        <w:jc w:val="both"/>
        <w:rPr/>
      </w:pPr>
      <w:r>
        <w:rPr>
          <w:rFonts w:cs="Arial" w:ascii="Nimbus Sans" w:hAnsi="Nimbus Sans"/>
          <w:sz w:val="24"/>
          <w:szCs w:val="24"/>
          <w:lang w:val="en-GB"/>
        </w:rPr>
        <w:t xml:space="preserve">Kelvey, 2024: </w:t>
      </w:r>
      <w:hyperlink r:id="rId16">
        <w:r>
          <w:rPr>
            <w:rStyle w:val="Hyperlink"/>
            <w:rFonts w:cs="Arial" w:ascii="Nimbus Sans" w:hAnsi="Nimbus Sans"/>
            <w:sz w:val="24"/>
            <w:szCs w:val="24"/>
            <w:lang w:val="en-GB"/>
          </w:rPr>
          <w:t>https://aerospaceamerica.aiaa.org/features/understanding-the-misunderstood-kessler-syndrome/</w:t>
        </w:r>
      </w:hyperlink>
      <w:r>
        <w:rPr>
          <w:rFonts w:cs="Arial" w:ascii="Nimbus Sans" w:hAnsi="Nimbus Sans"/>
          <w:sz w:val="24"/>
          <w:szCs w:val="24"/>
          <w:lang w:val="en-GB"/>
        </w:rPr>
        <w:br/>
        <w:br/>
        <w:t xml:space="preserve">NASA 2024: </w:t>
      </w:r>
      <w:r>
        <w:rPr>
          <w:rStyle w:val="Hyperlink"/>
          <w:rFonts w:cs="Arial" w:ascii="Nimbus Sans" w:hAnsi="Nimbus Sans"/>
          <w:sz w:val="24"/>
          <w:szCs w:val="24"/>
          <w:lang w:val="en-GB"/>
        </w:rPr>
        <w:t>https://svs.gsfc.nasa.gov/52581</w:t>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Luscombe 2025: https://www.theguardian.com/us-news/2025/may/29/trump-nasa-cuts</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Richard Luscombe</w:t>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 xml:space="preserve">NASA NMC 2025 - https://data.nasa.gov/dataset/national-space-science-data-center-master-catalog </w:t>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 xml:space="preserve">https://nssdc.gsfc.nasa.gov/nmc/. </w:t>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USC 2023</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https://www.ucs.org/resources/satellite-database</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Accessed: 13/10/2025</w:t>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https://www.n2yo.com</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Accessed: 16/10/2025</w:t>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Livescience 2025</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https://www.livescience.com/space/space-exploration/three-chinese-astronauts-stranded-in-space-after-debris-hits-their-return-capsule</w:t>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Accessed Nov 5, 2025</w:t>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p>
      <w:pPr>
        <w:pStyle w:val="Normal"/>
        <w:widowControl/>
        <w:tabs>
          <w:tab w:val="clear" w:pos="709"/>
          <w:tab w:val="left" w:pos="1980" w:leader="none"/>
        </w:tabs>
        <w:bidi w:val="0"/>
        <w:spacing w:before="0" w:after="0"/>
        <w:jc w:val="both"/>
        <w:rPr>
          <w:lang w:val="en-GB"/>
        </w:rPr>
      </w:pPr>
      <w:r>
        <w:rPr>
          <w:rFonts w:cs="Arial" w:ascii="Nimbus Sans" w:hAnsi="Nimbus Sans"/>
          <w:sz w:val="24"/>
          <w:szCs w:val="24"/>
          <w:lang w:val="en-GB"/>
        </w:rPr>
        <w:t>Nominatim 2025 https://nominatim.org/</w:t>
      </w:r>
    </w:p>
    <w:p>
      <w:pPr>
        <w:pStyle w:val="Normal"/>
        <w:widowControl/>
        <w:tabs>
          <w:tab w:val="clear" w:pos="709"/>
          <w:tab w:val="left" w:pos="1980" w:leader="none"/>
        </w:tabs>
        <w:bidi w:val="0"/>
        <w:spacing w:before="0" w:after="0"/>
        <w:jc w:val="both"/>
        <w:rPr>
          <w:rFonts w:ascii="Nimbus Sans" w:hAnsi="Nimbus Sans" w:cs="Arial"/>
          <w:sz w:val="24"/>
          <w:szCs w:val="24"/>
        </w:rPr>
      </w:pPr>
      <w:r>
        <w:rPr>
          <w:rFonts w:cs="Arial" w:ascii="Nimbus Sans" w:hAnsi="Nimbus Sans"/>
          <w:sz w:val="24"/>
          <w:szCs w:val="24"/>
        </w:rPr>
      </w:r>
    </w:p>
    <w:sectPr>
      <w:headerReference w:type="even" r:id="rId17"/>
      <w:headerReference w:type="default" r:id="rId18"/>
      <w:headerReference w:type="first" r:id="rId19"/>
      <w:footerReference w:type="even" r:id="rId20"/>
      <w:footerReference w:type="default" r:id="rId21"/>
      <w:footerReference w:type="first" r:id="rId22"/>
      <w:footnotePr>
        <w:numFmt w:val="decimal"/>
      </w:footnotePr>
      <w:type w:val="nextPage"/>
      <w:pgSz w:w="11906" w:h="16838"/>
      <w:pgMar w:left="1134" w:right="1134" w:gutter="0" w:header="1134" w:top="1705"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Nimbus Sans">
    <w:charset w:val="01" w:characterSet="utf-8"/>
    <w:family w:val="roman"/>
    <w:pitch w:val="variable"/>
  </w:font>
  <w:font w:name="Liberation Mono">
    <w:altName w:val="Courier New"/>
    <w:charset w:val="01" w:characterSet="utf-8"/>
    <w:family w:val="roman"/>
    <w:pitch w:val="variable"/>
  </w:font>
  <w:font w:name="Nimbus Sans">
    <w:charset w:val="01"/>
    <w:family w:val="swiss"/>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6" w:name="PageNumWizard_FOOTER_Default_Page_Style1"/>
    <w:r>
      <w:rPr/>
      <w:fldChar w:fldCharType="begin"/>
    </w:r>
    <w:r>
      <w:rPr/>
      <w:instrText xml:space="preserve"> PAGE </w:instrText>
    </w:r>
    <w:r>
      <w:rPr/>
      <w:fldChar w:fldCharType="separate"/>
    </w:r>
    <w:r>
      <w:rPr/>
      <w:t>24</w:t>
    </w:r>
    <w:r>
      <w:rPr/>
      <w:fldChar w:fldCharType="end"/>
    </w:r>
    <w:bookmarkEnd w:id="26"/>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7" w:name="PageNumWizard_FOOTER_Default_Page_Style1"/>
    <w:r>
      <w:rPr/>
      <w:fldChar w:fldCharType="begin"/>
    </w:r>
    <w:r>
      <w:rPr/>
      <w:instrText xml:space="preserve"> PAGE </w:instrText>
    </w:r>
    <w:r>
      <w:rPr/>
      <w:fldChar w:fldCharType="separate"/>
    </w:r>
    <w:r>
      <w:rPr/>
      <w:t>24</w:t>
    </w:r>
    <w:r>
      <w:rPr/>
      <w:fldChar w:fldCharType="end"/>
    </w:r>
    <w:bookmarkEnd w:id="27"/>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A cluster of identically tasked satellites working together is known as a constellation.</w:t>
      </w:r>
    </w:p>
  </w:footnote>
  <w:footnote w:id="3">
    <w:p>
      <w:pPr>
        <w:pStyle w:val="FootnoteText"/>
        <w:rPr/>
      </w:pPr>
      <w:r>
        <w:rPr>
          <w:rStyle w:val="FootnoteCharacters"/>
        </w:rPr>
        <w:footnoteRef/>
      </w:r>
      <w:r>
        <w:rPr/>
        <w:tab/>
        <w:t xml:space="preserve"> </w:t>
      </w:r>
      <w:r>
        <w:rPr/>
        <w:t>Dataset last updated: 1</w:t>
      </w:r>
      <w:r>
        <w:rPr>
          <w:vertAlign w:val="superscript"/>
        </w:rPr>
        <w:t>st</w:t>
      </w:r>
      <w:r>
        <w:rPr/>
        <w:t xml:space="preserve"> December 2025.</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DAT5001 S2_25</w:t>
      <w:tab/>
      <w:t>WRIT1</w:t>
      <w:tab/>
      <w:t>Tom Rowan ST20285213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DAT5001 S2_25</w:t>
      <w:tab/>
      <w:t>WRIT1</w:t>
      <w:tab/>
      <w:t>Tom Rowan ST20285213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52"/>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rPr>
      <w:color w:val="80000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itle">
    <w:name w:val="Title"/>
    <w:basedOn w:val="Normal"/>
    <w:next w:val="Normal"/>
    <w:qFormat/>
    <w:pPr>
      <w:spacing w:lineRule="auto" w:line="240" w:before="0" w:after="80"/>
      <w:contextualSpacing/>
    </w:pPr>
    <w:rPr>
      <w:rFonts w:ascii="Arial" w:hAnsi="Arial" w:eastAsia="DejaVu Sans" w:cs="DejaVu Sans" w:asciiTheme="majorHAnsi" w:cstheme="majorBidi" w:eastAsiaTheme="majorEastAsia" w:hAnsiTheme="majorHAnsi"/>
      <w:spacing w:val="-10"/>
      <w:kern w:val="2"/>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atascience.daemonchild.com/year2/dat5001/pres1/datasets/space_objects_latest.csv" TargetMode="Externa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hyperlink" Target="https://ntrs.nasa.gov/citations/20100002023" TargetMode="External"/><Relationship Id="rId15" Type="http://schemas.openxmlformats.org/officeDocument/2006/relationships/hyperlink" Target="https://www.spacex.com/updates" TargetMode="External"/><Relationship Id="rId16" Type="http://schemas.openxmlformats.org/officeDocument/2006/relationships/hyperlink" Target="https://aerospaceamerica.aiaa.org/features/understanding-the-misunderstood-kessler-syndrome/" TargetMode="Externa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footnotes" Target="footnotes.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LibreOffice/24.2.7.2$Linux_X86_64 LibreOffice_project/420$Build-2</Application>
  <AppVersion>15.0000</AppVersion>
  <Pages>24</Pages>
  <Words>4984</Words>
  <Characters>28866</Characters>
  <CharactersWithSpaces>33601</CharactersWithSpaces>
  <Paragraphs>288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dcterms:modified xsi:type="dcterms:W3CDTF">2025-12-02T12:20:21Z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