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214"/>
      </w:tblGrid>
      <w:tr>
        <w:trPr>
          <w:trHeight w:val="2880" w:hRule="atLeast"/>
        </w:trPr>
        <w:tc>
          <w:tcPr>
            <w:tcW w:w="9214" w:type="dxa"/>
            <w:tcBorders/>
          </w:tcPr>
          <w:p>
            <w:pPr>
              <w:pStyle w:val="NoSpacing"/>
              <w:jc w:val="both"/>
              <w:rPr>
                <w:rFonts w:eastAsia="" w:cs="Calibri" w:cstheme="minorHAnsi" w:eastAsiaTheme="majorEastAsia"/>
                <w:caps/>
              </w:rPr>
            </w:pPr>
            <w:sdt>
              <w:sdt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r>
                  <w:rPr>
                    <w:rFonts w:eastAsia="" w:cs="Calibri" w:cstheme="minorHAnsi" w:eastAsiaTheme="majorEastAsia"/>
                    <w:caps/>
                    <w:lang w:val="es-AR"/>
                  </w:rPr>
                </w:r>
                <w:r>
                  <w:rPr>
                    <w:rFonts w:eastAsia="" w:cs="Calibri" w:cstheme="minorHAnsi" w:eastAsiaTheme="majorEastAsia"/>
                    <w:caps/>
                    <w:lang w:val="es-AR"/>
                  </w:rPr>
                  <w:t>DUOC UC - Escuela de Informática y Telecomunicaciones</w:t>
                </w:r>
              </w:sdtContent>
            </w:sdt>
          </w:p>
        </w:tc>
      </w:tr>
      <w:tr>
        <w:trPr>
          <w:trHeight w:val="1440" w:hRule="atLeast"/>
        </w:trPr>
        <w:tc>
          <w:tcPr>
            <w:tcW w:w="9214" w:type="dxa"/>
            <w:tcBorders>
              <w:bottom w:val="single" w:sz="4" w:space="0" w:color="4F81BD"/>
            </w:tcBorders>
            <w:vAlign w:val="center"/>
          </w:tcPr>
          <w:p>
            <w:pPr>
              <w:pStyle w:val="NoSpacing"/>
              <w:jc w:val="both"/>
              <w:rPr>
                <w:rFonts w:eastAsia="" w:cs="Calibri" w:cstheme="minorHAnsi" w:eastAsiaTheme="majorEastAsia"/>
                <w:sz w:val="80"/>
                <w:szCs w:val="80"/>
              </w:rPr>
            </w:pPr>
            <w:sdt>
              <w:sdt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r>
                  <w:rPr>
                    <w:rFonts w:eastAsia="" w:cs="Calibri" w:cstheme="minorHAnsi" w:eastAsiaTheme="majorEastAsia"/>
                    <w:sz w:val="80"/>
                    <w:szCs w:val="80"/>
                  </w:rPr>
                </w:r>
                <w:r>
                  <w:rPr>
                    <w:rFonts w:eastAsia="" w:cs="Calibri" w:cstheme="minorHAnsi" w:eastAsiaTheme="majorEastAsia"/>
                    <w:sz w:val="80"/>
                    <w:szCs w:val="80"/>
                  </w:rPr>
                  <w:t>Especificación de Requisitos de Software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9214" w:type="dxa"/>
            <w:tcBorders>
              <w:top w:val="single" w:sz="4" w:space="0" w:color="4F81BD"/>
            </w:tcBorders>
            <w:vAlign w:val="center"/>
          </w:tcPr>
          <w:p>
            <w:pPr>
              <w:pStyle w:val="NoSpacing"/>
              <w:jc w:val="both"/>
              <w:rPr>
                <w:rFonts w:eastAsia="" w:cs="Calibri" w:cstheme="minorHAnsi" w:eastAsiaTheme="majorEastAsia"/>
                <w:sz w:val="44"/>
                <w:szCs w:val="44"/>
              </w:rPr>
            </w:pPr>
            <w:sdt>
              <w:sdt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r>
                  <w:rPr>
                    <w:rFonts w:eastAsia="" w:cs="Calibri" w:cstheme="minorHAnsi" w:eastAsiaTheme="majorEastAsia"/>
                    <w:i/>
                    <w:sz w:val="44"/>
                    <w:szCs w:val="44"/>
                    <w:lang w:val="es-AR"/>
                  </w:rPr>
                </w:r>
                <w:r>
                  <w:rPr>
                    <w:rFonts w:eastAsia="" w:cs="Calibri" w:cstheme="minorHAnsi" w:eastAsiaTheme="majorEastAsia"/>
                    <w:i/>
                    <w:sz w:val="44"/>
                    <w:szCs w:val="44"/>
                    <w:lang w:val="es-AR"/>
                  </w:rPr>
                  <w:t>Proyecto: Ensambla.me – Tienda Online de Tecnología</w:t>
                </w:r>
              </w:sdtContent>
            </w:sdt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</w:rPr>
            </w:pPr>
            <w:r>
              <w:rPr>
                <w:rFonts w:cs="Calibri" w:cstheme="minorHAnsi"/>
              </w:rPr>
            </w:r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</w:rPr>
              <w:t>Revisión</w:t>
            </w:r>
            <w:r>
              <w:rPr>
                <w:rFonts w:cs="Calibri" w:cstheme="minorHAnsi"/>
                <w:b/>
                <w:bCs/>
                <w:i/>
              </w:rPr>
              <w:t xml:space="preserve">: </w:t>
            </w:r>
            <w:r>
              <w:rPr>
                <w:rFonts w:cs="Calibri" w:cstheme="minorHAnsi"/>
                <w:b/>
                <w:bCs/>
                <w:i/>
              </w:rPr>
              <w:t>3</w:t>
            </w:r>
            <w:r>
              <w:rPr>
                <w:rFonts w:cs="Calibri" w:cstheme="minorHAnsi"/>
                <w:b/>
                <w:bCs/>
                <w:i/>
              </w:rPr>
              <w:t>.1</w:t>
            </w:r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</w:rPr>
              <w:t>Autor</w:t>
            </w:r>
            <w:r>
              <w:rPr>
                <w:rFonts w:cs="Calibri" w:cstheme="minorHAnsi"/>
                <w:b/>
                <w:bCs/>
                <w:i/>
              </w:rPr>
              <w:t>: Daniel Muñoz</w:t>
            </w:r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  <w:b/>
                <w:bCs/>
              </w:rPr>
            </w:pPr>
            <w:sdt>
              <w:sdt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dateFormat w:val=""/>
                  <w:lid w:val="es-ES"/>
                  <w:storeMappedDataAs w:val="dateTime"/>
                  <w:calendar w:val="gregorian"/>
                </w:date>
              </w:sdtPr>
              <w:sdtContent>
                <w:r>
                  <w:rPr>
                    <w:rFonts w:cs="Calibri" w:cstheme="minorHAnsi"/>
                    <w:b/>
                    <w:bCs/>
                  </w:rPr>
                </w:r>
                <w:r>
                  <w:rPr>
                    <w:rFonts w:cs="Calibri" w:cstheme="minorHAnsi"/>
                    <w:b/>
                    <w:bCs/>
                  </w:rPr>
                  <w:t>29-10-2026</w:t>
                </w:r>
                <w:r/>
              </w:sdtContent>
            </w:sdt>
            <w:r>
              <w:rPr>
                <w:rFonts w:cs="Calibri" w:cstheme="minorHAnsi"/>
                <w:b/>
                <w:bCs/>
              </w:rPr>
            </w:r>
          </w:p>
        </w:tc>
      </w:tr>
    </w:tbl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tbl>
      <w:tblPr>
        <w:tblpPr w:vertAnchor="margin" w:tblpYSpec="bottom" w:horzAnchor="margin" w:tblpXSpec="center" w:leftFromText="187" w:rightFromText="187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214"/>
      </w:tblGrid>
      <w:tr>
        <w:trPr/>
        <w:tc>
          <w:tcPr>
            <w:tcW w:w="9214" w:type="dxa"/>
            <w:tcBorders/>
          </w:tcPr>
          <w:p>
            <w:pPr>
              <w:pStyle w:val="NoSpacing"/>
              <w:jc w:val="both"/>
              <w:rPr>
                <w:rFonts w:cs="Calibri" w:cstheme="minorHAnsi"/>
              </w:rPr>
            </w:pPr>
            <w:sdt>
              <w:sdt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r>
                  <w:rPr>
                    <w:rFonts w:eastAsia="Calibri" w:cs="Calibri" w:cstheme="minorHAnsi" w:eastAsiaTheme="minorHAnsi"/>
                    <w:lang w:val="es-AR"/>
                  </w:rPr>
                </w:r>
                <w:r>
                  <w:rPr>
                    <w:rFonts w:eastAsia="Calibri" w:cs="Calibri" w:cstheme="minorHAnsi" w:eastAsiaTheme="minorHAnsi"/>
                    <w:lang w:val="es-AR"/>
                  </w:rPr>
                  <w:t xml:space="preserve"> </w:t>
                </w:r>
                <w:r>
                  <w:rPr>
                    <w:rFonts w:eastAsia="Calibri" w:cs="Calibri" w:cstheme="minorHAnsi" w:eastAsiaTheme="minorHAnsi"/>
                    <w:lang w:val="es-AR"/>
                  </w:rPr>
                  <w:t>Especificación de Requisitos según estándar de IEEE 830.</w:t>
                </w:r>
              </w:sdtContent>
            </w:sdt>
          </w:p>
        </w:tc>
      </w:tr>
    </w:tbl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jc w:val="both"/>
        <w:rPr>
          <w:rFonts w:cs="Calibri" w:cstheme="minorHAnsi"/>
          <w:sz w:val="32"/>
        </w:rPr>
      </w:pPr>
      <w:r>
        <w:rPr>
          <w:rFonts w:cs="Calibri" w:cstheme="minorHAnsi"/>
          <w:sz w:val="32"/>
        </w:rPr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cs="Calibri" w:cstheme="minorHAnsi"/>
          <w:sz w:val="32"/>
        </w:rPr>
      </w:pPr>
      <w:r>
        <w:rPr>
          <w:rFonts w:cs="Calibri" w:cstheme="minorHAnsi"/>
          <w:sz w:val="32"/>
        </w:rPr>
      </w:r>
    </w:p>
    <w:p>
      <w:pPr>
        <w:pStyle w:val="Normal"/>
        <w:spacing w:before="0" w:after="0"/>
        <w:jc w:val="both"/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pPr>
      <w:r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both"/>
            <w:rPr>
              <w:rFonts w:ascii="Calibri" w:hAnsi="Calibri" w:cs="Calibri" w:asciiTheme="minorHAnsi" w:cstheme="minorHAnsi" w:hAnsiTheme="minorHAnsi"/>
            </w:rPr>
          </w:pPr>
          <w:r>
            <w:rPr>
              <w:rFonts w:cs="Calibri" w:ascii="Calibri" w:hAnsi="Calibri" w:asciiTheme="minorHAnsi" w:cstheme="minorHAnsi" w:hAnsiTheme="minorHAnsi"/>
            </w:rPr>
            <w:t>Contenido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fldChar w:fldCharType="begin"/>
          </w:r>
          <w:r>
            <w:instrText xml:space="preserve"> TOC \z \o "1-3" \u \h</w:instrText>
          </w:r>
          <w:r>
            <w:fldChar w:fldCharType="separate"/>
          </w:r>
          <w:r>
            <w:t xml:space="preserve">Ficha del documento</w:t>
          </w:r>
          <w:r>
            <w:tab/>
            <w:t>3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 Introducción</w:t>
          </w:r>
          <w:r>
            <w:tab/>
            <w:t>4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1.1.</w:t>
            <w:tab/>
          </w:r>
          <w:r>
            <w:t xml:space="preserve">Propósito</w:t>
          </w:r>
          <w:r>
            <w:tab/>
            <w:t>4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1.2.</w:t>
            <w:tab/>
          </w:r>
          <w:r>
            <w:t xml:space="preserve">Ámbito del Sistema</w:t>
          </w:r>
          <w:r>
            <w:tab/>
            <w:t>4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1.3.</w:t>
            <w:tab/>
          </w:r>
          <w:r>
            <w:t xml:space="preserve">Definiciones, Acrónimos y Abreviaturas</w:t>
          </w:r>
          <w:r>
            <w:tab/>
            <w:t>4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1.4.</w:t>
            <w:tab/>
          </w:r>
          <w:r>
            <w:t xml:space="preserve">Referencias</w:t>
          </w:r>
          <w:r>
            <w:tab/>
            <w:t>5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 Descripción General</w:t>
          </w:r>
          <w:r>
            <w:tab/>
            <w:t>5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2.1.</w:t>
            <w:tab/>
          </w:r>
          <w:r>
            <w:t xml:space="preserve">Perspectiva del Producto</w:t>
          </w:r>
          <w:r>
            <w:tab/>
            <w:t>5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2.2.</w:t>
            <w:tab/>
          </w:r>
          <w:r>
            <w:t xml:space="preserve">Funciones del Producto</w:t>
          </w:r>
          <w:r>
            <w:tab/>
            <w:t>6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2.3.</w:t>
            <w:tab/>
          </w:r>
          <w:r>
            <w:t xml:space="preserve">Características de los Usuarios</w:t>
          </w:r>
          <w:r>
            <w:tab/>
            <w:t>6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2.4.</w:t>
            <w:tab/>
          </w:r>
          <w:r>
            <w:t xml:space="preserve">Restricciones</w:t>
          </w:r>
          <w:r>
            <w:tab/>
            <w:t>6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2.5.</w:t>
            <w:tab/>
          </w:r>
          <w:r>
            <w:t xml:space="preserve">Suposiciones y Dependencias</w:t>
          </w:r>
          <w:r>
            <w:tab/>
            <w:t>7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2.6.</w:t>
            <w:tab/>
          </w:r>
          <w:r>
            <w:t xml:space="preserve">Requisitos Futuros</w:t>
          </w:r>
          <w:r>
            <w:tab/>
            <w:t>7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 Requisitos Específicos</w:t>
          </w:r>
          <w:r>
            <w:tab/>
            <w:t>7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3.1</w:t>
            <w:tab/>
          </w:r>
          <w:r>
            <w:t xml:space="preserve">Requisitos comunes de las interfaces</w:t>
          </w:r>
          <w:r>
            <w:tab/>
            <w:t>7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3.1.1</w:t>
            <w:tab/>
          </w:r>
          <w:r>
            <w:t xml:space="preserve">Interfaces de usuario</w:t>
          </w:r>
          <w:r>
            <w:tab/>
            <w:t>7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3.1.2</w:t>
            <w:tab/>
          </w:r>
          <w:r>
            <w:t xml:space="preserve">Interfaces de hardware</w:t>
          </w:r>
          <w:r>
            <w:tab/>
            <w:t>7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3.1.3</w:t>
            <w:tab/>
          </w:r>
          <w:r>
            <w:t xml:space="preserve">Interfaces de software</w:t>
          </w:r>
          <w:r>
            <w:tab/>
            <w:t>7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3.1.4</w:t>
            <w:tab/>
          </w:r>
          <w:r>
            <w:t xml:space="preserve">Interfaces de comunicación</w:t>
          </w:r>
          <w:r>
            <w:tab/>
            <w:t>8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3.2</w:t>
            <w:tab/>
          </w:r>
          <w:r>
            <w:t xml:space="preserve">Requisitos funcionales</w:t>
          </w:r>
          <w:r>
            <w:tab/>
            <w:t>8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Requisitos lógicos de la información almacenada</w:t>
          </w:r>
          <w:r>
            <w:tab/>
            <w:t>10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3.3</w:t>
            <w:tab/>
          </w:r>
          <w:r>
            <w:t xml:space="preserve">Requisitos no funcionales</w:t>
          </w:r>
          <w:r>
            <w:tab/>
            <w:t>12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3.4</w:t>
            <w:tab/>
          </w:r>
          <w:r>
            <w:t xml:space="preserve">Otros Requisitos</w:t>
          </w:r>
          <w:r>
            <w:tab/>
            <w:t>12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Anexo A. Trazabilidad de requisitos</w:t>
          </w:r>
          <w:r>
            <w:tab/>
            <w:t>13</w:t>
          </w:r>
          <w:r>
            <w:fldChar w:fldCharType="end"/>
          </w:r>
        </w:p>
      </w:sdtContent>
    </w:sdt>
    <w:p>
      <w:pPr>
        <w:pStyle w:val="Normal"/>
        <w:jc w:val="both"/>
        <w:rPr>
          <w:rFonts w:eastAsia="Times New Roman" w:cs="Calibri" w:cstheme="minorHAnsi"/>
          <w:b/>
          <w:bCs/>
          <w:color w:themeColor="accent1" w:themeShade="bf" w:val="365F91"/>
          <w:kern w:val="2"/>
          <w:sz w:val="28"/>
          <w:szCs w:val="28"/>
        </w:rPr>
      </w:pPr>
      <w:r>
        <w:rPr>
          <w:rFonts w:eastAsia="Times New Roman" w:cs="Calibri" w:cstheme="minorHAnsi"/>
          <w:b/>
          <w:bCs/>
          <w:color w:themeColor="accent1" w:themeShade="bf" w:val="365F91"/>
          <w:kern w:val="2"/>
          <w:sz w:val="28"/>
          <w:szCs w:val="28"/>
        </w:rPr>
      </w:r>
      <w:bookmarkStart w:id="0" w:name="_Toc33411057"/>
      <w:r>
        <w:br w:type="page"/>
      </w:r>
    </w:p>
    <w:p>
      <w:pPr>
        <w:pStyle w:val="Heading1"/>
        <w:spacing w:before="0" w:after="0"/>
        <w:jc w:val="both"/>
        <w:rPr>
          <w:rFonts w:ascii="Calibri" w:hAnsi="Calibri" w:eastAsia="Times New Roman" w:cs="Calibri" w:asciiTheme="minorHAnsi" w:cstheme="minorHAnsi" w:hAnsiTheme="minorHAnsi"/>
          <w:kern w:val="2"/>
        </w:rPr>
      </w:pPr>
      <w:bookmarkStart w:id="1" w:name="_Toc503382603"/>
      <w:r>
        <w:rPr>
          <w:rFonts w:eastAsia="Times New Roman" w:cs="Calibri" w:ascii="Calibri" w:hAnsi="Calibri" w:asciiTheme="minorHAnsi" w:cstheme="minorHAnsi" w:hAnsiTheme="minorHAnsi"/>
          <w:kern w:val="2"/>
        </w:rPr>
        <w:t>Ficha del documento</w:t>
      </w:r>
      <w:bookmarkEnd w:id="0"/>
      <w:bookmarkEnd w:id="1"/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tbl>
      <w:tblPr>
        <w:tblStyle w:val="Tablaconcuadrcula1"/>
        <w:tblW w:w="86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1187"/>
        <w:gridCol w:w="1081"/>
        <w:gridCol w:w="3060"/>
        <w:gridCol w:w="3317"/>
      </w:tblGrid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Fecha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Revisión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Autor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Modificación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24-09-2026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1.0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Versión inicial del ERS (Entrega I)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1.1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Corrección de inconsistencias y requisitos faltantes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1.2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Historias de usuario, criterios de aceptación y trazabilidad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1.3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Historias de usuario y criterios de aceptación en sección propia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1.4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Conformidad con Anexos 1 y 4 y con la pauta de Evaluación Parcial N° 1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1.5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Reducción de redundancia y compactación del documento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1.6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Sugerencias de validación, HTML válido, barra lateral y herramientas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1.7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Modelo de datos lógico, diagramas y trazabilidad hacia delante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1.8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Modelo de datos lógico normalizado hasta 3NF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30-09-2026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2.0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Reestructuración del documento a la plantilla del Anexo 4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30-09-2026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2.1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Reclasificación de requisitos funcionales y poda de criterios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01-10-2026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2.2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Corrección del ejemplo de RUN, sessionStorage y trazabilidad vigente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01-10-2026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2.3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Reglas de stock del carrito (RF-05, RF-06 y RF-07)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01-10-2026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2.4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Video demostrativo del armado en la página de inicio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26-10-2026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3.0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Migración a React + Vite y pruebas con Vitest (Entrega II): pago, órdenes y boleta, perfil e historial, ofertas, categorías, búsqueda y filtros, mantenedor de categorías, productos críticos y reportes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3.1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Condensación del documento y actualización de las pruebas (RNF-09)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  <w:t xml:space="preserve">Documento validado por las partes en fecha: </w:t>
      </w:r>
      <w:r>
        <w:rPr>
          <w:rFonts w:eastAsia="Times New Roman" w:cs="Calibri" w:cstheme="minorHAnsi"/>
          <w:i/>
          <w:sz w:val="20"/>
          <w:szCs w:val="24"/>
        </w:rPr>
        <w:t>pendiente de presentación (Entrega II)</w:t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tbl>
      <w:tblPr>
        <w:tblStyle w:val="Tablaconcuadrcula1"/>
        <w:tblW w:w="90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4219"/>
        <w:gridCol w:w="851"/>
        <w:gridCol w:w="3984"/>
      </w:tblGrid>
      <w:tr>
        <w:trPr/>
        <w:tc>
          <w:tcPr>
            <w:tcW w:w="42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Por el cliente</w:t>
            </w:r>
          </w:p>
        </w:tc>
        <w:tc>
          <w:tcPr>
            <w:tcW w:w="8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</w:tc>
        <w:tc>
          <w:tcPr>
            <w:tcW w:w="398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Por la empresa suministradora</w:t>
            </w:r>
          </w:p>
        </w:tc>
      </w:tr>
      <w:tr>
        <w:trPr/>
        <w:tc>
          <w:tcPr>
            <w:tcW w:w="421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[Firma]</w:t>
            </w:r>
          </w:p>
        </w:tc>
        <w:tc>
          <w:tcPr>
            <w:tcW w:w="8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</w:tc>
        <w:tc>
          <w:tcPr>
            <w:tcW w:w="3984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[Firma]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</w:tc>
      </w:tr>
      <w:tr>
        <w:trPr/>
        <w:tc>
          <w:tcPr>
            <w:tcW w:w="421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es-ES" w:eastAsia="es-ES" w:bidi="ar-SA"/>
              </w:rPr>
              <w:t>Sr./Sra.  Docente evaluador</w:t>
            </w:r>
          </w:p>
        </w:tc>
        <w:tc>
          <w:tcPr>
            <w:tcW w:w="8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es-ES" w:eastAsia="es-ES" w:bidi="ar-SA"/>
              </w:rPr>
            </w:r>
          </w:p>
        </w:tc>
        <w:tc>
          <w:tcPr>
            <w:tcW w:w="3984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es-ES" w:eastAsia="es-ES" w:bidi="ar-SA"/>
              </w:rPr>
              <w:t>Sr./Sra. Daniel Muñoz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jc w:val="both"/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pPr>
      <w:r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r>
    </w:p>
    <w:p>
      <w:pPr>
        <w:pStyle w:val="Heading1"/>
      </w:pPr>
      <w:r>
        <w:t>1.</w:t>
        <w:tab/>
        <w:t>Introducción</w:t>
      </w:r>
    </w:p>
    <w:p>
      <w:pPr>
        <w:pStyle w:val="Heading2"/>
      </w:pPr>
      <w:r>
        <w:t>1.1.</w:t>
        <w:tab/>
        <w:t>Propósito</w:t>
      </w:r>
    </w:p>
    <w:p>
      <w:pPr>
        <w:jc w:val="both"/>
      </w:pPr>
      <w:r>
        <w:t>Este documento especifica los requisitos funcionales y no funcionales de Ensambla.me, tienda online de productos tecnológicos con un asistente de armado guiado de PC gamer. Corresponde a la Entrega II de la Evaluación Parcial N° 2 de Desarrollo Fullstack II (DSY1104): reconstruye el sitio de la Entrega I como una aplicación React con Vite, incorpora el flujo completo de compra y se acompaña de pruebas unitarias con Vitest. Está dirigido al docente evaluador y sirve de referencia al desarrollador. El proyecto se desarrolla de forma individual por un único estudiante, modalidad autorizada por el docente de la asignatura.</w:t>
      </w:r>
    </w:p>
    <w:p>
      <w:pPr>
        <w:pStyle w:val="Heading2"/>
      </w:pPr>
      <w:r>
        <w:t>1.2.</w:t>
        <w:tab/>
        <w:t>Ámbito del Sistema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Sí hará:</w:t>
      </w:r>
      <w:r>
        <w:t xml:space="preserve"> tienda pública con catálogo, búsqueda y filtros, ofertas, categorías, detalle, blogs, información de la empresa y contacto; registro, inicio y cierre de sesión y perfil; asistente de armado (completo o por módulos); carrito; pago simulado con orden, boleta e historial de compras; y un panel administrativo protegido con mantenedores de Productos, Categorías y Usuarios, órdenes, productos críticos y reportes.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No hará:</w:t>
      </w:r>
      <w:r>
        <w:t xml:space="preserve"> procesar pagos reales ni guardar datos de tarjeta; conectarse a un backend o base de datos real (queda para una evaluación posterior); gestionar el estado de una orden después de pagada; ni validar la compatibilidad técnica real entre componentes (el asistente usa una tabla de compatibilidad estática).</w:t>
      </w:r>
    </w:p>
    <w:p>
      <w:pPr>
        <w:pStyle w:val="Heading2"/>
      </w:pPr>
      <w:r>
        <w:t>1.3.</w:t>
        <w:tab/>
        <w:t>Definiciones, Acrónimos y Abreviaturas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RUN:</w:t>
      </w:r>
      <w:r>
        <w:t xml:space="preserve"> identificador de personas en Chile; se ingresa sin puntos ni guion (ej. 190110222) y se valida su dígito verificador.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Dominios permitidos:</w:t>
      </w:r>
      <w:r>
        <w:t xml:space="preserve"> únicos dominios de correo aceptados: @duoc.cl, @profesor.duoc.cl y @gmail.com.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SKU:</w:t>
      </w:r>
      <w:r>
        <w:t xml:space="preserve"> código de texto único de cada producto.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Armado y módulo:</w:t>
      </w:r>
      <w:r>
        <w:t xml:space="preserve"> conjunto de componentes elegido con el asistente; un módulo es un subconjunto de categorías (ej. solo almacenamiento).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Oferta y precio vigente:</w:t>
      </w:r>
      <w:r>
        <w:t xml:space="preserve"> un producto con descuento mayor que 0 está en oferta; su precio vigente es el de lista menos el descuento.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Orden y boleta:</w:t>
      </w:r>
      <w:r>
        <w:t xml:space="preserve"> la orden registra una compra pagada (número ORD-AAAA-NNNN); la boleta es su comprobante simulado, con neto e IVA desglosados.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Pago simulado:</w:t>
      </w:r>
      <w:r>
        <w:t xml:space="preserve"> cobro que se aprueba o rechaza según el número de la tarjeta, sin contactar a ninguna entidad ni guardarla.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Producto crítico:</w:t>
      </w:r>
      <w:r>
        <w:t xml:space="preserve"> producto cuyo stock es igual o inferior a su stock crítico.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Mantenedor:</w:t>
      </w:r>
      <w:r>
        <w:t xml:space="preserve"> vista administrativa con las operaciones CRUD (crear, leer, actualizar, eliminar) de una entidad.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SPA:</w:t>
      </w:r>
      <w:r>
        <w:t xml:space="preserve"> aplicación de página única que cambia de vista sin recargar, resolviendo las rutas en el navegador.</w:t>
      </w:r>
    </w:p>
    <w:p>
      <w:pPr>
        <w:pStyle w:val="Heading2"/>
      </w:pPr>
      <w:r>
        <w:t>1.4.</w:t>
        <w:tab/>
        <w:t>Referencias</w:t>
      </w:r>
    </w:p>
    <w:p>
      <w:pPr>
        <w:pStyle w:val="ListParagraph"/>
        <w:numPr>
          <w:ilvl w:val="0"/>
          <w:numId w:val="2"/>
        </w:numPr>
        <w:jc w:val="both"/>
      </w:pPr>
      <w:r>
        <w:t>Anexo 1 (instrucciones de las Evaluaciones 1 y 2), Anexo 2 (planilla de requerimientos), Anexo 3 (ejemplo de planilla) y Anexo 4 (plantilla ERS, IEEE 830).</w:t>
      </w:r>
    </w:p>
    <w:p>
      <w:pPr>
        <w:pStyle w:val="ListParagraph"/>
        <w:numPr>
          <w:ilvl w:val="0"/>
          <w:numId w:val="2"/>
        </w:numPr>
        <w:jc w:val="both"/>
      </w:pPr>
      <w:r>
        <w:t>Pautas de las Evaluaciones Parciales N° 1 y N° 2 de Desarrollo Fullstack II (DSY1104).</w:t>
      </w:r>
    </w:p>
    <w:p>
      <w:pPr>
        <w:pStyle w:val="ListParagraph"/>
        <w:numPr>
          <w:ilvl w:val="0"/>
          <w:numId w:val="2"/>
        </w:numPr>
        <w:jc w:val="both"/>
      </w:pPr>
      <w:r>
        <w:t>docs/cobertura-testing.md (pruebas y cobertura), docs/estructura-frontend.md, docs/componentes-frontend.md y README.md.</w:t>
      </w:r>
    </w:p>
    <w:p>
      <w:pPr>
        <w:pStyle w:val="Heading1"/>
      </w:pPr>
      <w:r>
        <w:t>2.</w:t>
        <w:tab/>
        <w:t>Descripción General</w:t>
      </w:r>
    </w:p>
    <w:p>
      <w:pPr>
        <w:pStyle w:val="Heading2"/>
      </w:pPr>
      <w:r>
        <w:t>2.1.</w:t>
        <w:tab/>
        <w:t>Perspectiva del Producto</w:t>
      </w:r>
    </w:p>
    <w:p>
      <w:pPr>
        <w:jc w:val="both"/>
      </w:pPr>
      <w:r>
        <w:t>Ensambla.me es un producto independiente: una aplicación web de página única construida con React 19 y empaquetada con Vite, con React Router para la navegación y Bootstrap para estilos y componentes. No existe backend ni base de datos: los productos, categorías, usuarios y órdenes viven en archivos JavaScript con operaciones de crear, leer, actualizar y eliminar, y en Web Storage (localStorage conserva el carrito; sessionStorage, la sesión y la copia de trabajo de los datos).</w:t>
      </w:r>
    </w:p>
    <w:p>
      <w:pPr>
        <w:pStyle w:val="Normal"/>
        <w:jc w:val="center"/>
        <w:rPr>
          <w:rFonts w:cs="Calibri" w:cstheme="minorHAnsi"/>
        </w:rPr>
      </w:pPr>
      <w:r>
        <w:rPr/>
        <w:drawing>
          <wp:inline distT="0" distB="0" distL="0" distR="0">
            <wp:extent cx="5577840" cy="2155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15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2.2.</w:t>
        <w:tab/>
        <w:t>Funciones del Producto</w:t>
      </w:r>
    </w:p>
    <w:p>
      <w:pPr>
        <w:pStyle w:val="Normal"/>
        <w:jc w:val="center"/>
        <w:rPr>
          <w:rFonts w:cs="Calibri" w:cstheme="minorHAnsi"/>
        </w:rPr>
      </w:pPr>
      <w:r>
        <w:rPr/>
        <w:drawing>
          <wp:inline distT="0" distB="0" distL="0" distR="0">
            <wp:extent cx="5577840" cy="285305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53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Tienda (pública):</w:t>
      </w:r>
      <w:r>
        <w:t xml:space="preserve"> navegación con menú, buscador, carrito y categorías (RF-14); catálogo, búsqueda y filtros, ofertas, categorías y detalle (RF-03, RF-04, RF-17 a RF-19); asistente de armado (RF-07); carrito (RF-05, RF-06); pago simulado, orden, boleta, perfil e historial (RF-20 a RF-24); registro y sesión (RF-01, RF-02, RF-13); Nosotros, blogs y contacto (RF-15, RF-09, RF-08).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Administración (protegida):</w:t>
      </w:r>
      <w:r>
        <w:t xml:space="preserve"> mantenedores de Productos, Categorías y Usuarios (RF-10, RF-25, RF-11); solo lectura para el Administrador logístico (RF-12); productos críticos (RF-26); reportes (RF-27).</w:t>
      </w:r>
    </w:p>
    <w:p>
      <w:pPr>
        <w:pStyle w:val="Heading2"/>
      </w:pPr>
      <w:r>
        <w:t>2.3.</w:t>
        <w:tab/>
        <w:t>Características de los Usuarios</w:t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520"/>
      </w:tblGrid>
      <w:tr>
        <w:trPr>
          <w:tblHeader/>
        </w:trPr>
        <w:tc>
          <w:tcPr>
            <w:tcW w:type="dxa" w:w="2268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Perfil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Acceso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/>
            </w:pPr>
            <w:r>
              <w:rPr>
                <w:b/>
                <w:sz w:val="17"/>
              </w:rPr>
              <w:t>Administrador</w:t>
            </w:r>
          </w:p>
        </w:tc>
        <w:tc>
          <w:tcPr>
            <w:tcW w:type="dxa" w:w="652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Acceso total: mantenedores de Producto, Categoría y Usuario, órdenes, productos críticos y reportes.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/>
            </w:pPr>
            <w:r>
              <w:rPr>
                <w:b/>
                <w:sz w:val="17"/>
              </w:rPr>
              <w:t>Administrador logístico</w:t>
            </w:r>
          </w:p>
        </w:tc>
        <w:tc>
          <w:tcPr>
            <w:tcW w:type="dxa" w:w="652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Solo lectura de productos, productos críticos y órdenes, y su propio perfil (llamado Vendedor en el Anexo 1).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/>
            </w:pP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Tienda pública: registrarse, navegar, comprar con o sin sesión, gestionar su perfil y consultar su historial.</w:t>
            </w:r>
          </w:p>
        </w:tc>
      </w:tr>
    </w:tbl>
    <w:p/>
    <w:p>
      <w:pPr>
        <w:pStyle w:val="Heading2"/>
      </w:pPr>
      <w:r>
        <w:t>2.4.</w:t>
        <w:tab/>
        <w:t>Restricciones</w:t>
      </w:r>
    </w:p>
    <w:p>
      <w:pPr>
        <w:pStyle w:val="ListParagraph"/>
        <w:numPr>
          <w:ilvl w:val="0"/>
          <w:numId w:val="2"/>
        </w:numPr>
        <w:jc w:val="both"/>
      </w:pPr>
      <w:r>
        <w:t>React y Vite, con Bootstrap para estilos, y pruebas con Vitest y Testing Library.</w:t>
      </w:r>
    </w:p>
    <w:p>
      <w:pPr>
        <w:pStyle w:val="ListParagraph"/>
        <w:numPr>
          <w:ilvl w:val="0"/>
          <w:numId w:val="2"/>
        </w:numPr>
        <w:jc w:val="both"/>
      </w:pPr>
      <w:r>
        <w:t>Sin backend ni base de datos real: los datos se simulan en JavaScript, localStorage y sessionStorage.</w:t>
      </w:r>
    </w:p>
    <w:p>
      <w:pPr>
        <w:pStyle w:val="ListParagraph"/>
        <w:numPr>
          <w:ilvl w:val="0"/>
          <w:numId w:val="2"/>
        </w:numPr>
        <w:jc w:val="both"/>
      </w:pPr>
      <w:r>
        <w:t>Diseño responsivo, con una hoja de estilos externa y propia.</w:t>
      </w:r>
    </w:p>
    <w:p>
      <w:pPr>
        <w:pStyle w:val="ListParagraph"/>
        <w:numPr>
          <w:ilvl w:val="0"/>
          <w:numId w:val="2"/>
        </w:numPr>
        <w:jc w:val="both"/>
      </w:pPr>
      <w:r>
        <w:t>Repositorio Git público en GitHub, con commits claros. Node.js 22.22 o superior y npm.</w:t>
      </w:r>
    </w:p>
    <w:p>
      <w:pPr>
        <w:pStyle w:val="ListParagraph"/>
        <w:numPr>
          <w:ilvl w:val="0"/>
          <w:numId w:val="2"/>
        </w:numPr>
        <w:jc w:val="both"/>
      </w:pPr>
      <w:r>
        <w:t>Vistas administrativas protegidas con autenticación simulada en el cliente.</w:t>
      </w:r>
    </w:p>
    <w:p>
      <w:pPr>
        <w:pStyle w:val="Heading2"/>
      </w:pPr>
      <w:r>
        <w:t>2.5.</w:t>
        <w:tab/>
        <w:t>Suposiciones y Dependencias</w:t>
      </w:r>
    </w:p>
    <w:p>
      <w:pPr>
        <w:pStyle w:val="ListParagraph"/>
        <w:numPr>
          <w:ilvl w:val="0"/>
          <w:numId w:val="2"/>
        </w:numPr>
        <w:jc w:val="both"/>
      </w:pPr>
      <w:r>
        <w:t>Navegador moderno con Web Storage y JavaScript habilitado.</w:t>
      </w:r>
    </w:p>
    <w:p>
      <w:pPr>
        <w:pStyle w:val="ListParagraph"/>
        <w:numPr>
          <w:ilvl w:val="0"/>
          <w:numId w:val="2"/>
        </w:numPr>
        <w:jc w:val="both"/>
      </w:pPr>
      <w:r>
        <w:t>Los datos de prueba son representativos y no se requiere persistencia entre dispositivos: los registros creados se pierden al cerrar el navegador. Con un backend real, los requisitos de persistencia deberán revisarse.</w:t>
      </w:r>
    </w:p>
    <w:p>
      <w:pPr>
        <w:pStyle w:val="Heading2"/>
      </w:pPr>
      <w:r>
        <w:t>2.6.</w:t>
        <w:tab/>
        <w:t>Requisitos Futuros</w:t>
      </w:r>
    </w:p>
    <w:p>
      <w:pPr>
        <w:pStyle w:val="ListParagraph"/>
        <w:numPr>
          <w:ilvl w:val="0"/>
          <w:numId w:val="2"/>
        </w:numPr>
        <w:jc w:val="both"/>
      </w:pPr>
      <w:r>
        <w:t>Backend con base de datos real, pasarela de pago real, estado y seguimiento del pedido, persistencia entre dispositivos y pruebas de extremo a extremo, recuperación de contraseña y verificación de correo, y un motor de compatibilidad técnica real (socket, tipo de RAM, formato de gabinete, potencia de la fuente).</w:t>
      </w:r>
    </w:p>
    <w:p>
      <w:pPr>
        <w:pStyle w:val="Heading1"/>
      </w:pPr>
      <w:r>
        <w:t>3.</w:t>
        <w:tab/>
        <w:t>Requisitos Específicos</w:t>
      </w:r>
    </w:p>
    <w:p>
      <w:pPr>
        <w:jc w:val="both"/>
      </w:pPr>
      <w:r>
        <w:t>Cada requisito lleva un código estable (RF-xx, RNF-xx). Su clasificación, prioridad y origen están en el Anexo A. RF-16 se retiró y no vuelve a usarse.</w:t>
      </w:r>
    </w:p>
    <w:p>
      <w:pPr>
        <w:pStyle w:val="Heading2"/>
      </w:pPr>
      <w:r>
        <w:t>3.1</w:t>
        <w:tab/>
        <w:t>Requisitos comunes de las interfaces</w:t>
      </w:r>
    </w:p>
    <w:p>
      <w:pPr>
        <w:pStyle w:val="Heading3"/>
      </w:pPr>
      <w:r>
        <w:t>3.1.1</w:t>
        <w:tab/>
        <w:t>Interfaces de usuario</w:t>
      </w:r>
    </w:p>
    <w:p>
      <w:pPr>
        <w:jc w:val="both"/>
      </w:pPr>
      <w:r>
        <w:t>Las vistas públicas son inicio, productos, categorías, ofertas, detalle de producto, armado, carrito, pago, resultado del pago, blogs, detalle de blog, nosotros, contacto, registro, inicio de sesión, perfil, mis compras y detalle de compra. Las administrativas son el home del panel, los mantenedores (con la ficha de usuario), los productos críticos, las órdenes, los reportes y el perfil.</w:t>
      </w:r>
    </w:p>
    <w:p>
      <w:pPr>
        <w:jc w:val="both"/>
      </w:pPr>
      <w:r>
        <w:t>Criterios de aceptación (RNF-08): toda vista pública muestra un menú superior con el logo, los enlaces a Inicio, Productos, Categorías, Ofertas, Armar mi PC, Blogs, Nosotros y Contacto, una caja de búsqueda y el carrito con su contador; un pie con el nombre de la tienda, los enlaces principales, el contacto y el año; y, en catálogo, ofertas, armado y carrito, una barra lateral de categorías. En el inicio, el componente principal va antes del listado y el video demostrativo del asistente, después. El panel usa un menú vertical con las opciones del rol y un home con indicadores (productos, críticos, usuarios y órdenes).</w:t>
      </w:r>
    </w:p>
    <w:p>
      <w:pPr>
        <w:pStyle w:val="Heading3"/>
      </w:pPr>
      <w:r>
        <w:t>3.1.2</w:t>
        <w:tab/>
        <w:t>Interfaces de hardware</w:t>
      </w:r>
    </w:p>
    <w:p>
      <w:pPr>
        <w:jc w:val="both"/>
      </w:pPr>
      <w:r>
        <w:t>Se usa desde computadores de escritorio y desde dispositivos táctiles (smartphone y tablet) gracias al diseño responsivo.</w:t>
      </w:r>
    </w:p>
    <w:p>
      <w:pPr>
        <w:pStyle w:val="Heading3"/>
      </w:pPr>
      <w:r>
        <w:t>3.1.3</w:t>
        <w:tab/>
        <w:t>Interfaces de software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Aplicación:</w:t>
      </w:r>
      <w:r>
        <w:t xml:space="preserve"> React 19, Vite 8 y React Router 8 (interfaz, empaquetado y rutas).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Estilos:</w:t>
      </w:r>
      <w:r>
        <w:t xml:space="preserve"> Bootstrap 5.3.8, instalado por npm, sin CDN.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Pruebas:</w:t>
      </w:r>
      <w:r>
        <w:t xml:space="preserve"> Vitest 5, Testing Library y jsdom.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Web Storage:</w:t>
      </w:r>
      <w:r>
        <w:t xml:space="preserve"> localStorage guarda el carrito (clave carrito); sessionStorage guarda la sesión y las copias de trabajo de productos, usuarios, categorías, órdenes e ítems de orden, sembradas desde src/data/semillas.js.</w:t>
      </w:r>
    </w:p>
    <w:p>
      <w:pPr>
        <w:pStyle w:val="Heading3"/>
      </w:pPr>
      <w:r>
        <w:t>3.1.4</w:t>
        <w:tab/>
        <w:t>Interfaces de comunicación</w:t>
      </w:r>
    </w:p>
    <w:p>
      <w:pPr>
        <w:jc w:val="both"/>
      </w:pPr>
      <w:r>
        <w:t>El sistema no consume APIs ni servicios externos ni realiza peticiones HTTP propias. Con Node.js 22.22 o superior: npm install y npm run dev (http://localhost:5173/); npm run build genera dist/ y npm run preview lo previsualiza.</w:t>
      </w:r>
    </w:p>
    <w:p>
      <w:pPr>
        <w:pStyle w:val="Heading2"/>
      </w:pPr>
      <w:r>
        <w:t>3.2</w:t>
        <w:tab/>
        <w:t>Requisitos funcionales</w:t>
      </w:r>
    </w:p>
    <w:p>
      <w:pPr>
        <w:jc w:val="both"/>
      </w:pPr>
      <w:r>
        <w:t>Los criterios de aceptación completos de cada requisito están en la Planilla de Requerimientos; aquí se resumen los criterios clave.</w:t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474"/>
        <w:gridCol w:w="1304"/>
        <w:gridCol w:w="5159"/>
      </w:tblGrid>
      <w:tr>
        <w:trPr>
          <w:tblHeader/>
        </w:trPr>
        <w:tc>
          <w:tcPr>
            <w:tcW w:type="dxa" w:w="850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Código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Requisito</w:t>
            </w:r>
          </w:p>
        </w:tc>
        <w:tc>
          <w:tcPr>
            <w:tcW w:type="dxa" w:w="1304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Actor</w:t>
            </w:r>
          </w:p>
        </w:tc>
        <w:tc>
          <w:tcPr>
            <w:tcW w:type="dxa" w:w="5159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Descripción y criterios clave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RF-01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Registrar usuario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RUN sin puntos ni guion (7 a 9 caracteres, dígito verificador válido; ej. 190110222), nombre (máx. 50), apellidos (máx. 100), correo (máx. 100, solo dominios permitidos), contraseña (4 a 10), región y comuna (la comuna depende de la región) y dirección (máx. 300). Crea un Cliente; rechaza RUN o correo repetidos y sugiere los dominios permitidos.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RF-02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Iniciar sesión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Todos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Correo de dominio permitido y contraseña de 4 a 10 caracteres. Lleva a la ruta pedida si es del mismo sitio o a la vista de su rol. Credenciales erróneas dan un mensaje genérico.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RF-03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Visualizar catálogo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Una tarjeta por producto (imagen, nombre, categoría y precio vigente en pesos chilenos) generada desde los datos; aviso si no hay productos.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RF-04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detalle de producto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Imagen, nombre, precio, descripción, categoría y stock, video embebido si lo define y botón Añadir. Un código inexistente muestra «producto no encontrado».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RF-05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Agregar al carrito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Desde el listado o el detalle; suma cantidad si ya existe, confirma visualmente y guarda en localStorage. Stock 0 deshabilita el botón («Sin stock»); no se superan las unidades en stock (líneas sueltas más armados).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RF-06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Gestionar carrito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líneas (imagen, nombre, precio, cantidad, subtotal), eliminar y cambiar cantidad (mínimo 1, tope de stock). El total usa precios vigentes, persiste entre sesiones y se ajusta al stock. Con el carrito vacío, pagar queda deshabilitado.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RF-07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Armar PC gamer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Asistente categoría por categoría (CPU, placa madre, RAM, almacenamiento, fuente, gabinete, refrigeración, tarjeta gráfica y periféricos), filtrado por la tabla de compatibilidad; completo o por módulos. Se agrega al carrito como un conjunto cuyo precio es la suma de sus componentes. Sin stock no se selecciona. No emite juicio de compatibilidad real.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RF-08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Enviar mensaje de contacto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Nombre (máx. 100), correo (dominio permitido) y comentario (máx. 500), todos requeridos. Mensaje de éxito y campos limpios.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RF-09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Consultar blogs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Listado con imagen, título y descripción corta, y detalle (descripción larga) de al menos dos artículos.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RF-10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Mantenedor de Productos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Listar, buscar (código, nombre, categoría), crear, editar y eliminar con confirmación. SKU único (mín. 3), nombre (máx. 100), precio ≥ 0 (0 = gratis), descuento entero de 0 a 90, stock entero ≥ 0, stock crítico con alerta de bajo inventario y video opcional. Las órdenes conservan su detalle.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RF-11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Mantenedor de Usuarios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CRUD con las reglas de RF-01 más el tipo de usuario (Administrador, Cliente o Administrador logístico). La ficha muestra el historial de compras. No se elimina la cuenta en sesión ni usuarios con órdenes.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RF-12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Solo lectura (logístico)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 logístico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Listado de productos sin crear, editar ni eliminar; productos críticos; órdenes buscables con su boleta en lectura; y su perfil.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RF-13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Cerrar sesión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Todos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Visible en toda vista con acceso. Elimina los datos de sesión y vuelve a la tienda; el carrito se conserva.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RF-14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Navegar el sitio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Menú con enlaces a las vistas públicas, contador del carrito, barra lateral de categorías y búsqueda del menú que lleva al catálogo.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RF-15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Información de la empresa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Vista Nosotros con la empresa y la presentación de sus desarrolladores.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RF-17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Buscar y filtrar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Búsqueda sin distinguir mayúsculas ni tildes; filtros por categoría, precio mínimo y máximo, ofertas y stock; orden por catálogo, precio, nombre o mayor descuento. Los criterios viajan en la URL (?q=&amp;categoria=&amp;min=&amp;max=&amp;oferta=1&amp;stock=1&amp;orden=). Avisa si el mínimo supera al máximo o si no hay coincidencias.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RF-18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Ofertas y precio vigente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Descuento mayor que 0 (entero, máx. 90) = oferta. Precio vigente = lista menos descuento, en pesos enteros. Se muestran el vigente, el de lista tachado y el porcentaje; carrito, pago, órdenes y reportes usan el vigente. La vista Ofertas ordena de mayor a menor descuento.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RF-19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por categoría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La vista Categorías muestra los tres primeros productos de cada una con «Ver los N productos»; una categoría vacía avisa; el listado usa ?categoria=.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RF-20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Pagar la compra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 o sin sesión (con sesión se completan los datos). Nombre, apellidos, correo, región, comuna y dirección requeridos. Entrega a domicilio ($4.990, gratis desde $200.000) o retiro en tienda (gratis). Tarjeta validada (13 a 19 dígitos con Luhn, vencimiento vigente, código de 3 o 4 dígitos) y nunca almacenada. Un pedido de $0 no pide tarjeta. Revisa el stock antes de cobrar.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RF-21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Confirmar o rechazar el pago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4242 4242 4242 4242 aprueba; 4000 0000 0000 0002 la rechaza el emisor; 4000 0000 0000 9995 por fondos insuficientes; cualquier otro número válido aprueba. Aprobado: crea la orden, vacía el carrito y muestra /pago/correcto/:numero con la boleta. Rechazado: /pago/error con el motivo, sin cobro ni cambios, y «Reintentar el pago» conserva los datos de envío. Solo quien puede ver la orden la ve.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RF-22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Registrar orden y boleta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Cliente, Administrador, Administrador logístico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Cada pago aprobado crea una orden ORD-AAAA-NNNN (correlativa por año) con comprador, entrega, envío, medio de pago («Tarjeta terminada en NNNN») y un ítem por producto a precio vigente; descuenta el stock de forma atómica. La boleta muestra subtotal, envío, total e IVA (neto más 19 %), es simulada e imprimible y conserva el detalle si el producto se elimina.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RF-23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Gestionar mi perfil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Cliente, Administrador, Administrador logístico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y editar nombre, apellidos, correo, fecha de nacimiento, región, comuna y dirección (RUN y tipo no editables). Cambiar la contraseña pide la actual, la nueva y su repetición, y la nueva debe diferir de la actual.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RF-24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Historial de compras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/mis-compras exige sesión y lista de la más reciente a la más antigua (número, fecha, productos y total), con la cantidad de compras y el gasto total. /mis-compras/:numero muestra la boleta propia; una ajena aparece como «Orden no encontrada».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RF-25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Mantenedor de Categorías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CRUD con código único de 3 a 30 caracteres (minúsculas, números y guiones; no cambia al editar) y nombre (máx. 50). No se elimina una categoría que es paso del asistente o que tiene productos.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RF-26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críticos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Administrador, Administrador logístico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con stock menor o igual a su stock crítico: primero los agotados y luego el mayor faltante. Muestra stock, umbral, faltante y estado; el Administrador repone desde la ficha.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RF-27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Reportes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Periodo desde-hasta (inclusivo). Resume órdenes, ingresos (con IVA), envíos, unidades y ticket promedio; ventas por mes y categoría, 5 productos más vendidos y 5 clientes que más gastan; inventario valorizado y productos críticos.</w:t>
            </w:r>
          </w:p>
        </w:tc>
      </w:tr>
    </w:tbl>
    <w:p/>
    <w:p>
      <w:pPr>
        <w:pStyle w:val="Heading3"/>
      </w:pPr>
      <w:r>
        <w:t>Requisitos lógicos de la información almacenada</w:t>
      </w:r>
    </w:p>
    <w:p>
      <w:pPr>
        <w:jc w:val="both"/>
      </w:pPr>
      <w:r>
        <w:t>Modelo lógico normalizado hasta 3NF. Los valores derivados (total de una orden, subtotal de una línea, neto e IVA, precio de un armado) no se almacenan: se calculan al mostrarlos. Un armado en curso no se persiste: existe solo como las líneas de carrito que comparten su agrupador.</w:t>
      </w:r>
    </w:p>
    <w:p>
      <w:pPr>
        <w:pStyle w:val="Normal"/>
        <w:jc w:val="center"/>
        <w:rPr>
          <w:rFonts w:cs="Calibri" w:cstheme="minorHAnsi"/>
        </w:rPr>
      </w:pPr>
      <w:r>
        <w:rPr/>
        <w:drawing>
          <wp:inline distT="0" distB="0" distL="0" distR="0">
            <wp:extent cx="4754880" cy="434848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48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973"/>
      </w:tblGrid>
      <w:tr>
        <w:trPr>
          <w:tblHeader/>
        </w:trPr>
        <w:tc>
          <w:tcPr>
            <w:tcW w:type="dxa" w:w="1814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Entidad</w:t>
            </w:r>
          </w:p>
        </w:tc>
        <w:tc>
          <w:tcPr>
            <w:tcW w:type="dxa" w:w="6973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Campos (PK clave primaria, FK clave foránea, ? opcional)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Categoría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(PK), nombre, orden?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Producto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de producto o SKU (PK), nombre, descripción?, precio, descuento?, stock, stock crítico?, categoría (FK), imagen?, video?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Compatibilidad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 (PK, FK), producto admisible (PK, FK)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Región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(PK), nombre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Comuna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(PK), nombre, región (FK)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Rol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(PK), nombre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Usuario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RUN (PK), nombre, apellidos, correo, contraseña, fecha de nacimiento?, comuna (FK), dirección, tipo de usuario (FK)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Orden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número de orden (PK), cliente (FK)?, fecha, nombre del comprador, correo, dirección, comuna (FK), entrega, costo de envío, medio de pago?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Ítem de orden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orden (PK, FK), producto (PK, FK), cantidad, precio unitario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Armado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identificador (PK)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Ítem de carrito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n.º de línea (PK), producto (FK), cantidad, armado (FK)?</w:t>
            </w:r>
          </w:p>
        </w:tc>
      </w:tr>
    </w:tbl>
    <w:p/>
    <w:p>
      <w:pPr>
        <w:jc w:val="both"/>
      </w:pPr>
      <w:r>
        <w:t>Campos agregados por decisión del proyecto, que no figuran en el Anexo 1: número de orden, contraseña (necesaria para autenticar), video y descuento del producto. Las órdenes se crean al aprobarse el pago y no se modifican después.</w:t>
      </w:r>
    </w:p>
    <w:p>
      <w:pPr>
        <w:pStyle w:val="Heading2"/>
      </w:pPr>
      <w:r>
        <w:t>3.3</w:t>
        <w:tab/>
        <w:t>Requisitos no funcionales</w:t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587"/>
        <w:gridCol w:w="6293"/>
      </w:tblGrid>
      <w:tr>
        <w:trPr>
          <w:tblHeader/>
        </w:trPr>
        <w:tc>
          <w:tcPr>
            <w:tcW w:type="dxa" w:w="907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Código</w:t>
            </w:r>
          </w:p>
        </w:tc>
        <w:tc>
          <w:tcPr>
            <w:tcW w:type="dxa" w:w="1587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Categoría</w:t>
            </w:r>
          </w:p>
        </w:tc>
        <w:tc>
          <w:tcPr>
            <w:tcW w:type="dxa" w:w="6293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Requisito y criterios clave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RNF-01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Rendimiento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Cada vista carga en menos de 2 s en banda ancha estándar y el cambio entre vistas no recarga la página. Sin llamadas a servicios externos. El empaquetado pesa 432 kB de JavaScript (125 kB comprimido) y 242 kB de CSS (34 kB comprimido).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RNF-02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Seguridad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Contraseñas y código de seguridad de la tarjeta enmascarados (type=password). El panel es inaccesible sin sesión o con rol Cliente; al Administrador logístico solo se le renderizan Productos, Críticos, Órdenes y Mi perfil (las demás opciones no existen en el DOM). Validación en tiempo real con mensaje de error y sugerencia de formato. Tras iniciar sesión solo se respeta como destino una ruta del mismo sitio.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RNF-03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Fiabilidad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Sin errores de JavaScript en consola. Los errores de validación se comunican junto al campo sin interrumpir la navegación. Un almacenamiento corrupto, bloqueado o lleno no interrumpe la aplicación: el carrito vuelve a vacío, una sesión corrupta se trata como sin sesión y una colección corrupta vuelve a su semilla.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RNF-04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Disponibilidad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Se publica como archivos estáticos (dist/); la disponibilidad es la del hosting elegido, accesible por URL pública sin credenciales.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RNF-05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Mantenibilidad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Componentes de responsabilidad única que reciben datos por props; reglas de negocio puras en src/logic/ y src/utils/; una hoja de estilos externa (src/styles/style.css) sin atributos style. HTML5 semántico (header, nav, main, section, article, footer) con un único h1 por vista; cada control con label asociado por for y autocomplete. npm run lint sin errores.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RNF-06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Portabilidad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Funciona en las versiones actuales de Chrome, Firefox y Edge, servido con npm run dev o desde dist/. Requiere Node.js 22.22 o superior. Sin desplazamiento horizontal en escritorio, tablet ni móvil.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RNF-07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Otros requisitos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3.4.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RNF-08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Interfaces de usuario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3.1.1.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RNF-09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Calidad y pruebas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Pruebas unitarias con Vitest y Testing Library, junto al archivo que prueban y ejecutables con npm run test:run. La suite son 10 pruebas, una por elemento: siete componentes (Alerta, Campo, ModalConfirmacion, CajaBusqueda, FiltrosCatalogo, TarjetaProducto y Boleta), el hook useFormulario y las páginas Carrito y Checkout. Cubren renderizado, renderizado condicional, props, estado y eventos, y usan vi.fn y un vi.mock de la pasarela de pago. npm run coverage genera el informe v8: 34,83 % de sentencias, 22,38 % de ramas, 36,34 % de funciones y 36,00 % de líneas. El alcance y los resultados están en docs/cobertura-testing.md.</w:t>
            </w:r>
          </w:p>
        </w:tc>
      </w:tr>
    </w:tbl>
    <w:p/>
    <w:p>
      <w:pPr>
        <w:pStyle w:val="Heading2"/>
      </w:pPr>
      <w:r>
        <w:t>3.4</w:t>
        <w:tab/>
        <w:t>Otros Requisitos</w:t>
      </w:r>
    </w:p>
    <w:p>
      <w:pPr>
        <w:pStyle w:val="ListParagraph"/>
        <w:numPr>
          <w:ilvl w:val="0"/>
          <w:numId w:val="2"/>
        </w:numPr>
        <w:jc w:val="both"/>
      </w:pPr>
      <w:r>
        <w:t>Repositorio Git/GitHub público, con commits claros y coherentes, que se evalúan en la ronda de preguntas de la Entrega II.</w:t>
      </w:r>
    </w:p>
    <w:p>
      <w:pPr>
        <w:pStyle w:val="ListParagraph"/>
        <w:numPr>
          <w:ilvl w:val="0"/>
          <w:numId w:val="2"/>
        </w:numPr>
        <w:jc w:val="both"/>
      </w:pPr>
      <w:r>
        <w:t>El repositorio documenta cómo ejecutar el proyecto: npm install y luego npm run dev, en http://localhost:5173/.</w:t>
      </w:r>
    </w:p>
    <w:p>
      <w:pPr>
        <w:pStyle w:val="ListParagraph"/>
        <w:numPr>
          <w:ilvl w:val="0"/>
          <w:numId w:val="2"/>
        </w:numPr>
        <w:jc w:val="both"/>
      </w:pPr>
      <w:r>
        <w:t>El proyecto se desarrolla de forma individual por un único estudiante, modalidad autorizada por el docente; el historial del repositorio refleja a un solo autor.</w:t>
      </w:r>
    </w:p>
    <w:p>
      <w:pPr>
        <w:pStyle w:val="ListParagraph"/>
        <w:numPr>
          <w:ilvl w:val="0"/>
          <w:numId w:val="2"/>
        </w:numPr>
        <w:jc w:val="both"/>
      </w:pPr>
      <w:r>
        <w:t>La entrega incluye el enlace al repositorio público, el proyecto frontend comprimido (el mismo estado del repositorio) y este ERS en su última versión.</w:t>
      </w:r>
    </w:p>
    <w:p>
      <w:pPr>
        <w:pStyle w:val="Heading1"/>
      </w:pPr>
      <w:r>
        <w:t>Anexo A. Trazabilidad de requisitos</w:t>
      </w:r>
    </w:p>
    <w:p>
      <w:pPr>
        <w:jc w:val="both"/>
      </w:pPr>
      <w:r>
        <w:t>Prioridad: Esencial, Condicional u Opcional (ninguno es Opcional). Origen: A1 = Anexo 1, A4 = Anexo 4, P = propuesta del proyecto, R = recomendación y R2 = pauta de la Evaluación 2. Todos los requisitos están en estado Solicitado. Se listan los archivos principales de cada requisito.</w:t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077"/>
        <w:gridCol w:w="850"/>
        <w:gridCol w:w="1871"/>
        <w:gridCol w:w="4139"/>
      </w:tblGrid>
      <w:tr>
        <w:trPr>
          <w:tblHeader/>
        </w:trPr>
        <w:tc>
          <w:tcPr>
            <w:tcW w:type="dxa" w:w="850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Código</w:t>
            </w:r>
          </w:p>
        </w:tc>
        <w:tc>
          <w:tcPr>
            <w:tcW w:type="dxa" w:w="1077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Prioridad</w:t>
            </w:r>
          </w:p>
        </w:tc>
        <w:tc>
          <w:tcPr>
            <w:tcW w:type="dxa" w:w="850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Origen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Vista o alcance</w:t>
            </w:r>
          </w:p>
        </w:tc>
        <w:tc>
          <w:tcPr>
            <w:tcW w:type="dxa" w:w="4139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Archivos principales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RF-01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Registro de usuario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pages/Registro.jsx, utils/validaciones.js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RF-02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Inicio de sesión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pages/Login.jsx, context/SesionProvider.jsx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RF-03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Inicio / Productos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pages/Inicio.jsx, pages/Productos.jsx, components/RejillaProductos.jsx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RF-04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Detalle de producto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pages/Producto.jsx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RF-05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/ Detalle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components/BotonAgregar.jsx, context/CarritoProvider.jsx, logic/carrito.js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RF-06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Carrito de compras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pages/Carrito.jsx, logic/carrito.js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RF-07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Asistente de armado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pages/Armado.jsx, logic/armado.js, logic/carrito.js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RF-08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Contacto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pages/Contacto.jsx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RF-09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Blogs / Detalle de blog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pages/Blogs.jsx, pages/Blog.jsx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RF-10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Productos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pages/admin/Productos.jsx, pages/admin/FormularioProducto.jsx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RF-11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Usuarios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pages/admin/Usuarios.jsx, pages/admin/Usuario.jsx, pages/admin/FormularioUsuario.jsx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RF-12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Productos y Órdenes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pages/admin/Productos.jsx, pages/admin/Criticos.jsx, pages/admin/Ordenes.jsx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RF-13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Transversal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components/layout/Header.jsx, context/SesionProvider.jsx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RF-14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Transversal (vistas públicas)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components/layout/Nav.jsx, components/layout/Aside.jsx, components/layout/Footer.jsx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RF-15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Nosotros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pages/Nosotros.jsx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RF-17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(búsqueda y filtros)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pages/Productos.jsx, components/FiltrosCatalogo.jsx, hooks/useCriterios.js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RF-18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Ofertas / Productos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pages/Ofertas.jsx, logic/precios.js, components/PrecioProducto.jsx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RF-19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Categorías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pages/Categorias.jsx, components/layout/Aside.jsx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RF-20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pages/Checkout.jsx, logic/checkout.js, components/ResumenPedido.jsx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RF-21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Pago correcto / Pago rechazado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pages/PagoCorrecto.jsx, pages/PagoError.jsx, logic/pago.js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RF-22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Boleta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data/datos.js, logic/ordenes.js, components/Boleta.jsx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RF-23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Mi perfil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pages/Perfil.jsx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RF-24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Mis compras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pages/MisCompras.jsx, pages/MiCompra.jsx, components/TablaOrdenes.jsx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RF-25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Categorías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pages/admin/Categorias.jsx, pages/admin/FormularioCategoria.jsx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RF-26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Productos críticos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pages/admin/Criticos.jsx, logic/stock.js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RF-27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Reportes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pages/admin/Reportes.jsx, logic/reportes.js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RNF-01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3.3.1 Rendimiento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vite.config.js, main.jsx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RNF-02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3.3.2 Seguridad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components/RutaProtegida.jsx, utils/validaciones.js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RNF-03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3.3.3 Fiabilidad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context/, data/coleccion.js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RNF-04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3.3.4 Disponibilidad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— (hosting)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RNF-05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3.3.5 Mantenibilidad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components/, hooks/, logic/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RNF-06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3.3.6 Portabilidad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package.json, vite.config.js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RNF-07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3.4 Otros Requisitos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— (repositorio)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RNF-08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3.1.1 Interfaces de usuario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components/layout/, pages/Inicio.jsx, pages/admin/Resumen.jsx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RNF-09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R2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3.3.7 Calidad y pruebas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src/**/*.test.js(x), vite.config.js</w:t>
            </w:r>
          </w:p>
        </w:tc>
      </w:tr>
    </w:tbl>
    <w:p/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1701" w:right="1325" w:gutter="0" w:header="708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532529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end"/>
      <w:rPr/>
    </w:pPr>
    <w:r>
      <w:rPr/>
      <w:t xml:space="preserve">Especificación de Requisitos, estándar de IEEE 830 </w:t>
    </w:r>
  </w:p>
  <w:p>
    <w:pPr>
      <w:pStyle w:val="Header"/>
      <w:pBdr>
        <w:bottom w:val="single" w:sz="4" w:space="1" w:color="000000"/>
      </w:pBdr>
      <w:jc w:val="end"/>
      <w:rPr/>
    </w:pPr>
    <w:r>
      <w:rPr/>
      <w:drawing>
        <wp:anchor distT="0" distB="0" distL="114300" distR="114300" simplePos="0" relativeHeight="37" behindDoc="1" locked="0" layoutInCell="0" allowOverlap="1">
          <wp:simplePos x="0" y="0"/>
          <wp:positionH relativeFrom="column">
            <wp:posOffset>132080</wp:posOffset>
          </wp:positionH>
          <wp:positionV relativeFrom="paragraph">
            <wp:posOffset>-152400</wp:posOffset>
          </wp:positionV>
          <wp:extent cx="924560" cy="234315"/>
          <wp:effectExtent l="0" t="0" r="0" b="0"/>
          <wp:wrapSquare wrapText="bothSides"/>
          <wp:docPr id="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4560" cy="23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s-ES" w:bidi="ar-SA"/>
    </w:rPr>
  </w:style>
  <w:style w:type="paragraph" w:styleId="Heading1">
    <w:name w:val="heading 1"/>
    <w:basedOn w:val="Normal"/>
    <w:next w:val="Normal"/>
    <w:link w:val="Ttulo1Car"/>
    <w:qFormat/>
    <w:rsid w:val="00555ba9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Ttulo2Car"/>
    <w:unhideWhenUsed/>
    <w:qFormat/>
    <w:rsid w:val="00052e1b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Ttulo3Car"/>
    <w:qFormat/>
    <w:rsid w:val="002e3f8e"/>
    <w:pPr>
      <w:keepNext w:val="true"/>
      <w:tabs>
        <w:tab w:val="clear" w:pos="708"/>
        <w:tab w:val="left" w:pos="567" w:leader="none"/>
        <w:tab w:val="left" w:pos="1920" w:leader="none"/>
      </w:tabs>
      <w:spacing w:lineRule="auto" w:line="240" w:before="240" w:after="60"/>
      <w:ind w:hanging="720" w:start="1287"/>
      <w:outlineLvl w:val="2"/>
    </w:pPr>
    <w:rPr>
      <w:rFonts w:ascii="Cambria" w:hAnsi="Cambria" w:eastAsia="Times New Roman" w:cs="Arial" w:asciiTheme="majorHAnsi" w:hAnsiTheme="majorHAnsi"/>
      <w:b/>
      <w:bCs/>
      <w:color w:themeColor="text2" w:themeTint="99" w:val="548DD4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893114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893114"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893114"/>
    <w:rPr>
      <w:rFonts w:ascii="Tahoma" w:hAnsi="Tahoma" w:cs="Tahoma"/>
      <w:sz w:val="16"/>
      <w:szCs w:val="16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555ba9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052e1b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c82195"/>
    <w:rPr>
      <w:rFonts w:eastAsia="" w:eastAsiaTheme="minorEastAsia"/>
      <w:lang w:val="es-ES"/>
    </w:rPr>
  </w:style>
  <w:style w:type="character" w:styleId="Hyperlink">
    <w:name w:val="Hyperlink"/>
    <w:basedOn w:val="DefaultParagraphFont"/>
    <w:uiPriority w:val="99"/>
    <w:unhideWhenUsed/>
    <w:rsid w:val="00c82195"/>
    <w:rPr>
      <w:color w:themeColor="hyperlink" w:val="0000FF"/>
      <w:u w:val="single"/>
    </w:rPr>
  </w:style>
  <w:style w:type="character" w:styleId="Ttulo3Car" w:customStyle="1">
    <w:name w:val="Título 3 Car"/>
    <w:basedOn w:val="DefaultParagraphFont"/>
    <w:link w:val="Heading3"/>
    <w:qFormat/>
    <w:rsid w:val="002e3f8e"/>
    <w:rPr>
      <w:rFonts w:ascii="Cambria" w:hAnsi="Cambria" w:eastAsia="Times New Roman" w:cs="Arial" w:asciiTheme="majorHAnsi" w:hAnsiTheme="majorHAnsi"/>
      <w:b/>
      <w:bCs/>
      <w:color w:themeColor="text2" w:themeTint="99" w:val="548DD4"/>
      <w:sz w:val="26"/>
      <w:szCs w:val="26"/>
      <w:lang w:val="es-ES" w:eastAsia="es-ES"/>
    </w:rPr>
  </w:style>
  <w:style w:type="character" w:styleId="apple-converted-space" w:customStyle="1">
    <w:name w:val="apple-converted-space"/>
    <w:basedOn w:val="DefaultParagraphFont"/>
    <w:qFormat/>
    <w:rsid w:val="0027225d"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893114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893114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89311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Spacing">
    <w:name w:val="No Spacing"/>
    <w:link w:val="SinespaciadoCar"/>
    <w:uiPriority w:val="1"/>
    <w:qFormat/>
    <w:rsid w:val="00c82195"/>
    <w:pPr>
      <w:widowControl/>
      <w:bidi w:val="0"/>
      <w:spacing w:lineRule="auto" w:line="240" w:before="0" w:after="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s-ES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195"/>
    <w:pPr>
      <w:outlineLvl w:val="9"/>
    </w:pPr>
    <w:rPr/>
  </w:style>
  <w:style w:type="paragraph" w:styleId="TO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82195"/>
    <w:pPr>
      <w:spacing w:before="0" w:after="0"/>
      <w:ind w:start="220"/>
    </w:pPr>
    <w:rPr>
      <w:smallCaps/>
      <w:sz w:val="20"/>
      <w:szCs w:val="20"/>
    </w:rPr>
  </w:style>
  <w:style w:type="paragraph" w:styleId="Titulo1sinnumeracion" w:customStyle="1">
    <w:name w:val="Titulo 1 sin numeracion"/>
    <w:basedOn w:val="Heading1"/>
    <w:next w:val="Normal"/>
    <w:qFormat/>
    <w:rsid w:val="00c82195"/>
    <w:pPr>
      <w:keepLines w:val="false"/>
      <w:tabs>
        <w:tab w:val="clear" w:pos="708"/>
        <w:tab w:val="left" w:pos="360" w:leader="none"/>
      </w:tabs>
      <w:spacing w:lineRule="auto" w:line="240" w:before="240" w:after="60"/>
      <w:ind w:hanging="360" w:start="360"/>
    </w:pPr>
    <w:rPr>
      <w:rFonts w:ascii="Arial" w:hAnsi="Arial" w:eastAsia="Times New Roman" w:cs="Arial"/>
      <w:color w:val="auto"/>
      <w:kern w:val="2"/>
      <w:sz w:val="32"/>
      <w:szCs w:val="32"/>
    </w:rPr>
  </w:style>
  <w:style w:type="paragraph" w:styleId="ListParagraph">
    <w:name w:val="List Paragraph"/>
    <w:basedOn w:val="Normal"/>
    <w:uiPriority w:val="34"/>
    <w:qFormat/>
    <w:rsid w:val="002e3f8e"/>
    <w:pPr>
      <w:spacing w:before="0" w:after="200"/>
      <w:ind w:start="720"/>
      <w:contextualSpacing/>
    </w:pPr>
    <w:rPr/>
  </w:style>
  <w:style w:type="paragraph" w:styleId="TOC3">
    <w:name w:val="toc 3"/>
    <w:basedOn w:val="Normal"/>
    <w:next w:val="Normal"/>
    <w:autoRedefine/>
    <w:uiPriority w:val="39"/>
    <w:unhideWhenUsed/>
    <w:rsid w:val="0046300e"/>
    <w:pPr>
      <w:spacing w:before="0" w:after="0"/>
      <w:ind w:star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34f44"/>
    <w:pPr>
      <w:spacing w:before="0" w:after="0"/>
      <w:ind w:star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934f44"/>
    <w:pPr>
      <w:spacing w:before="0" w:after="0"/>
      <w:ind w:star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934f44"/>
    <w:pPr>
      <w:spacing w:before="0" w:after="0"/>
      <w:ind w:star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934f44"/>
    <w:pPr>
      <w:spacing w:before="0" w:after="0"/>
      <w:ind w:star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934f44"/>
    <w:pPr>
      <w:spacing w:before="0" w:after="0"/>
      <w:ind w:star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934f44"/>
    <w:pPr>
      <w:spacing w:before="0" w:after="0"/>
      <w:ind w:start="1760"/>
    </w:pPr>
    <w:rPr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Tablaconcuadrcula1">
    <w:name w:val="Tabla con cuadrícula1"/>
    <w:basedOn w:val="Tablanormal"/>
    <w:rsid w:val="00c82195"/>
    <w:pPr>
      <w:spacing w:after="0" w:line="240" w:lineRule="auto"/>
    </w:pPr>
    <w:rPr>
      <w:sz w:val="20"/>
      <w:szCs w:val="20"/>
      <w:lang w:eastAsia="es-A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glossaryDocument" Target="glossary/document.xml"/><Relationship Id="rId16" Type="http://schemas.openxmlformats.org/officeDocument/2006/relationships/customXml" Target="../customXml/item1.xml"/><Relationship Id="rId17" Type="http://schemas.openxmlformats.org/officeDocument/2006/relationships/customXml" Target="../customXml/item2.xml"/><Relationship Id="rId18" Type="http://schemas.openxmlformats.org/officeDocument/2006/relationships/customXml" Target="../customXml/item3.xml"/><Relationship Id="rId19" Type="http://schemas.openxmlformats.org/officeDocument/2006/relationships/customXml" Target="../customXml/item4.xml"/><Relationship Id="rId20" Type="http://schemas.openxmlformats.org/officeDocument/2006/relationships/customXml" Target="../customXml/item5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2835FC"/>
    <w:rsid w:val="002C4A2F"/>
    <w:rsid w:val="005563F6"/>
    <w:rsid w:val="0057410B"/>
    <w:rsid w:val="00595623"/>
    <w:rsid w:val="00960213"/>
    <w:rsid w:val="00A02707"/>
    <w:rsid w:val="00BD2436"/>
    <w:rsid w:val="00BF7F8C"/>
    <w:rsid w:val="00C47BA2"/>
    <w:rsid w:val="00C5036F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FE11502B9E64F5998885362EA74FC47">
    <w:name w:val="DFE11502B9E64F5998885362EA74FC47"/>
    <w:rsid w:val="00960213"/>
  </w:style>
  <w:style w:type="paragraph" w:customStyle="1" w:styleId="AF38C8F44FB54004BDE44C64A2DCBE08">
    <w:name w:val="AF38C8F44FB54004BDE44C64A2DCBE08"/>
    <w:rsid w:val="00960213"/>
  </w:style>
  <w:style w:type="paragraph" w:customStyle="1" w:styleId="0B225F2C14C34C3FB9533704A5ED8977">
    <w:name w:val="0B225F2C14C34C3FB9533704A5ED8977"/>
    <w:rsid w:val="00960213"/>
  </w:style>
  <w:style w:type="paragraph" w:customStyle="1" w:styleId="3CA3461A6FA847AE8BDC52CA0B764C54">
    <w:name w:val="3CA3461A6FA847AE8BDC52CA0B764C54"/>
    <w:rsid w:val="00960213"/>
  </w:style>
  <w:style w:type="paragraph" w:customStyle="1" w:styleId="F1ADEDF7C723439B9DF87C6D49813FD6">
    <w:name w:val="F1ADEDF7C723439B9DF87C6D49813FD6"/>
    <w:rsid w:val="00960213"/>
  </w:style>
  <w:style w:type="paragraph" w:customStyle="1" w:styleId="AB129997BEBA472086E4A9BC455A60C9">
    <w:name w:val="AB129997BEBA472086E4A9BC455A60C9"/>
    <w:rsid w:val="00960213"/>
  </w:style>
  <w:style w:type="paragraph" w:customStyle="1" w:styleId="A4C8DA49F11F43B0AF1AD12AD3B2058E">
    <w:name w:val="A4C8DA49F11F43B0AF1AD12AD3B2058E"/>
    <w:rsid w:val="00960213"/>
  </w:style>
  <w:style w:type="paragraph" w:customStyle="1" w:styleId="D32B79A870884BC2A1016A4642A581EB">
    <w:name w:val="D32B79A870884BC2A1016A4642A581EB"/>
    <w:rsid w:val="00960213"/>
  </w:style>
  <w:style w:type="paragraph" w:customStyle="1" w:styleId="85FEAE00AF3140FAB405821ED59A386C">
    <w:name w:val="85FEAE00AF3140FAB405821ED59A386C"/>
    <w:rsid w:val="00960213"/>
  </w:style>
  <w:style w:type="paragraph" w:customStyle="1" w:styleId="F2940868D4D14C98981AC78442DBE97A">
    <w:name w:val="F2940868D4D14C98981AC78442DBE97A"/>
    <w:rsid w:val="00960213"/>
  </w:style>
  <w:style w:type="paragraph" w:customStyle="1" w:styleId="8495FF4D06D848489DB33400D5948AD7">
    <w:name w:val="8495FF4D06D848489DB33400D5948AD7"/>
    <w:rsid w:val="00960213"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  <w:style w:type="paragraph" w:customStyle="1" w:styleId="B92E3D15CF1B468894F529249DF79BCD">
    <w:name w:val="B92E3D15CF1B468894F529249DF79BCD"/>
    <w:rsid w:val="00960213"/>
  </w:style>
  <w:style w:type="paragraph" w:customStyle="1" w:styleId="580BA558D012435695C3BF802ADA74BC">
    <w:name w:val="580BA558D012435695C3BF802ADA74BC"/>
    <w:rsid w:val="00960213"/>
  </w:style>
  <w:style w:type="paragraph" w:customStyle="1" w:styleId="CD652BDB885145E6A9378E9ABADC86B3">
    <w:name w:val="CD652BDB885145E6A9378E9ABADC86B3"/>
    <w:rsid w:val="00960213"/>
  </w:style>
  <w:style w:type="paragraph" w:customStyle="1" w:styleId="33043E67C1AD4DD6A6C5A345F41A6ACD">
    <w:name w:val="33043E67C1AD4DD6A6C5A345F41A6ACD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CoverPageProperties xmlns="http://schemas.microsoft.com/office/2006/coverPageProps">
  <PublishDate>2026-10-01T00:00:00</PublishDate>
  <Abstract> Especificación de Requisitos según estándar de IEEE 830.</Abstract>
  <CompanyAddress/>
  <CompanyPhone/>
  <CompanyFax/>
  <CompanyEmail/>
</CoverPage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LibreOffice/26.2.6.3$Linux_X86_64 LibreOffice_project/620$Build-3</Application>
  <AppVersion>15.0000</AppVersion>
  <Pages>34</Pages>
  <Words>12246</Words>
  <Characters>65141</Characters>
  <CharactersWithSpaces>76286</CharactersWithSpaces>
  <Paragraphs>1071</Paragraphs>
  <Company>DUOC UC - Escuela de Informática y Telecomunicaciones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2026-09-24T00:00:00Z</dcterms:created>
  <dc:creator>Daniel Muñoz</dc:creator>
  <dc:description/>
  <dc:language>en-US</dc:language>
  <cp:lastModifiedBy/>
  <dcterms:modified xsi:type="dcterms:W3CDTF">2026-10-29T00:20:37Z</dcterms:modified>
  <cp:revision>26</cp:revision>
  <dc:subject>Proyecto: Ensambla.me – Tienda Online de Tecnología</dc:subject>
  <dc:title>Especificación de Requisitos de Software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