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77777777" w:rsidR="005944D5" w:rsidRPr="00CD6736" w:rsidRDefault="005944D5" w:rsidP="005944D5">
      <w:pPr>
        <w:jc w:val="center"/>
        <w:rPr>
          <w:rFonts w:asciiTheme="majorHAnsi" w:hAnsiTheme="majorHAnsi"/>
          <w:b/>
        </w:rPr>
      </w:pPr>
    </w:p>
    <w:tbl>
      <w:tblPr>
        <w:tblStyle w:val="TableGrid"/>
        <w:tblW w:w="0" w:type="auto"/>
        <w:tblLook w:val="04A0" w:firstRow="1" w:lastRow="0" w:firstColumn="1" w:lastColumn="0" w:noHBand="0" w:noVBand="1"/>
      </w:tblPr>
      <w:tblGrid>
        <w:gridCol w:w="3515"/>
        <w:gridCol w:w="4775"/>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3DBD1FFC" w:rsidR="00092FA8" w:rsidRPr="00CD6736" w:rsidRDefault="00F65FDA" w:rsidP="002144EA">
            <w:pPr>
              <w:rPr>
                <w:rFonts w:asciiTheme="majorHAnsi" w:hAnsiTheme="majorHAnsi"/>
              </w:rPr>
            </w:pPr>
            <w:r>
              <w:rPr>
                <w:rFonts w:asciiTheme="majorHAnsi" w:hAnsiTheme="majorHAnsi"/>
              </w:rPr>
              <w:t>Fruzsina Pittner</w:t>
            </w:r>
          </w:p>
        </w:tc>
      </w:tr>
      <w:tr w:rsidR="00871C82" w:rsidRPr="00CD6736" w14:paraId="1AAA7644" w14:textId="77777777" w:rsidTr="002144EA">
        <w:tc>
          <w:tcPr>
            <w:tcW w:w="3936" w:type="dxa"/>
          </w:tcPr>
          <w:p w14:paraId="3124E75D" w14:textId="4943C475" w:rsidR="00871C82" w:rsidRPr="00CD6736" w:rsidRDefault="00871C82" w:rsidP="002144EA">
            <w:pPr>
              <w:rPr>
                <w:rFonts w:asciiTheme="majorHAnsi" w:hAnsiTheme="majorHAnsi"/>
              </w:rPr>
            </w:pPr>
            <w:r>
              <w:rPr>
                <w:rFonts w:asciiTheme="majorHAnsi" w:hAnsiTheme="majorHAnsi"/>
              </w:rPr>
              <w:t>Module/Group application</w:t>
            </w:r>
          </w:p>
        </w:tc>
        <w:tc>
          <w:tcPr>
            <w:tcW w:w="5306" w:type="dxa"/>
          </w:tcPr>
          <w:p w14:paraId="6FCCB0E0" w14:textId="67BCD801" w:rsidR="00871C82" w:rsidRPr="00897BB3" w:rsidRDefault="00871C82" w:rsidP="002144EA">
            <w:pPr>
              <w:rPr>
                <w:rFonts w:asciiTheme="majorHAnsi" w:hAnsiTheme="majorHAnsi"/>
              </w:rPr>
            </w:pPr>
            <w:r w:rsidRPr="00897BB3">
              <w:rPr>
                <w:rFonts w:asciiTheme="majorHAnsi" w:hAnsiTheme="majorHAnsi"/>
              </w:rPr>
              <w:t>No</w:t>
            </w:r>
          </w:p>
        </w:tc>
      </w:tr>
      <w:tr w:rsidR="00156C90" w:rsidRPr="00CD6736" w14:paraId="68E989E1" w14:textId="77777777" w:rsidTr="00FE4701">
        <w:tc>
          <w:tcPr>
            <w:tcW w:w="3936" w:type="dxa"/>
            <w:shd w:val="clear" w:color="auto" w:fill="auto"/>
          </w:tcPr>
          <w:p w14:paraId="7B337D02" w14:textId="596A8320" w:rsidR="00156C90" w:rsidRPr="00AF679E" w:rsidRDefault="00BF7B16" w:rsidP="002144EA">
            <w:pPr>
              <w:rPr>
                <w:rFonts w:asciiTheme="majorHAnsi" w:hAnsiTheme="majorHAnsi"/>
                <w:i/>
                <w:iCs/>
              </w:rPr>
            </w:pPr>
            <w:r w:rsidRPr="00AF679E">
              <w:rPr>
                <w:rFonts w:asciiTheme="majorHAnsi" w:hAnsiTheme="majorHAnsi"/>
                <w:i/>
                <w:iCs/>
              </w:rPr>
              <w:t>Module Code(s) (where applicable)</w:t>
            </w:r>
          </w:p>
        </w:tc>
        <w:tc>
          <w:tcPr>
            <w:tcW w:w="5306" w:type="dxa"/>
            <w:shd w:val="clear" w:color="auto" w:fill="auto"/>
          </w:tcPr>
          <w:p w14:paraId="014FAE97" w14:textId="06D2AD07" w:rsidR="00156C90" w:rsidRPr="00897BB3" w:rsidRDefault="00F65FDA" w:rsidP="002144EA">
            <w:pPr>
              <w:rPr>
                <w:rFonts w:asciiTheme="majorHAnsi" w:hAnsiTheme="majorHAnsi"/>
              </w:rPr>
            </w:pPr>
            <w:r w:rsidRPr="00897BB3">
              <w:rPr>
                <w:rFonts w:asciiTheme="majorHAnsi" w:hAnsiTheme="majorHAnsi"/>
              </w:rPr>
              <w:t>N/A</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681485F3" w14:textId="77777777" w:rsidR="00092FA8" w:rsidRDefault="00F65FDA" w:rsidP="00897BB3">
            <w:pPr>
              <w:spacing w:after="0" w:line="240" w:lineRule="auto"/>
              <w:rPr>
                <w:rFonts w:asciiTheme="majorHAnsi" w:hAnsiTheme="majorHAnsi"/>
              </w:rPr>
            </w:pPr>
            <w:r>
              <w:rPr>
                <w:rFonts w:asciiTheme="majorHAnsi" w:hAnsiTheme="majorHAnsi"/>
              </w:rPr>
              <w:t>School of Humanities</w:t>
            </w:r>
            <w:r w:rsidR="00897BB3">
              <w:rPr>
                <w:rFonts w:asciiTheme="majorHAnsi" w:hAnsiTheme="majorHAnsi"/>
              </w:rPr>
              <w:t>, Social Science and Law</w:t>
            </w:r>
          </w:p>
          <w:p w14:paraId="009BF92F" w14:textId="77777777" w:rsidR="00897BB3" w:rsidRDefault="00897BB3" w:rsidP="00897BB3">
            <w:pPr>
              <w:spacing w:after="0" w:line="240" w:lineRule="auto"/>
              <w:rPr>
                <w:rFonts w:asciiTheme="majorHAnsi" w:hAnsiTheme="majorHAnsi"/>
              </w:rPr>
            </w:pPr>
            <w:r>
              <w:rPr>
                <w:rFonts w:asciiTheme="majorHAnsi" w:hAnsiTheme="majorHAnsi"/>
              </w:rPr>
              <w:t>Division of Humanities</w:t>
            </w:r>
          </w:p>
          <w:p w14:paraId="3B885D7D" w14:textId="0A6FDDC8" w:rsidR="00897BB3" w:rsidRPr="00CD6736" w:rsidRDefault="00897BB3" w:rsidP="00897BB3">
            <w:pPr>
              <w:spacing w:after="0" w:line="240" w:lineRule="auto"/>
              <w:rPr>
                <w:rFonts w:asciiTheme="majorHAnsi" w:hAnsiTheme="majorHAnsi"/>
              </w:rPr>
            </w:pP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111FB5D8" w:rsidR="00092FA8" w:rsidRPr="00CD6736" w:rsidRDefault="00F65FDA" w:rsidP="002144EA">
            <w:pPr>
              <w:rPr>
                <w:rFonts w:asciiTheme="majorHAnsi" w:hAnsiTheme="majorHAnsi"/>
              </w:rPr>
            </w:pPr>
            <w:r>
              <w:rPr>
                <w:rFonts w:asciiTheme="majorHAnsi" w:hAnsiTheme="majorHAnsi"/>
              </w:rPr>
              <w:t>fpittner@dundee.ac.uk</w:t>
            </w:r>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374E50EE" w:rsidR="00092FA8" w:rsidRPr="008F2ABF" w:rsidRDefault="00F65FDA" w:rsidP="00F65FDA">
            <w:pPr>
              <w:rPr>
                <w:rFonts w:asciiTheme="majorHAnsi" w:hAnsiTheme="majorHAnsi" w:cstheme="majorHAnsi"/>
              </w:rPr>
            </w:pPr>
            <w:r w:rsidRPr="008F2ABF">
              <w:rPr>
                <w:rFonts w:asciiTheme="majorHAnsi" w:hAnsiTheme="majorHAnsi" w:cstheme="majorHAnsi"/>
              </w:rPr>
              <w:t>STORYMAKER WORLD—African Narratives, Otherness and Empathy in Transmedia Creative Practice</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39506DAA" w:rsidR="00092FA8" w:rsidRPr="00CD6736" w:rsidRDefault="00F65FDA" w:rsidP="002144EA">
            <w:pPr>
              <w:rPr>
                <w:rFonts w:asciiTheme="majorHAnsi" w:hAnsiTheme="majorHAnsi"/>
              </w:rPr>
            </w:pPr>
            <w:r>
              <w:rPr>
                <w:rFonts w:asciiTheme="majorHAnsi" w:hAnsiTheme="majorHAnsi"/>
              </w:rPr>
              <w:t>N/A</w:t>
            </w: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193CD782" w14:textId="5EC4E373" w:rsidR="00897BB3" w:rsidRDefault="00897BB3" w:rsidP="002144EA">
            <w:pPr>
              <w:rPr>
                <w:rFonts w:asciiTheme="majorHAnsi" w:hAnsiTheme="majorHAnsi"/>
              </w:rPr>
            </w:pPr>
            <w:r>
              <w:rPr>
                <w:rFonts w:asciiTheme="majorHAnsi" w:hAnsiTheme="majorHAnsi"/>
              </w:rPr>
              <w:t>PhD start date – 01/10/17</w:t>
            </w:r>
          </w:p>
          <w:p w14:paraId="57B15269" w14:textId="4E245F95" w:rsidR="00092FA8" w:rsidRPr="00CD6736" w:rsidRDefault="00897BB3" w:rsidP="002144EA">
            <w:pPr>
              <w:rPr>
                <w:rFonts w:asciiTheme="majorHAnsi" w:hAnsiTheme="majorHAnsi"/>
              </w:rPr>
            </w:pPr>
            <w:r>
              <w:rPr>
                <w:rFonts w:asciiTheme="majorHAnsi" w:hAnsiTheme="majorHAnsi"/>
              </w:rPr>
              <w:t xml:space="preserve">Current Survey end date - </w:t>
            </w:r>
            <w:r w:rsidR="00604C5D">
              <w:rPr>
                <w:rFonts w:asciiTheme="majorHAnsi" w:hAnsiTheme="majorHAnsi"/>
              </w:rPr>
              <w:t>29</w:t>
            </w:r>
            <w:r w:rsidR="00F65FDA">
              <w:rPr>
                <w:rFonts w:asciiTheme="majorHAnsi" w:hAnsiTheme="majorHAnsi"/>
              </w:rPr>
              <w:t>/0</w:t>
            </w:r>
            <w:r w:rsidR="00604C5D">
              <w:rPr>
                <w:rFonts w:asciiTheme="majorHAnsi" w:hAnsiTheme="majorHAnsi"/>
              </w:rPr>
              <w:t>8</w:t>
            </w:r>
            <w:r w:rsidR="00F65FDA">
              <w:rPr>
                <w:rFonts w:asciiTheme="majorHAnsi" w:hAnsiTheme="majorHAnsi"/>
              </w:rPr>
              <w:t>/2022</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070458F5" w14:textId="2097C9F0" w:rsidR="00897BB3" w:rsidRDefault="00897BB3" w:rsidP="002144EA">
            <w:pPr>
              <w:rPr>
                <w:rFonts w:asciiTheme="majorHAnsi" w:hAnsiTheme="majorHAnsi"/>
              </w:rPr>
            </w:pPr>
            <w:r>
              <w:rPr>
                <w:rFonts w:asciiTheme="majorHAnsi" w:hAnsiTheme="majorHAnsi"/>
              </w:rPr>
              <w:t>PhD end date – 30/11/22</w:t>
            </w:r>
          </w:p>
          <w:p w14:paraId="2E653494" w14:textId="17A744BA" w:rsidR="00092FA8" w:rsidRPr="00CD6736" w:rsidRDefault="00897BB3" w:rsidP="002144EA">
            <w:pPr>
              <w:rPr>
                <w:rFonts w:asciiTheme="majorHAnsi" w:hAnsiTheme="majorHAnsi"/>
              </w:rPr>
            </w:pPr>
            <w:r>
              <w:rPr>
                <w:rFonts w:asciiTheme="majorHAnsi" w:hAnsiTheme="majorHAnsi"/>
              </w:rPr>
              <w:t xml:space="preserve">Current Survey end date - </w:t>
            </w:r>
            <w:r w:rsidR="00F65FDA">
              <w:rPr>
                <w:rFonts w:asciiTheme="majorHAnsi" w:hAnsiTheme="majorHAnsi"/>
              </w:rPr>
              <w:t>31/12/2022</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5E45CF5C" w:rsidR="00092FA8" w:rsidRPr="00CD6736" w:rsidRDefault="00F65FDA" w:rsidP="002144EA">
            <w:pPr>
              <w:rPr>
                <w:rFonts w:asciiTheme="majorHAnsi" w:hAnsiTheme="majorHAnsi"/>
              </w:rPr>
            </w:pPr>
            <w:r>
              <w:rPr>
                <w:rFonts w:asciiTheme="majorHAnsi" w:hAnsiTheme="majorHAnsi"/>
              </w:rPr>
              <w:t>AHRC/SGSAH</w:t>
            </w: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3730F20F" w:rsidR="00385C1E" w:rsidRPr="00CD6736" w:rsidRDefault="00F65FDA" w:rsidP="002144EA">
            <w:pPr>
              <w:rPr>
                <w:rFonts w:asciiTheme="majorHAnsi" w:hAnsiTheme="majorHAnsi"/>
              </w:rPr>
            </w:pPr>
            <w:r>
              <w:rPr>
                <w:rFonts w:asciiTheme="majorHAnsi" w:hAnsiTheme="majorHAnsi"/>
              </w:rPr>
              <w:t>1</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63A87B52" w:rsidR="00092FA8" w:rsidRPr="00CD6736" w:rsidRDefault="00F65FDA" w:rsidP="002144EA">
            <w:pPr>
              <w:rPr>
                <w:rFonts w:asciiTheme="majorHAnsi" w:hAnsiTheme="majorHAnsi"/>
              </w:rPr>
            </w:pPr>
            <w:r>
              <w:rPr>
                <w:rFonts w:asciiTheme="majorHAnsi" w:hAnsiTheme="majorHAnsi"/>
              </w:rPr>
              <w:t>RPG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05DAFCEB" w:rsidR="00DF2BAF" w:rsidRPr="00CD6736" w:rsidRDefault="00F65FDA" w:rsidP="002144EA">
            <w:pPr>
              <w:rPr>
                <w:rFonts w:asciiTheme="majorHAnsi" w:hAnsiTheme="majorHAnsi"/>
              </w:rPr>
            </w:pPr>
            <w:r>
              <w:rPr>
                <w:rFonts w:asciiTheme="majorHAnsi" w:hAnsiTheme="majorHAnsi"/>
              </w:rPr>
              <w:t>Professor Christopher Murray</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7A2AB86D" w:rsidR="00444FA9" w:rsidRDefault="00444FA9" w:rsidP="00444FA9">
      <w:pPr>
        <w:rPr>
          <w:rFonts w:ascii="Calibri" w:hAnsi="Calibri"/>
          <w:b/>
          <w:sz w:val="28"/>
          <w:szCs w:val="28"/>
        </w:rPr>
      </w:pPr>
    </w:p>
    <w:p w14:paraId="53F22F4C" w14:textId="77777777" w:rsidR="00897BB3" w:rsidRPr="00444FA9" w:rsidRDefault="00897BB3"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lastRenderedPageBreak/>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4F41F53E" w14:textId="3FB057E1" w:rsidR="000771F5" w:rsidRPr="00F00FF2" w:rsidRDefault="00F65FDA" w:rsidP="00AE55C8">
            <w:pPr>
              <w:jc w:val="both"/>
              <w:rPr>
                <w:rFonts w:asciiTheme="majorHAnsi" w:hAnsiTheme="majorHAnsi"/>
              </w:rPr>
            </w:pPr>
            <w:r w:rsidRPr="00F65FDA">
              <w:rPr>
                <w:rFonts w:asciiTheme="majorHAnsi" w:hAnsiTheme="majorHAnsi"/>
              </w:rPr>
              <w:t xml:space="preserve">This research project is a scholarly and practice-based examination of the depictions of Africa and othernesses, with an emphasis on literature, film, comics and interactive media. Parallel to a scholarship-based analysis of colonial and postcolonial approaches to Africa in various media, this project investigates the role of creative practice and the creative industries in combating entrenched beliefs and fostering understanding and empathy, particularly through a consideration of interactivity. The thesis is accompanied and informed by a multifaceted creative project, produced through an iterative design process, the outcomes of which </w:t>
            </w:r>
            <w:r w:rsidR="00AE55C8">
              <w:rPr>
                <w:rFonts w:asciiTheme="majorHAnsi" w:hAnsiTheme="majorHAnsi"/>
              </w:rPr>
              <w:t xml:space="preserve">are presented in the form of an </w:t>
            </w:r>
            <w:r w:rsidR="00AE55C8">
              <w:rPr>
                <w:rFonts w:asciiTheme="majorHAnsi" w:hAnsiTheme="majorHAnsi"/>
                <w:b/>
                <w:bCs/>
              </w:rPr>
              <w:t xml:space="preserve">online exhibition </w:t>
            </w:r>
            <w:r w:rsidR="00AE55C8">
              <w:rPr>
                <w:rFonts w:asciiTheme="majorHAnsi" w:hAnsiTheme="majorHAnsi"/>
              </w:rPr>
              <w:t>that</w:t>
            </w:r>
            <w:r w:rsidRPr="00F65FDA">
              <w:rPr>
                <w:rFonts w:asciiTheme="majorHAnsi" w:hAnsiTheme="majorHAnsi"/>
              </w:rPr>
              <w:t xml:space="preserve"> foreground</w:t>
            </w:r>
            <w:r w:rsidR="00AE55C8">
              <w:rPr>
                <w:rFonts w:asciiTheme="majorHAnsi" w:hAnsiTheme="majorHAnsi"/>
              </w:rPr>
              <w:t>s</w:t>
            </w:r>
            <w:r w:rsidRPr="00F65FDA">
              <w:rPr>
                <w:rFonts w:asciiTheme="majorHAnsi" w:hAnsiTheme="majorHAnsi"/>
              </w:rPr>
              <w:t xml:space="preserve"> creative practice as a tool that enables nuanced understanding through the act of making and interactive play.</w:t>
            </w:r>
            <w:r w:rsidR="000771F5">
              <w:rPr>
                <w:rFonts w:asciiTheme="majorHAnsi" w:hAnsiTheme="majorHAnsi"/>
              </w:rPr>
              <w:t xml:space="preserve"> These creative works are</w:t>
            </w:r>
            <w:r w:rsidR="001F1ECE">
              <w:rPr>
                <w:rFonts w:asciiTheme="majorHAnsi" w:hAnsiTheme="majorHAnsi"/>
              </w:rPr>
              <w:t xml:space="preserve"> multimedia and create an overarching narrative that encompasses a changing, speculative image of Africa. The exhibition itself </w:t>
            </w:r>
            <w:r w:rsidR="00F00FF2">
              <w:rPr>
                <w:rFonts w:asciiTheme="majorHAnsi" w:hAnsiTheme="majorHAnsi"/>
              </w:rPr>
              <w:t xml:space="preserve">will be </w:t>
            </w:r>
            <w:r w:rsidR="00F00FF2">
              <w:rPr>
                <w:rFonts w:asciiTheme="majorHAnsi" w:hAnsiTheme="majorHAnsi"/>
                <w:b/>
                <w:bCs/>
              </w:rPr>
              <w:t>tested</w:t>
            </w:r>
            <w:r w:rsidR="00F00FF2">
              <w:rPr>
                <w:rFonts w:asciiTheme="majorHAnsi" w:hAnsiTheme="majorHAnsi"/>
              </w:rPr>
              <w:t xml:space="preserve"> for functionality, narrative cohesion, clarity of themes and appropriate sensitivity towards the topic. </w:t>
            </w:r>
            <w:r w:rsidR="00AB4F00">
              <w:rPr>
                <w:rFonts w:asciiTheme="majorHAnsi" w:hAnsiTheme="majorHAnsi"/>
              </w:rPr>
              <w:t xml:space="preserve">The survey which this ethics application seeks permission to conduct is a vital part of this testing. </w:t>
            </w:r>
            <w:r w:rsidR="00C3631F">
              <w:rPr>
                <w:rFonts w:asciiTheme="majorHAnsi" w:hAnsiTheme="majorHAnsi"/>
              </w:rPr>
              <w:t xml:space="preserve">Participants range from </w:t>
            </w:r>
            <w:r w:rsidR="00F00FF2">
              <w:rPr>
                <w:rFonts w:asciiTheme="majorHAnsi" w:hAnsiTheme="majorHAnsi"/>
                <w:b/>
                <w:bCs/>
              </w:rPr>
              <w:t>industry partners</w:t>
            </w:r>
            <w:r w:rsidR="00F00FF2">
              <w:rPr>
                <w:rFonts w:asciiTheme="majorHAnsi" w:hAnsiTheme="majorHAnsi"/>
              </w:rPr>
              <w:t xml:space="preserve"> to select </w:t>
            </w:r>
            <w:r w:rsidR="00F00FF2">
              <w:rPr>
                <w:rFonts w:asciiTheme="majorHAnsi" w:hAnsiTheme="majorHAnsi"/>
                <w:b/>
                <w:bCs/>
              </w:rPr>
              <w:t>members of the public.</w:t>
            </w:r>
            <w:r w:rsidR="00F00FF2">
              <w:rPr>
                <w:rFonts w:asciiTheme="majorHAnsi" w:hAnsiTheme="majorHAnsi"/>
              </w:rPr>
              <w:t xml:space="preserve"> </w:t>
            </w:r>
          </w:p>
          <w:p w14:paraId="2E15F3A5" w14:textId="47CC0BF3" w:rsidR="000771F5" w:rsidRDefault="00F65FDA" w:rsidP="00AE55C8">
            <w:pPr>
              <w:jc w:val="both"/>
              <w:rPr>
                <w:rFonts w:asciiTheme="majorHAnsi" w:hAnsiTheme="majorHAnsi"/>
              </w:rPr>
            </w:pPr>
            <w:r w:rsidRPr="00F65FDA">
              <w:rPr>
                <w:rFonts w:asciiTheme="majorHAnsi" w:hAnsiTheme="majorHAnsi"/>
              </w:rPr>
              <w:t xml:space="preserve">Together, the </w:t>
            </w:r>
            <w:r w:rsidR="00AB4F00">
              <w:rPr>
                <w:rFonts w:asciiTheme="majorHAnsi" w:hAnsiTheme="majorHAnsi"/>
              </w:rPr>
              <w:t xml:space="preserve">critical, creative and practical </w:t>
            </w:r>
            <w:r w:rsidRPr="00F65FDA">
              <w:rPr>
                <w:rFonts w:asciiTheme="majorHAnsi" w:hAnsiTheme="majorHAnsi"/>
              </w:rPr>
              <w:t xml:space="preserve">research encompasses </w:t>
            </w:r>
            <w:r w:rsidR="00AB4F00">
              <w:rPr>
                <w:rFonts w:asciiTheme="majorHAnsi" w:hAnsiTheme="majorHAnsi"/>
              </w:rPr>
              <w:t>the representation of the</w:t>
            </w:r>
            <w:r w:rsidRPr="00F65FDA">
              <w:rPr>
                <w:rFonts w:asciiTheme="majorHAnsi" w:hAnsiTheme="majorHAnsi"/>
              </w:rPr>
              <w:t xml:space="preserve"> changing image of Africa</w:t>
            </w:r>
            <w:r w:rsidR="00AB4F00">
              <w:rPr>
                <w:rFonts w:asciiTheme="majorHAnsi" w:hAnsiTheme="majorHAnsi"/>
              </w:rPr>
              <w:t xml:space="preserve"> in multimedia </w:t>
            </w:r>
            <w:r w:rsidRPr="00F65FDA">
              <w:rPr>
                <w:rFonts w:asciiTheme="majorHAnsi" w:hAnsiTheme="majorHAnsi"/>
              </w:rPr>
              <w:t xml:space="preserve">narratives and </w:t>
            </w:r>
            <w:r w:rsidR="00AB4F00">
              <w:rPr>
                <w:rFonts w:asciiTheme="majorHAnsi" w:hAnsiTheme="majorHAnsi"/>
              </w:rPr>
              <w:t xml:space="preserve">addresses </w:t>
            </w:r>
            <w:r w:rsidRPr="00F65FDA">
              <w:rPr>
                <w:rFonts w:asciiTheme="majorHAnsi" w:hAnsiTheme="majorHAnsi"/>
              </w:rPr>
              <w:t>the constructors</w:t>
            </w:r>
            <w:r w:rsidR="00AB4F00">
              <w:rPr>
                <w:rFonts w:asciiTheme="majorHAnsi" w:hAnsiTheme="majorHAnsi"/>
              </w:rPr>
              <w:t>,</w:t>
            </w:r>
            <w:r w:rsidRPr="00F65FDA">
              <w:rPr>
                <w:rFonts w:asciiTheme="majorHAnsi" w:hAnsiTheme="majorHAnsi"/>
              </w:rPr>
              <w:t xml:space="preserve"> makers </w:t>
            </w:r>
            <w:r w:rsidR="00AB4F00">
              <w:rPr>
                <w:rFonts w:asciiTheme="majorHAnsi" w:hAnsiTheme="majorHAnsi"/>
              </w:rPr>
              <w:t xml:space="preserve">and consumers </w:t>
            </w:r>
            <w:r w:rsidRPr="00F65FDA">
              <w:rPr>
                <w:rFonts w:asciiTheme="majorHAnsi" w:hAnsiTheme="majorHAnsi"/>
              </w:rPr>
              <w:t>of these narratives</w:t>
            </w:r>
            <w:r w:rsidR="00AB4F00">
              <w:rPr>
                <w:rFonts w:asciiTheme="majorHAnsi" w:hAnsiTheme="majorHAnsi"/>
              </w:rPr>
              <w:t>. It</w:t>
            </w:r>
            <w:r w:rsidR="00604C5D">
              <w:rPr>
                <w:rFonts w:asciiTheme="majorHAnsi" w:hAnsiTheme="majorHAnsi"/>
              </w:rPr>
              <w:t xml:space="preserve"> </w:t>
            </w:r>
            <w:r w:rsidRPr="00F65FDA">
              <w:rPr>
                <w:rFonts w:asciiTheme="majorHAnsi" w:hAnsiTheme="majorHAnsi"/>
              </w:rPr>
              <w:t>extends to individual and communal practice in which the audience becomes player, maker and actor in stories designed to make a difference</w:t>
            </w:r>
            <w:r w:rsidR="00AE55C8">
              <w:rPr>
                <w:rFonts w:asciiTheme="majorHAnsi" w:hAnsiTheme="majorHAnsi"/>
              </w:rPr>
              <w:t>.</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38EC2912" w14:textId="3158069C" w:rsidR="00AE55C8" w:rsidRDefault="00604C5D" w:rsidP="00AE55C8">
            <w:pPr>
              <w:rPr>
                <w:rFonts w:asciiTheme="majorHAnsi" w:hAnsiTheme="majorHAnsi"/>
              </w:rPr>
            </w:pPr>
            <w:r>
              <w:rPr>
                <w:rFonts w:asciiTheme="majorHAnsi" w:hAnsiTheme="majorHAnsi"/>
              </w:rPr>
              <w:t xml:space="preserve">The aims and objectives of this project focus </w:t>
            </w:r>
            <w:r w:rsidR="00AE55C8" w:rsidRPr="00AE55C8">
              <w:rPr>
                <w:rFonts w:asciiTheme="majorHAnsi" w:hAnsiTheme="majorHAnsi"/>
              </w:rPr>
              <w:t xml:space="preserve">on how to proactively combat and counteract the effects of imperial thinking that permeates everyday life to this day. </w:t>
            </w:r>
            <w:r>
              <w:rPr>
                <w:rFonts w:asciiTheme="majorHAnsi" w:hAnsiTheme="majorHAnsi"/>
              </w:rPr>
              <w:t>T</w:t>
            </w:r>
            <w:r w:rsidR="00AE55C8" w:rsidRPr="00AE55C8">
              <w:rPr>
                <w:rFonts w:asciiTheme="majorHAnsi" w:hAnsiTheme="majorHAnsi"/>
              </w:rPr>
              <w:t xml:space="preserve">hrough understanding theory, </w:t>
            </w:r>
            <w:r w:rsidR="00AE55C8">
              <w:rPr>
                <w:rFonts w:asciiTheme="majorHAnsi" w:hAnsiTheme="majorHAnsi"/>
              </w:rPr>
              <w:t>the research</w:t>
            </w:r>
            <w:r w:rsidR="00AE55C8" w:rsidRPr="00AE55C8">
              <w:rPr>
                <w:rFonts w:asciiTheme="majorHAnsi" w:hAnsiTheme="majorHAnsi"/>
              </w:rPr>
              <w:t xml:space="preserve"> ha</w:t>
            </w:r>
            <w:r w:rsidR="00AE55C8">
              <w:rPr>
                <w:rFonts w:asciiTheme="majorHAnsi" w:hAnsiTheme="majorHAnsi"/>
              </w:rPr>
              <w:t>s</w:t>
            </w:r>
            <w:r w:rsidR="00AE55C8" w:rsidRPr="00AE55C8">
              <w:rPr>
                <w:rFonts w:asciiTheme="majorHAnsi" w:hAnsiTheme="majorHAnsi"/>
              </w:rPr>
              <w:t xml:space="preserve"> shifted</w:t>
            </w:r>
            <w:r w:rsidR="00AE55C8">
              <w:rPr>
                <w:rFonts w:asciiTheme="majorHAnsi" w:hAnsiTheme="majorHAnsi"/>
              </w:rPr>
              <w:t xml:space="preserve"> focus</w:t>
            </w:r>
            <w:r w:rsidR="00AE55C8" w:rsidRPr="00AE55C8">
              <w:rPr>
                <w:rFonts w:asciiTheme="majorHAnsi" w:hAnsiTheme="majorHAnsi"/>
              </w:rPr>
              <w:t xml:space="preserve"> towards practice as a solution. The research question and, through it, the final aims and objectives of the project, have formed and reformed accordingly</w:t>
            </w:r>
            <w:r w:rsidR="00C3631F">
              <w:rPr>
                <w:rFonts w:asciiTheme="majorHAnsi" w:hAnsiTheme="majorHAnsi"/>
              </w:rPr>
              <w:t xml:space="preserve">: </w:t>
            </w:r>
            <w:r w:rsidR="00AE55C8" w:rsidRPr="00AE55C8">
              <w:rPr>
                <w:rFonts w:asciiTheme="majorHAnsi" w:hAnsiTheme="majorHAnsi"/>
              </w:rPr>
              <w:t xml:space="preserve"> </w:t>
            </w:r>
            <w:r w:rsidR="00AE55C8">
              <w:rPr>
                <w:rFonts w:asciiTheme="majorHAnsi" w:hAnsiTheme="majorHAnsi"/>
              </w:rPr>
              <w:t xml:space="preserve"> </w:t>
            </w:r>
          </w:p>
          <w:tbl>
            <w:tblPr>
              <w:tblStyle w:val="TableGrid"/>
              <w:tblW w:w="0" w:type="auto"/>
              <w:tblLook w:val="04A0" w:firstRow="1" w:lastRow="0" w:firstColumn="1" w:lastColumn="0" w:noHBand="0" w:noVBand="1"/>
            </w:tblPr>
            <w:tblGrid>
              <w:gridCol w:w="4032"/>
              <w:gridCol w:w="4032"/>
            </w:tblGrid>
            <w:tr w:rsidR="00AE55C8" w14:paraId="61DDA394" w14:textId="77777777" w:rsidTr="00AE55C8">
              <w:tc>
                <w:tcPr>
                  <w:tcW w:w="4032" w:type="dxa"/>
                </w:tcPr>
                <w:p w14:paraId="7556489B" w14:textId="736B431B" w:rsidR="00AE55C8" w:rsidRPr="00AE55C8" w:rsidRDefault="00AE55C8" w:rsidP="00AE55C8">
                  <w:pPr>
                    <w:rPr>
                      <w:rFonts w:asciiTheme="majorHAnsi" w:hAnsiTheme="majorHAnsi"/>
                      <w:b/>
                      <w:bCs/>
                    </w:rPr>
                  </w:pPr>
                  <w:r w:rsidRPr="00AE55C8">
                    <w:rPr>
                      <w:rFonts w:asciiTheme="majorHAnsi" w:hAnsiTheme="majorHAnsi"/>
                      <w:b/>
                      <w:bCs/>
                    </w:rPr>
                    <w:t>AIM</w:t>
                  </w:r>
                </w:p>
              </w:tc>
              <w:tc>
                <w:tcPr>
                  <w:tcW w:w="4032" w:type="dxa"/>
                </w:tcPr>
                <w:p w14:paraId="0A2C55A0" w14:textId="74FA5765" w:rsidR="00AE55C8" w:rsidRPr="00AE55C8" w:rsidRDefault="00AE55C8" w:rsidP="00AE55C8">
                  <w:pPr>
                    <w:rPr>
                      <w:rFonts w:asciiTheme="majorHAnsi" w:hAnsiTheme="majorHAnsi"/>
                      <w:b/>
                      <w:bCs/>
                    </w:rPr>
                  </w:pPr>
                  <w:r w:rsidRPr="00AE55C8">
                    <w:rPr>
                      <w:rFonts w:asciiTheme="majorHAnsi" w:hAnsiTheme="majorHAnsi"/>
                      <w:b/>
                      <w:bCs/>
                    </w:rPr>
                    <w:t>OBJECTIVE</w:t>
                  </w:r>
                </w:p>
              </w:tc>
            </w:tr>
            <w:tr w:rsidR="00AE55C8" w14:paraId="334F0D62" w14:textId="77777777" w:rsidTr="00AE55C8">
              <w:tc>
                <w:tcPr>
                  <w:tcW w:w="4032" w:type="dxa"/>
                </w:tcPr>
                <w:p w14:paraId="0ED95769" w14:textId="569CEFDF" w:rsidR="00AE55C8" w:rsidRPr="00AE55C8" w:rsidRDefault="00AE55C8" w:rsidP="00AE55C8">
                  <w:pPr>
                    <w:rPr>
                      <w:rFonts w:asciiTheme="majorHAnsi" w:hAnsiTheme="majorHAnsi"/>
                      <w:b/>
                      <w:bCs/>
                    </w:rPr>
                  </w:pPr>
                  <w:r w:rsidRPr="00604C5D">
                    <w:rPr>
                      <w:rFonts w:asciiTheme="majorHAnsi" w:hAnsiTheme="majorHAnsi"/>
                      <w:b/>
                      <w:bCs/>
                    </w:rPr>
                    <w:t>Understanding</w:t>
                  </w:r>
                  <w:r w:rsidRPr="00AE55C8">
                    <w:rPr>
                      <w:rFonts w:asciiTheme="majorHAnsi" w:hAnsiTheme="majorHAnsi"/>
                    </w:rPr>
                    <w:t xml:space="preserve"> the landscape of the ‘image of Africa’ and narratives that contribute to this image as well as narratives diversifying it.</w:t>
                  </w:r>
                </w:p>
              </w:tc>
              <w:tc>
                <w:tcPr>
                  <w:tcW w:w="4032" w:type="dxa"/>
                </w:tcPr>
                <w:p w14:paraId="42FB072C" w14:textId="06C615BE" w:rsidR="00AE55C8" w:rsidRDefault="00AE55C8" w:rsidP="00AE55C8">
                  <w:pPr>
                    <w:rPr>
                      <w:rFonts w:asciiTheme="majorHAnsi" w:hAnsiTheme="majorHAnsi"/>
                    </w:rPr>
                  </w:pPr>
                  <w:r w:rsidRPr="00AE55C8">
                    <w:rPr>
                      <w:rFonts w:asciiTheme="majorHAnsi" w:hAnsiTheme="majorHAnsi"/>
                    </w:rPr>
                    <w:t xml:space="preserve">Defining the problem space through a </w:t>
                  </w:r>
                  <w:r w:rsidRPr="00604C5D">
                    <w:rPr>
                      <w:rFonts w:asciiTheme="majorHAnsi" w:hAnsiTheme="majorHAnsi"/>
                      <w:b/>
                      <w:bCs/>
                    </w:rPr>
                    <w:t>contextual review</w:t>
                  </w:r>
                  <w:r w:rsidRPr="00AE55C8">
                    <w:rPr>
                      <w:rFonts w:asciiTheme="majorHAnsi" w:hAnsiTheme="majorHAnsi"/>
                    </w:rPr>
                    <w:t xml:space="preserve"> of both scholarly and literary material (including (speculative) fiction, film, and video games).</w:t>
                  </w:r>
                </w:p>
              </w:tc>
            </w:tr>
            <w:tr w:rsidR="00AE55C8" w14:paraId="2B0740AF" w14:textId="77777777" w:rsidTr="00AE55C8">
              <w:tc>
                <w:tcPr>
                  <w:tcW w:w="4032" w:type="dxa"/>
                </w:tcPr>
                <w:p w14:paraId="7AC13FBD" w14:textId="7DF6FAE4" w:rsidR="00AE55C8" w:rsidRDefault="00AE55C8" w:rsidP="00AE55C8">
                  <w:pPr>
                    <w:rPr>
                      <w:rFonts w:asciiTheme="majorHAnsi" w:hAnsiTheme="majorHAnsi"/>
                    </w:rPr>
                  </w:pPr>
                  <w:r w:rsidRPr="00AE55C8">
                    <w:rPr>
                      <w:rFonts w:asciiTheme="majorHAnsi" w:hAnsiTheme="majorHAnsi"/>
                    </w:rPr>
                    <w:lastRenderedPageBreak/>
                    <w:t>Exploring different avenues of practice in which these narratives manifest, how narrative legacies carry on over time.</w:t>
                  </w:r>
                </w:p>
              </w:tc>
              <w:tc>
                <w:tcPr>
                  <w:tcW w:w="4032" w:type="dxa"/>
                </w:tcPr>
                <w:p w14:paraId="62B73F60" w14:textId="4BD677C0" w:rsidR="00AE55C8" w:rsidRDefault="00AE55C8" w:rsidP="00AE55C8">
                  <w:pPr>
                    <w:rPr>
                      <w:rFonts w:asciiTheme="majorHAnsi" w:hAnsiTheme="majorHAnsi"/>
                    </w:rPr>
                  </w:pPr>
                  <w:r w:rsidRPr="00AE55C8">
                    <w:rPr>
                      <w:rFonts w:asciiTheme="majorHAnsi" w:hAnsiTheme="majorHAnsi"/>
                    </w:rPr>
                    <w:t>Reviewing different practices including adaptation techniques and transmedia storytelling, mapping narratives that carry from the adapted material.</w:t>
                  </w:r>
                </w:p>
              </w:tc>
            </w:tr>
            <w:tr w:rsidR="00AE55C8" w14:paraId="384FA48C" w14:textId="77777777" w:rsidTr="00AE55C8">
              <w:tc>
                <w:tcPr>
                  <w:tcW w:w="4032" w:type="dxa"/>
                </w:tcPr>
                <w:p w14:paraId="57CE47D0" w14:textId="236D2645" w:rsidR="00AE55C8" w:rsidRPr="00AE55C8" w:rsidRDefault="00AE55C8" w:rsidP="00AE55C8">
                  <w:pPr>
                    <w:rPr>
                      <w:rFonts w:asciiTheme="majorHAnsi" w:hAnsiTheme="majorHAnsi"/>
                    </w:rPr>
                  </w:pPr>
                  <w:r w:rsidRPr="00AE55C8">
                    <w:rPr>
                      <w:rFonts w:asciiTheme="majorHAnsi" w:hAnsiTheme="majorHAnsi"/>
                    </w:rPr>
                    <w:t>Experimenting with different practical narrative-making methods to test feasibility, accessibility and effect on maker-response.</w:t>
                  </w:r>
                </w:p>
              </w:tc>
              <w:tc>
                <w:tcPr>
                  <w:tcW w:w="4032" w:type="dxa"/>
                </w:tcPr>
                <w:p w14:paraId="1FA5D7AC" w14:textId="5A9D75BA" w:rsidR="00AE55C8" w:rsidRPr="00AE55C8" w:rsidRDefault="00AE55C8" w:rsidP="00AE55C8">
                  <w:pPr>
                    <w:rPr>
                      <w:rFonts w:asciiTheme="majorHAnsi" w:hAnsiTheme="majorHAnsi"/>
                    </w:rPr>
                  </w:pPr>
                  <w:r w:rsidRPr="00AE55C8">
                    <w:rPr>
                      <w:rFonts w:asciiTheme="majorHAnsi" w:hAnsiTheme="majorHAnsi"/>
                    </w:rPr>
                    <w:t>Making a portfolio of creative artifacts that reflect the contextual review and practical explorations’ findings, and displaying these for an (online) audience.</w:t>
                  </w:r>
                </w:p>
              </w:tc>
            </w:tr>
            <w:tr w:rsidR="00AE55C8" w14:paraId="18DE7E95" w14:textId="77777777" w:rsidTr="00AE55C8">
              <w:tc>
                <w:tcPr>
                  <w:tcW w:w="4032" w:type="dxa"/>
                </w:tcPr>
                <w:p w14:paraId="62685823" w14:textId="4E7C1984" w:rsidR="00AE55C8" w:rsidRPr="00AE55C8" w:rsidRDefault="00AE55C8" w:rsidP="00AE55C8">
                  <w:pPr>
                    <w:rPr>
                      <w:rFonts w:asciiTheme="majorHAnsi" w:hAnsiTheme="majorHAnsi"/>
                    </w:rPr>
                  </w:pPr>
                  <w:r>
                    <w:rPr>
                      <w:rFonts w:asciiTheme="majorHAnsi" w:hAnsiTheme="majorHAnsi"/>
                    </w:rPr>
                    <w:t>Understanding the place of transmedia creative practice in the creative industries, and</w:t>
                  </w:r>
                  <w:r w:rsidR="000771F5">
                    <w:rPr>
                      <w:rFonts w:asciiTheme="majorHAnsi" w:hAnsiTheme="majorHAnsi"/>
                    </w:rPr>
                    <w:t>—conversely—</w:t>
                  </w:r>
                  <w:r>
                    <w:rPr>
                      <w:rFonts w:asciiTheme="majorHAnsi" w:hAnsiTheme="majorHAnsi"/>
                    </w:rPr>
                    <w:t>understanding the creative industries’ potential role in bringing creative practice into the academic field.</w:t>
                  </w:r>
                </w:p>
              </w:tc>
              <w:tc>
                <w:tcPr>
                  <w:tcW w:w="4032" w:type="dxa"/>
                </w:tcPr>
                <w:p w14:paraId="580A2947" w14:textId="0118975C" w:rsidR="00AE55C8" w:rsidRPr="00AE55C8" w:rsidRDefault="00AE55C8" w:rsidP="00AE55C8">
                  <w:pPr>
                    <w:rPr>
                      <w:rFonts w:asciiTheme="majorHAnsi" w:hAnsiTheme="majorHAnsi"/>
                    </w:rPr>
                  </w:pPr>
                  <w:r>
                    <w:rPr>
                      <w:rFonts w:asciiTheme="majorHAnsi" w:hAnsiTheme="majorHAnsi"/>
                    </w:rPr>
                    <w:t>Gathering qualitative feedback from the project’s industry partner</w:t>
                  </w:r>
                  <w:r w:rsidR="000771F5">
                    <w:rPr>
                      <w:rFonts w:asciiTheme="majorHAnsi" w:hAnsiTheme="majorHAnsi"/>
                    </w:rPr>
                    <w:t>(s)</w:t>
                  </w:r>
                  <w:r w:rsidR="008F2ABF">
                    <w:rPr>
                      <w:rFonts w:asciiTheme="majorHAnsi" w:hAnsiTheme="majorHAnsi"/>
                    </w:rPr>
                    <w:t xml:space="preserve"> to support and inform findings</w:t>
                  </w:r>
                  <w:r w:rsidR="000771F5">
                    <w:rPr>
                      <w:rFonts w:asciiTheme="majorHAnsi" w:hAnsiTheme="majorHAnsi"/>
                    </w:rPr>
                    <w:t>.</w:t>
                  </w:r>
                </w:p>
              </w:tc>
            </w:tr>
            <w:tr w:rsidR="00AE55C8" w14:paraId="414A9465" w14:textId="77777777" w:rsidTr="00AE55C8">
              <w:tc>
                <w:tcPr>
                  <w:tcW w:w="4032" w:type="dxa"/>
                </w:tcPr>
                <w:p w14:paraId="2AAAE249" w14:textId="3568AB35" w:rsidR="00AE55C8" w:rsidRPr="00AE55C8" w:rsidRDefault="00C3631F" w:rsidP="00AE55C8">
                  <w:pPr>
                    <w:rPr>
                      <w:rFonts w:asciiTheme="majorHAnsi" w:hAnsiTheme="majorHAnsi"/>
                    </w:rPr>
                  </w:pPr>
                  <w:r>
                    <w:rPr>
                      <w:rFonts w:asciiTheme="majorHAnsi" w:hAnsiTheme="majorHAnsi"/>
                    </w:rPr>
                    <w:t>Understanding the place of transmedia storytelling in fostering empathy in audiences towards complex topics.</w:t>
                  </w:r>
                </w:p>
              </w:tc>
              <w:tc>
                <w:tcPr>
                  <w:tcW w:w="4032" w:type="dxa"/>
                </w:tcPr>
                <w:p w14:paraId="78B7E149" w14:textId="0964B16C" w:rsidR="00AE55C8" w:rsidRPr="00AE55C8" w:rsidRDefault="00C3631F" w:rsidP="00AE55C8">
                  <w:pPr>
                    <w:rPr>
                      <w:rFonts w:asciiTheme="majorHAnsi" w:hAnsiTheme="majorHAnsi"/>
                    </w:rPr>
                  </w:pPr>
                  <w:r>
                    <w:rPr>
                      <w:rFonts w:asciiTheme="majorHAnsi" w:hAnsiTheme="majorHAnsi"/>
                    </w:rPr>
                    <w:t>Gathering qualitative feedback online from select members of the public</w:t>
                  </w:r>
                  <w:r w:rsidR="008F2ABF">
                    <w:rPr>
                      <w:rFonts w:asciiTheme="majorHAnsi" w:hAnsiTheme="majorHAnsi"/>
                    </w:rPr>
                    <w:t xml:space="preserve"> to support and inform findings</w:t>
                  </w:r>
                  <w:r>
                    <w:rPr>
                      <w:rFonts w:asciiTheme="majorHAnsi" w:hAnsiTheme="majorHAnsi"/>
                    </w:rPr>
                    <w:t xml:space="preserve">. </w:t>
                  </w:r>
                </w:p>
              </w:tc>
            </w:tr>
          </w:tbl>
          <w:p w14:paraId="6610B17C" w14:textId="4E136F30" w:rsidR="00AE55C8" w:rsidRPr="00CD6736" w:rsidRDefault="00AE55C8" w:rsidP="00AE55C8">
            <w:pPr>
              <w:rPr>
                <w:rFonts w:asciiTheme="majorHAnsi" w:hAnsiTheme="majorHAnsi"/>
              </w:rPr>
            </w:pPr>
            <w:r w:rsidRPr="00AE55C8">
              <w:rPr>
                <w:rFonts w:asciiTheme="majorHAnsi" w:hAnsiTheme="majorHAnsi"/>
              </w:rPr>
              <w:tab/>
            </w:r>
            <w:r w:rsidRPr="00AE55C8">
              <w:rPr>
                <w:rFonts w:asciiTheme="majorHAnsi" w:hAnsiTheme="majorHAnsi"/>
              </w:rPr>
              <w:tab/>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2B3AD3A1" w14:textId="2C014A7B" w:rsidR="00803127" w:rsidRPr="00C35F57" w:rsidRDefault="00803127" w:rsidP="00C35F57">
            <w:pPr>
              <w:divId w:val="371418294"/>
              <w:rPr>
                <w:rFonts w:ascii="Times New Roman" w:eastAsia="Times New Roman" w:hAnsi="Times New Roman" w:cs="Times New Roman"/>
                <w:sz w:val="24"/>
                <w:szCs w:val="24"/>
                <w:lang w:eastAsia="en-GB"/>
              </w:rPr>
            </w:pPr>
            <w:r>
              <w:rPr>
                <w:rFonts w:asciiTheme="majorHAnsi" w:hAnsiTheme="majorHAnsi"/>
              </w:rPr>
              <w:t xml:space="preserve">Parallel to </w:t>
            </w:r>
            <w:r w:rsidR="000D458F">
              <w:rPr>
                <w:rFonts w:asciiTheme="majorHAnsi" w:hAnsiTheme="majorHAnsi"/>
              </w:rPr>
              <w:t xml:space="preserve">extensive </w:t>
            </w:r>
            <w:r w:rsidR="00C362FD">
              <w:rPr>
                <w:rFonts w:asciiTheme="majorHAnsi" w:hAnsiTheme="majorHAnsi"/>
              </w:rPr>
              <w:t xml:space="preserve">scholarly research, the project includes the development of several creative artefacts that reflect and inform scholarly practice in turn. These artefacts are presented to the public in a free online exhibition space that includes the three-part interactive narrative piece ‘Storymaker World’, as well as various other small projects </w:t>
            </w:r>
            <w:r w:rsidR="000D458F">
              <w:rPr>
                <w:rFonts w:asciiTheme="majorHAnsi" w:hAnsiTheme="majorHAnsi"/>
              </w:rPr>
              <w:t xml:space="preserve">and </w:t>
            </w:r>
            <w:r w:rsidR="00C362FD">
              <w:rPr>
                <w:rFonts w:asciiTheme="majorHAnsi" w:hAnsiTheme="majorHAnsi"/>
              </w:rPr>
              <w:t>sketchbook material accumulated over the research project’s life cycle. The functionality, narrative cohesion, sensitivity and clarity of the narrative and the exhibition are</w:t>
            </w:r>
            <w:r w:rsidR="00C362FD">
              <w:rPr>
                <w:rFonts w:asciiTheme="majorHAnsi" w:hAnsiTheme="majorHAnsi"/>
                <w:b/>
                <w:bCs/>
              </w:rPr>
              <w:t xml:space="preserve"> </w:t>
            </w:r>
            <w:r w:rsidR="00C362FD">
              <w:rPr>
                <w:rFonts w:asciiTheme="majorHAnsi" w:hAnsiTheme="majorHAnsi"/>
              </w:rPr>
              <w:t>presented first to the project’s industry partner BIOME Collective, then a small pool of participants from the general public. Participants are invited to explore the online exhibition space</w:t>
            </w:r>
            <w:r w:rsidR="000D458F">
              <w:rPr>
                <w:rFonts w:asciiTheme="majorHAnsi" w:hAnsiTheme="majorHAnsi"/>
              </w:rPr>
              <w:t xml:space="preserve"> online</w:t>
            </w:r>
            <w:r w:rsidR="00C362FD">
              <w:rPr>
                <w:rFonts w:asciiTheme="majorHAnsi" w:hAnsiTheme="majorHAnsi"/>
              </w:rPr>
              <w:t xml:space="preserve"> and encouraged to fill out a</w:t>
            </w:r>
            <w:r w:rsidR="000D458F">
              <w:rPr>
                <w:rFonts w:asciiTheme="majorHAnsi" w:hAnsiTheme="majorHAnsi"/>
              </w:rPr>
              <w:t>n online</w:t>
            </w:r>
            <w:r w:rsidR="00C362FD">
              <w:rPr>
                <w:rFonts w:asciiTheme="majorHAnsi" w:hAnsiTheme="majorHAnsi"/>
              </w:rPr>
              <w:t xml:space="preserve"> </w:t>
            </w:r>
            <w:r w:rsidR="00C362FD">
              <w:rPr>
                <w:rFonts w:asciiTheme="majorHAnsi" w:hAnsiTheme="majorHAnsi"/>
                <w:b/>
                <w:bCs/>
              </w:rPr>
              <w:t xml:space="preserve">Feedback Form </w:t>
            </w:r>
            <w:r w:rsidR="00C362FD">
              <w:rPr>
                <w:rFonts w:asciiTheme="majorHAnsi" w:hAnsiTheme="majorHAnsi"/>
              </w:rPr>
              <w:t>(see attached</w:t>
            </w:r>
            <w:r w:rsidR="00C362FD" w:rsidRPr="00C362FD">
              <w:rPr>
                <w:rFonts w:asciiTheme="majorHAnsi" w:hAnsiTheme="majorHAnsi"/>
                <w:b/>
                <w:bCs/>
              </w:rPr>
              <w:t>: Storymaker World Feedback Form</w:t>
            </w:r>
            <w:r w:rsidR="00C362FD">
              <w:rPr>
                <w:rFonts w:asciiTheme="majorHAnsi" w:hAnsiTheme="majorHAnsi"/>
                <w:b/>
                <w:bCs/>
              </w:rPr>
              <w:t>)</w:t>
            </w:r>
            <w:r w:rsidR="00EB06C1">
              <w:rPr>
                <w:rFonts w:asciiTheme="majorHAnsi" w:hAnsiTheme="majorHAnsi"/>
                <w:b/>
                <w:bCs/>
              </w:rPr>
              <w:t xml:space="preserve"> </w:t>
            </w:r>
            <w:r w:rsidR="00C35F57" w:rsidRPr="00C35F57">
              <w:rPr>
                <w:rFonts w:asciiTheme="majorHAnsi" w:hAnsiTheme="majorHAnsi"/>
              </w:rPr>
              <w:t>using</w:t>
            </w:r>
            <w:r w:rsidR="00C35F57">
              <w:rPr>
                <w:rFonts w:asciiTheme="majorHAnsi" w:hAnsiTheme="majorHAnsi"/>
                <w:b/>
                <w:bCs/>
              </w:rPr>
              <w:t xml:space="preserve"> </w:t>
            </w:r>
            <w:r w:rsidR="00C35F57" w:rsidRPr="00C35F57">
              <w:rPr>
                <w:rFonts w:ascii="Calibri" w:eastAsia="Times New Roman" w:hAnsi="Calibri" w:cs="Times New Roman"/>
                <w:color w:val="212121"/>
                <w:lang w:eastAsia="en-GB"/>
              </w:rPr>
              <w:t>the university’s online tool: </w:t>
            </w:r>
            <w:hyperlink r:id="rId8" w:history="1">
              <w:r w:rsidR="00C35F57" w:rsidRPr="00C35F57">
                <w:rPr>
                  <w:rFonts w:ascii="Calibri" w:eastAsia="Times New Roman" w:hAnsi="Calibri" w:cs="Times New Roman"/>
                  <w:color w:val="0078D4"/>
                  <w:u w:val="single"/>
                  <w:lang w:eastAsia="en-GB"/>
                </w:rPr>
                <w:t>https://www.onlinesurveys.ac.uk</w:t>
              </w:r>
            </w:hyperlink>
            <w:r w:rsidR="0037574A">
              <w:rPr>
                <w:rFonts w:ascii="Times New Roman" w:eastAsia="Times New Roman" w:hAnsi="Times New Roman" w:cs="Times New Roman"/>
                <w:sz w:val="24"/>
                <w:szCs w:val="24"/>
                <w:lang w:eastAsia="en-GB"/>
              </w:rPr>
              <w:t xml:space="preserve">. </w:t>
            </w:r>
            <w:r w:rsidR="00C362FD">
              <w:rPr>
                <w:rFonts w:asciiTheme="majorHAnsi" w:hAnsiTheme="majorHAnsi"/>
              </w:rPr>
              <w:t>The form gathers qualitative feedback</w:t>
            </w:r>
            <w:r w:rsidR="000D458F">
              <w:rPr>
                <w:rFonts w:asciiTheme="majorHAnsi" w:hAnsiTheme="majorHAnsi"/>
              </w:rPr>
              <w:t xml:space="preserve"> </w:t>
            </w:r>
            <w:r w:rsidR="00720924">
              <w:rPr>
                <w:rFonts w:asciiTheme="majorHAnsi" w:hAnsiTheme="majorHAnsi"/>
              </w:rPr>
              <w:t xml:space="preserve">and presents it in a spreadsheet </w:t>
            </w:r>
            <w:r w:rsidR="00C362FD">
              <w:rPr>
                <w:rFonts w:asciiTheme="majorHAnsi" w:hAnsiTheme="majorHAnsi"/>
              </w:rPr>
              <w:t xml:space="preserve">in </w:t>
            </w:r>
            <w:r w:rsidR="00720924">
              <w:rPr>
                <w:rFonts w:asciiTheme="majorHAnsi" w:hAnsiTheme="majorHAnsi"/>
              </w:rPr>
              <w:t>order</w:t>
            </w:r>
            <w:r w:rsidR="00C362FD">
              <w:rPr>
                <w:rFonts w:asciiTheme="majorHAnsi" w:hAnsiTheme="majorHAnsi"/>
              </w:rPr>
              <w:t xml:space="preserve"> to find out participants’ overall impressions, their </w:t>
            </w:r>
            <w:r w:rsidR="00C362FD">
              <w:rPr>
                <w:rFonts w:asciiTheme="majorHAnsi" w:hAnsiTheme="majorHAnsi"/>
              </w:rPr>
              <w:lastRenderedPageBreak/>
              <w:t xml:space="preserve">view of the </w:t>
            </w:r>
            <w:r w:rsidR="00C362FD">
              <w:rPr>
                <w:rFonts w:asciiTheme="majorHAnsi" w:hAnsiTheme="majorHAnsi"/>
                <w:b/>
                <w:bCs/>
              </w:rPr>
              <w:t>themes presented, narrative clarity and website functionality.</w:t>
            </w:r>
            <w:r w:rsidR="00C362FD">
              <w:rPr>
                <w:rFonts w:asciiTheme="majorHAnsi" w:hAnsiTheme="majorHAnsi"/>
              </w:rPr>
              <w:t xml:space="preserve"> This qualitative data informs the findings of the overall research: </w:t>
            </w:r>
          </w:p>
          <w:p w14:paraId="59CEC069" w14:textId="7EAE6A94" w:rsidR="00C362FD" w:rsidRPr="00C362FD" w:rsidRDefault="00C362FD" w:rsidP="00C362FD">
            <w:pPr>
              <w:pStyle w:val="ListParagraph"/>
              <w:numPr>
                <w:ilvl w:val="0"/>
                <w:numId w:val="1"/>
              </w:numPr>
              <w:rPr>
                <w:rFonts w:asciiTheme="majorHAnsi" w:hAnsiTheme="majorHAnsi"/>
              </w:rPr>
            </w:pPr>
            <w:r>
              <w:rPr>
                <w:rFonts w:asciiTheme="majorHAnsi" w:hAnsiTheme="majorHAnsi"/>
              </w:rPr>
              <w:t xml:space="preserve">The </w:t>
            </w:r>
            <w:r>
              <w:rPr>
                <w:rFonts w:asciiTheme="majorHAnsi" w:hAnsiTheme="majorHAnsi"/>
                <w:b/>
                <w:bCs/>
              </w:rPr>
              <w:t xml:space="preserve">general audiences </w:t>
            </w:r>
            <w:r>
              <w:rPr>
                <w:rFonts w:asciiTheme="majorHAnsi" w:hAnsiTheme="majorHAnsi"/>
              </w:rPr>
              <w:t xml:space="preserve">feedback round informs </w:t>
            </w:r>
            <w:r w:rsidR="004A2D9C">
              <w:rPr>
                <w:rFonts w:asciiTheme="majorHAnsi" w:hAnsiTheme="majorHAnsi"/>
              </w:rPr>
              <w:t>reflections of the project’s final outcomes: its success in delivering the intended message, its execution, accessibility, and narrative-aesthetic cohesion.</w:t>
            </w:r>
          </w:p>
          <w:p w14:paraId="6728EDAD" w14:textId="77777777" w:rsidR="00582E7D" w:rsidRDefault="00C362FD" w:rsidP="00803127">
            <w:pPr>
              <w:pStyle w:val="ListParagraph"/>
              <w:numPr>
                <w:ilvl w:val="0"/>
                <w:numId w:val="1"/>
              </w:numPr>
              <w:rPr>
                <w:rFonts w:asciiTheme="majorHAnsi" w:hAnsiTheme="majorHAnsi"/>
              </w:rPr>
            </w:pPr>
            <w:r>
              <w:rPr>
                <w:rFonts w:asciiTheme="majorHAnsi" w:hAnsiTheme="majorHAnsi"/>
              </w:rPr>
              <w:t xml:space="preserve">The </w:t>
            </w:r>
            <w:r>
              <w:rPr>
                <w:rFonts w:asciiTheme="majorHAnsi" w:hAnsiTheme="majorHAnsi"/>
                <w:b/>
                <w:bCs/>
              </w:rPr>
              <w:t>industry partner</w:t>
            </w:r>
            <w:r>
              <w:rPr>
                <w:rFonts w:asciiTheme="majorHAnsi" w:hAnsiTheme="majorHAnsi"/>
              </w:rPr>
              <w:t xml:space="preserve"> feedback round</w:t>
            </w:r>
            <w:r w:rsidR="004A2D9C">
              <w:rPr>
                <w:rFonts w:asciiTheme="majorHAnsi" w:hAnsiTheme="majorHAnsi"/>
              </w:rPr>
              <w:t>, in addition to the above, also</w:t>
            </w:r>
            <w:r>
              <w:rPr>
                <w:rFonts w:asciiTheme="majorHAnsi" w:hAnsiTheme="majorHAnsi"/>
              </w:rPr>
              <w:t xml:space="preserve"> </w:t>
            </w:r>
            <w:r w:rsidR="004A2D9C">
              <w:rPr>
                <w:rFonts w:asciiTheme="majorHAnsi" w:hAnsiTheme="majorHAnsi"/>
              </w:rPr>
              <w:t>informs</w:t>
            </w:r>
            <w:r>
              <w:rPr>
                <w:rFonts w:asciiTheme="majorHAnsi" w:hAnsiTheme="majorHAnsi"/>
              </w:rPr>
              <w:t xml:space="preserve"> r</w:t>
            </w:r>
            <w:r w:rsidR="004A2D9C">
              <w:rPr>
                <w:rFonts w:asciiTheme="majorHAnsi" w:hAnsiTheme="majorHAnsi"/>
              </w:rPr>
              <w:t>ef</w:t>
            </w:r>
            <w:r>
              <w:rPr>
                <w:rFonts w:asciiTheme="majorHAnsi" w:hAnsiTheme="majorHAnsi"/>
              </w:rPr>
              <w:t>lection</w:t>
            </w:r>
            <w:r w:rsidR="004A2D9C">
              <w:rPr>
                <w:rFonts w:asciiTheme="majorHAnsi" w:hAnsiTheme="majorHAnsi"/>
              </w:rPr>
              <w:t>s</w:t>
            </w:r>
            <w:r>
              <w:rPr>
                <w:rFonts w:asciiTheme="majorHAnsi" w:hAnsiTheme="majorHAnsi"/>
              </w:rPr>
              <w:t xml:space="preserve"> on creative economies and partnership between industry and academia, as well as the creative artefact’s place in this space. </w:t>
            </w:r>
          </w:p>
          <w:p w14:paraId="6D130C53" w14:textId="02057592" w:rsidR="00720924" w:rsidRPr="00720924" w:rsidRDefault="00720924" w:rsidP="00720924">
            <w:pPr>
              <w:ind w:left="360"/>
              <w:rPr>
                <w:rFonts w:asciiTheme="majorHAnsi" w:hAnsiTheme="majorHAnsi"/>
              </w:rPr>
            </w:pPr>
            <w:r>
              <w:rPr>
                <w:rFonts w:asciiTheme="majorHAnsi" w:hAnsiTheme="majorHAnsi"/>
              </w:rPr>
              <w:t>The questionnaire is divided into three sections: GDPR compliance notice</w:t>
            </w:r>
            <w:r w:rsidR="0037574A">
              <w:rPr>
                <w:rFonts w:asciiTheme="majorHAnsi" w:hAnsiTheme="majorHAnsi"/>
              </w:rPr>
              <w:t>, participant information sheet</w:t>
            </w:r>
            <w:r>
              <w:rPr>
                <w:rFonts w:asciiTheme="majorHAnsi" w:hAnsiTheme="majorHAnsi"/>
              </w:rPr>
              <w:t xml:space="preserve"> and </w:t>
            </w:r>
            <w:r w:rsidRPr="00720924">
              <w:rPr>
                <w:rFonts w:asciiTheme="majorHAnsi" w:hAnsiTheme="majorHAnsi"/>
                <w:b/>
                <w:bCs/>
              </w:rPr>
              <w:t>consent form</w:t>
            </w:r>
            <w:r>
              <w:rPr>
                <w:rFonts w:asciiTheme="majorHAnsi" w:hAnsiTheme="majorHAnsi"/>
              </w:rPr>
              <w:t xml:space="preserve">; questions regarding platform </w:t>
            </w:r>
            <w:r w:rsidRPr="00720924">
              <w:rPr>
                <w:rFonts w:asciiTheme="majorHAnsi" w:hAnsiTheme="majorHAnsi"/>
                <w:b/>
                <w:bCs/>
              </w:rPr>
              <w:t>functionality</w:t>
            </w:r>
            <w:r>
              <w:rPr>
                <w:rFonts w:asciiTheme="majorHAnsi" w:hAnsiTheme="majorHAnsi"/>
              </w:rPr>
              <w:t xml:space="preserve"> (Navigation, reporting bugs or other problems found); and questions regarding the </w:t>
            </w:r>
            <w:r w:rsidRPr="00720924">
              <w:rPr>
                <w:rFonts w:asciiTheme="majorHAnsi" w:hAnsiTheme="majorHAnsi"/>
                <w:b/>
                <w:bCs/>
              </w:rPr>
              <w:t>themes and narrative</w:t>
            </w:r>
            <w:r>
              <w:rPr>
                <w:rFonts w:asciiTheme="majorHAnsi" w:hAnsiTheme="majorHAnsi"/>
              </w:rPr>
              <w:t xml:space="preserve"> of ‘Storymaker World’ (participants’ impression of the overarching story and themes, feelings or questions evoked, the role of specific components, the relationship between the story and the different mediums through which it’s told, their perception of transmedia storytelling after playing). The questionnaire asks for long-form answers and filling it out will  take any time between 10-30 minutes depending on </w:t>
            </w:r>
            <w:r w:rsidR="00897BB3">
              <w:rPr>
                <w:rFonts w:asciiTheme="majorHAnsi" w:hAnsiTheme="majorHAnsi"/>
              </w:rPr>
              <w:t xml:space="preserve">the </w:t>
            </w:r>
            <w:r>
              <w:rPr>
                <w:rFonts w:asciiTheme="majorHAnsi" w:hAnsiTheme="majorHAnsi"/>
              </w:rPr>
              <w:t xml:space="preserve">participant. </w:t>
            </w:r>
            <w:r w:rsidR="000D2262">
              <w:rPr>
                <w:rFonts w:asciiTheme="majorHAnsi" w:hAnsiTheme="majorHAnsi"/>
              </w:rPr>
              <w:t>Because different perspectives on the same project are important for reflection and iteration, m</w:t>
            </w:r>
            <w:r>
              <w:rPr>
                <w:rFonts w:asciiTheme="majorHAnsi" w:hAnsiTheme="majorHAnsi"/>
              </w:rPr>
              <w:t>embers of the industry and members of the public will receive the same questionnaire</w:t>
            </w:r>
            <w:r w:rsidR="000D2262">
              <w:rPr>
                <w:rFonts w:asciiTheme="majorHAnsi" w:hAnsiTheme="majorHAnsi"/>
              </w:rPr>
              <w:t xml:space="preserve">. </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7D3E5850" w14:textId="17D3E32B" w:rsidR="00582E7D" w:rsidRDefault="007426FC" w:rsidP="002144EA">
            <w:pPr>
              <w:rPr>
                <w:rFonts w:asciiTheme="majorHAnsi" w:hAnsiTheme="majorHAnsi"/>
              </w:rPr>
            </w:pPr>
            <w:r>
              <w:rPr>
                <w:rFonts w:asciiTheme="majorHAnsi" w:hAnsiTheme="majorHAnsi"/>
              </w:rPr>
              <w:t xml:space="preserve">Participants will engage with the material exclusively </w:t>
            </w:r>
            <w:r>
              <w:rPr>
                <w:rFonts w:asciiTheme="majorHAnsi" w:hAnsiTheme="majorHAnsi"/>
                <w:b/>
                <w:bCs/>
              </w:rPr>
              <w:t>online.</w:t>
            </w:r>
            <w:r>
              <w:rPr>
                <w:rFonts w:asciiTheme="majorHAnsi" w:hAnsiTheme="majorHAnsi"/>
              </w:rPr>
              <w:t xml:space="preserve"> This includes visiting the exhibition space as well as providing feedback. They can do this individually on their own time. </w:t>
            </w:r>
          </w:p>
          <w:p w14:paraId="36BEB679" w14:textId="007CC5EC" w:rsidR="007426FC" w:rsidRDefault="007426FC" w:rsidP="002144EA">
            <w:pPr>
              <w:rPr>
                <w:rFonts w:asciiTheme="majorHAnsi" w:hAnsiTheme="majorHAnsi"/>
              </w:rPr>
            </w:pPr>
            <w:r>
              <w:rPr>
                <w:rFonts w:asciiTheme="majorHAnsi" w:hAnsiTheme="majorHAnsi"/>
              </w:rPr>
              <w:t xml:space="preserve">The </w:t>
            </w:r>
            <w:r>
              <w:rPr>
                <w:rFonts w:asciiTheme="majorHAnsi" w:hAnsiTheme="majorHAnsi"/>
                <w:b/>
                <w:bCs/>
              </w:rPr>
              <w:t>industry feedback round</w:t>
            </w:r>
            <w:r>
              <w:rPr>
                <w:rFonts w:asciiTheme="majorHAnsi" w:hAnsiTheme="majorHAnsi"/>
              </w:rPr>
              <w:t xml:space="preserve"> invites members of the research project’s industry partner, </w:t>
            </w:r>
            <w:r>
              <w:rPr>
                <w:rFonts w:asciiTheme="majorHAnsi" w:hAnsiTheme="majorHAnsi"/>
                <w:b/>
                <w:bCs/>
              </w:rPr>
              <w:t xml:space="preserve">BIOME Collective. </w:t>
            </w:r>
            <w:r>
              <w:rPr>
                <w:rFonts w:asciiTheme="majorHAnsi" w:hAnsiTheme="majorHAnsi"/>
              </w:rPr>
              <w:t xml:space="preserve">Please find the e-mail requesting their participation attached. </w:t>
            </w:r>
          </w:p>
          <w:p w14:paraId="5BCEEF1F" w14:textId="709237A8" w:rsidR="00582E7D" w:rsidRPr="00CD6736" w:rsidRDefault="007426FC" w:rsidP="007426FC">
            <w:pPr>
              <w:rPr>
                <w:rFonts w:asciiTheme="majorHAnsi" w:hAnsiTheme="majorHAnsi"/>
              </w:rPr>
            </w:pPr>
            <w:r>
              <w:rPr>
                <w:rFonts w:asciiTheme="majorHAnsi" w:hAnsiTheme="majorHAnsi"/>
              </w:rPr>
              <w:t xml:space="preserve">The </w:t>
            </w:r>
            <w:r>
              <w:rPr>
                <w:rFonts w:asciiTheme="majorHAnsi" w:hAnsiTheme="majorHAnsi"/>
                <w:b/>
                <w:bCs/>
              </w:rPr>
              <w:t xml:space="preserve">general audiences </w:t>
            </w:r>
            <w:r>
              <w:rPr>
                <w:rFonts w:asciiTheme="majorHAnsi" w:hAnsiTheme="majorHAnsi"/>
              </w:rPr>
              <w:t>feedback round invites participants from the researcher’s own network of peers. This includes PhD candidates and early-career researches through her academic connections, industry peers and past collaborators</w:t>
            </w:r>
            <w:r w:rsidR="0052347E">
              <w:rPr>
                <w:rFonts w:asciiTheme="majorHAnsi" w:hAnsiTheme="majorHAnsi"/>
              </w:rPr>
              <w:t>, with varying degrees of familiarity with the project (from somewhat familiar to not familiar at all)</w:t>
            </w:r>
            <w:r>
              <w:rPr>
                <w:rFonts w:asciiTheme="majorHAnsi" w:hAnsiTheme="majorHAnsi"/>
              </w:rPr>
              <w:t xml:space="preserve">. These people are approached individually or in groups as appropriate. Please find the template attached. </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lastRenderedPageBreak/>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592720FA"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9"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491EB9B3" w14:textId="3A0096C2" w:rsidR="00582E7D" w:rsidRPr="000F78B3" w:rsidRDefault="007426FC" w:rsidP="002144EA">
            <w:pPr>
              <w:rPr>
                <w:rFonts w:asciiTheme="majorHAnsi" w:hAnsiTheme="majorHAnsi"/>
              </w:rPr>
            </w:pPr>
            <w:r>
              <w:rPr>
                <w:rFonts w:asciiTheme="majorHAnsi" w:hAnsiTheme="majorHAnsi"/>
              </w:rPr>
              <w:t xml:space="preserve">All participants are required to be over the age of 18 and have the capacity to make their own decisions. Participants will be presented with a consent form detailing the scope of the study and their rights on the heading page of the questionnaire. Filling out and sending the questionnaire signals their consent. Please find the consent form attached. </w:t>
            </w:r>
          </w:p>
          <w:p w14:paraId="3AC6DF2B" w14:textId="77777777" w:rsidR="00582E7D" w:rsidRPr="00CD6736" w:rsidRDefault="00582E7D" w:rsidP="002144EA">
            <w:pPr>
              <w:rPr>
                <w:rFonts w:asciiTheme="majorHAnsi" w:hAnsiTheme="majorHAnsi"/>
              </w:rPr>
            </w:pP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3325EC7F"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10"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1"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2E08BE">
        <w:tc>
          <w:tcPr>
            <w:tcW w:w="8290" w:type="dxa"/>
          </w:tcPr>
          <w:p w14:paraId="637CE5B7" w14:textId="3F7C3E90" w:rsidR="00F6661A" w:rsidRDefault="00AD3332" w:rsidP="002E08BE">
            <w:pPr>
              <w:rPr>
                <w:rFonts w:asciiTheme="majorHAnsi" w:hAnsiTheme="majorHAnsi"/>
              </w:rPr>
            </w:pPr>
            <w:r>
              <w:rPr>
                <w:rFonts w:asciiTheme="majorHAnsi" w:hAnsiTheme="majorHAnsi"/>
              </w:rPr>
              <w:t xml:space="preserve">Participants are informed of the lawful basis of processing on their personal data in accordance with university policy. </w:t>
            </w:r>
          </w:p>
          <w:p w14:paraId="498598E3" w14:textId="77777777" w:rsidR="00F6661A" w:rsidRPr="003F575E" w:rsidRDefault="00F6661A" w:rsidP="002E08BE">
            <w:pPr>
              <w:rPr>
                <w:rFonts w:asciiTheme="majorHAnsi" w:hAnsiTheme="majorHAnsi"/>
              </w:rPr>
            </w:pP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lastRenderedPageBreak/>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4992C22B" w:rsidR="003F575E" w:rsidRPr="003F575E" w:rsidRDefault="003F575E" w:rsidP="00582E7D">
      <w:pPr>
        <w:rPr>
          <w:rFonts w:asciiTheme="majorHAnsi" w:hAnsiTheme="majorHAnsi"/>
        </w:rPr>
      </w:pPr>
      <w:r>
        <w:rPr>
          <w:rFonts w:asciiTheme="majorHAnsi" w:hAnsiTheme="majorHAnsi"/>
        </w:rPr>
        <w:t>i) The type and volume of data; ii) Where and for how long will the data be stored and what measures will be in place to ensure secure storage; iii) Whether the dat</w:t>
      </w:r>
      <w:r w:rsidR="0099089E">
        <w:rPr>
          <w:rFonts w:asciiTheme="majorHAnsi" w:hAnsiTheme="majorHAnsi"/>
        </w:rPr>
        <w:t>a will be anonymised or pseud</w:t>
      </w:r>
      <w:r>
        <w:rPr>
          <w:rFonts w:asciiTheme="majorHAnsi" w:hAnsiTheme="majorHAnsi"/>
        </w:rPr>
        <w:t>onymised</w:t>
      </w:r>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2"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responsibility for data management for the research project; ix) </w:t>
      </w:r>
      <w:hyperlink r:id="rId13"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5288901D" w14:textId="626878E1" w:rsidR="003F575E" w:rsidRPr="003F575E" w:rsidRDefault="00BF3B90" w:rsidP="003F575E">
            <w:pPr>
              <w:rPr>
                <w:rFonts w:asciiTheme="majorHAnsi" w:hAnsiTheme="majorHAnsi"/>
              </w:rPr>
            </w:pPr>
            <w:r>
              <w:rPr>
                <w:rFonts w:asciiTheme="majorHAnsi" w:hAnsiTheme="majorHAnsi"/>
              </w:rPr>
              <w:t>Please see attached Data Management Plan.</w:t>
            </w: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4B26F94A"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w:t>
      </w:r>
      <w:r w:rsidR="00897BB3">
        <w:rPr>
          <w:rFonts w:asciiTheme="majorHAnsi" w:hAnsiTheme="majorHAnsi"/>
        </w:rPr>
        <w:t>,</w:t>
      </w:r>
      <w:r w:rsidRPr="00CD6736">
        <w:rPr>
          <w:rFonts w:asciiTheme="majorHAnsi" w:hAnsiTheme="majorHAnsi"/>
        </w:rPr>
        <w:t xml:space="preserve">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2B196C0C" w14:textId="4CA853C8" w:rsidR="00582E7D" w:rsidRPr="00CD6736" w:rsidRDefault="0058028B" w:rsidP="002144EA">
            <w:pPr>
              <w:rPr>
                <w:rFonts w:asciiTheme="majorHAnsi" w:hAnsiTheme="majorHAnsi"/>
              </w:rPr>
            </w:pPr>
            <w:r>
              <w:rPr>
                <w:rFonts w:asciiTheme="majorHAnsi" w:hAnsiTheme="majorHAnsi"/>
              </w:rPr>
              <w:t>N/A</w:t>
            </w:r>
          </w:p>
          <w:p w14:paraId="0952D0BE" w14:textId="77777777" w:rsidR="008E1AAB" w:rsidRPr="00CD6736" w:rsidRDefault="008E1AAB" w:rsidP="002144EA">
            <w:pPr>
              <w:rPr>
                <w:rFonts w:asciiTheme="majorHAnsi" w:hAnsiTheme="majorHAnsi"/>
              </w:rPr>
            </w:pP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775BD241"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4"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5"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47A464B1" w14:textId="6C82BB73" w:rsidR="00582E7D" w:rsidRDefault="00BF3B90" w:rsidP="003F575E">
            <w:pPr>
              <w:rPr>
                <w:rFonts w:asciiTheme="majorHAnsi" w:hAnsiTheme="majorHAnsi"/>
              </w:rPr>
            </w:pPr>
            <w:r>
              <w:rPr>
                <w:rFonts w:asciiTheme="majorHAnsi" w:hAnsiTheme="majorHAnsi"/>
              </w:rPr>
              <w:t>Data gathering is carried out exclusively online, on the participants’ own time and own device(s), therefore there is no risk of injury or ill-health above risk prevalent in daily living.</w:t>
            </w:r>
          </w:p>
          <w:p w14:paraId="5E33E79A" w14:textId="77777777" w:rsidR="003F575E" w:rsidRPr="00CD6736" w:rsidRDefault="003F575E" w:rsidP="003F575E">
            <w:pPr>
              <w:rPr>
                <w:rFonts w:asciiTheme="majorHAnsi" w:hAnsiTheme="majorHAnsi"/>
              </w:rPr>
            </w:pP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B1D8DD8" w14:textId="382418B2" w:rsidR="00582E7D" w:rsidRPr="00CD6736" w:rsidRDefault="001E2F33" w:rsidP="002144EA">
            <w:pPr>
              <w:rPr>
                <w:rFonts w:asciiTheme="majorHAnsi" w:hAnsiTheme="majorHAnsi"/>
              </w:rPr>
            </w:pPr>
            <w:r>
              <w:rPr>
                <w:rFonts w:asciiTheme="majorHAnsi" w:hAnsiTheme="majorHAnsi"/>
              </w:rPr>
              <w:t>N/A</w:t>
            </w:r>
          </w:p>
          <w:p w14:paraId="47D77581" w14:textId="77777777" w:rsidR="00582E7D" w:rsidRPr="00CD6736" w:rsidRDefault="00582E7D" w:rsidP="002144EA">
            <w:pPr>
              <w:rPr>
                <w:rFonts w:asciiTheme="majorHAnsi" w:hAnsiTheme="majorHAnsi"/>
              </w:rPr>
            </w:pP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08B7BCFC" w14:textId="4EA0E94E" w:rsidR="00582E7D" w:rsidRDefault="00617B3F" w:rsidP="0052347E">
            <w:pPr>
              <w:pStyle w:val="ListParagraph"/>
              <w:numPr>
                <w:ilvl w:val="0"/>
                <w:numId w:val="1"/>
              </w:numPr>
              <w:rPr>
                <w:rFonts w:asciiTheme="majorHAnsi" w:hAnsiTheme="majorHAnsi"/>
              </w:rPr>
            </w:pPr>
            <w:r>
              <w:rPr>
                <w:rFonts w:asciiTheme="majorHAnsi" w:hAnsiTheme="majorHAnsi"/>
              </w:rPr>
              <w:t>Storymaker World Data Management Plan (StorymakerWorld_DMP_100822.pdf)</w:t>
            </w:r>
          </w:p>
          <w:p w14:paraId="0E2323B7" w14:textId="0FC87F58" w:rsidR="00617B3F" w:rsidRDefault="00617B3F" w:rsidP="0052347E">
            <w:pPr>
              <w:pStyle w:val="ListParagraph"/>
              <w:numPr>
                <w:ilvl w:val="0"/>
                <w:numId w:val="1"/>
              </w:numPr>
              <w:rPr>
                <w:rFonts w:asciiTheme="majorHAnsi" w:hAnsiTheme="majorHAnsi"/>
              </w:rPr>
            </w:pPr>
            <w:r>
              <w:rPr>
                <w:rFonts w:asciiTheme="majorHAnsi" w:hAnsiTheme="majorHAnsi"/>
              </w:rPr>
              <w:t>Questionnaire Transcript (StorymakerWorld_FeedbackFormTransctipt.docx)</w:t>
            </w:r>
          </w:p>
          <w:p w14:paraId="7C3A1DD2" w14:textId="267EADEB" w:rsidR="003F575E" w:rsidRPr="00DD21E0" w:rsidRDefault="00617B3F" w:rsidP="00617B3F">
            <w:pPr>
              <w:pStyle w:val="ListParagraph"/>
              <w:numPr>
                <w:ilvl w:val="0"/>
                <w:numId w:val="1"/>
              </w:numPr>
              <w:rPr>
                <w:rFonts w:asciiTheme="majorHAnsi" w:hAnsiTheme="majorHAnsi"/>
              </w:rPr>
            </w:pPr>
            <w:r>
              <w:rPr>
                <w:rFonts w:asciiTheme="majorHAnsi" w:hAnsiTheme="majorHAnsi"/>
              </w:rPr>
              <w:t>Informed Consent Form (StorymakerWorld_InformedConsentForm_100822.docx)</w:t>
            </w: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0EEFB15E"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6"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39FEFE28" w14:textId="31365756" w:rsidR="00092FA8" w:rsidRPr="00897BB3"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074690A4" w14:textId="3147C500" w:rsidR="00092FA8"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52347E">
        <w:rPr>
          <w:rFonts w:asciiTheme="majorHAnsi" w:hAnsiTheme="majorHAnsi"/>
        </w:rPr>
        <w:t>Fruzsina Pittner</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52347E">
        <w:rPr>
          <w:rFonts w:asciiTheme="majorHAnsi" w:hAnsiTheme="majorHAnsi"/>
        </w:rPr>
        <w:t xml:space="preserve"> 10/08/2022</w:t>
      </w:r>
    </w:p>
    <w:p w14:paraId="14649FD1" w14:textId="7EB64C5C" w:rsidR="00DD21E0" w:rsidRPr="00CD6736" w:rsidRDefault="00897BB3" w:rsidP="00092FA8">
      <w:pPr>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018C8CEC" wp14:editId="6CB57117">
            <wp:simplePos x="0" y="0"/>
            <wp:positionH relativeFrom="column">
              <wp:posOffset>889000</wp:posOffset>
            </wp:positionH>
            <wp:positionV relativeFrom="paragraph">
              <wp:posOffset>6985</wp:posOffset>
            </wp:positionV>
            <wp:extent cx="1071880" cy="285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188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D21E0">
        <w:rPr>
          <w:rFonts w:asciiTheme="majorHAnsi" w:hAnsiTheme="majorHAnsi"/>
        </w:rPr>
        <w:t>Signature</w:t>
      </w:r>
      <w:r w:rsidR="00BC68BF">
        <w:rPr>
          <w:rFonts w:asciiTheme="majorHAnsi" w:hAnsiTheme="majorHAnsi"/>
        </w:rPr>
        <w:t>:</w:t>
      </w:r>
      <w:r w:rsidR="0052347E">
        <w:rPr>
          <w:rFonts w:asciiTheme="majorHAnsi" w:hAnsiTheme="majorHAnsi"/>
        </w:rPr>
        <w:t xml:space="preserve"> </w:t>
      </w:r>
    </w:p>
    <w:p w14:paraId="39278885" w14:textId="77777777" w:rsidR="00092FA8" w:rsidRPr="00CD6736" w:rsidRDefault="00092FA8" w:rsidP="00092FA8">
      <w:pPr>
        <w:rPr>
          <w:rFonts w:asciiTheme="majorHAnsi" w:hAnsiTheme="majorHAnsi"/>
        </w:rPr>
      </w:pPr>
    </w:p>
    <w:p w14:paraId="58853E14" w14:textId="65E8AA66" w:rsidR="00092FA8" w:rsidRPr="00897BB3"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724FB129" w14:textId="19D79AA0" w:rsidR="00DD21E0" w:rsidRDefault="00897BB3">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684916DC" wp14:editId="2ACA8B49">
            <wp:simplePos x="0" y="0"/>
            <wp:positionH relativeFrom="column">
              <wp:posOffset>787400</wp:posOffset>
            </wp:positionH>
            <wp:positionV relativeFrom="paragraph">
              <wp:posOffset>193040</wp:posOffset>
            </wp:positionV>
            <wp:extent cx="1454150" cy="521970"/>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8"/>
                    <a:stretch>
                      <a:fillRect/>
                    </a:stretch>
                  </pic:blipFill>
                  <pic:spPr>
                    <a:xfrm>
                      <a:off x="0" y="0"/>
                      <a:ext cx="1454150" cy="521970"/>
                    </a:xfrm>
                    <a:prstGeom prst="rect">
                      <a:avLst/>
                    </a:prstGeom>
                  </pic:spPr>
                </pic:pic>
              </a:graphicData>
            </a:graphic>
            <wp14:sizeRelH relativeFrom="page">
              <wp14:pctWidth>0</wp14:pctWidth>
            </wp14:sizeRelH>
            <wp14:sizeRelV relativeFrom="page">
              <wp14:pctHeight>0</wp14:pctHeight>
            </wp14:sizeRelV>
          </wp:anchor>
        </w:drawing>
      </w:r>
      <w:r w:rsidR="00092FA8" w:rsidRPr="00CD6736">
        <w:rPr>
          <w:rFonts w:asciiTheme="majorHAnsi" w:hAnsiTheme="majorHAnsi"/>
        </w:rPr>
        <w:t>Name</w:t>
      </w:r>
      <w:r w:rsidR="00BC68BF">
        <w:rPr>
          <w:rFonts w:asciiTheme="majorHAnsi" w:hAnsiTheme="majorHAnsi"/>
        </w:rPr>
        <w:t>:</w:t>
      </w:r>
      <w:r w:rsidR="00092FA8" w:rsidRPr="00CD6736">
        <w:rPr>
          <w:rFonts w:asciiTheme="majorHAnsi" w:hAnsiTheme="majorHAnsi"/>
        </w:rPr>
        <w:tab/>
      </w:r>
      <w:r>
        <w:rPr>
          <w:rFonts w:asciiTheme="majorHAnsi" w:hAnsiTheme="majorHAnsi"/>
        </w:rPr>
        <w:t>Christopher Murray</w:t>
      </w:r>
      <w:r w:rsidR="00092FA8" w:rsidRPr="00CD6736">
        <w:rPr>
          <w:rFonts w:asciiTheme="majorHAnsi" w:hAnsiTheme="majorHAnsi"/>
        </w:rPr>
        <w:tab/>
      </w:r>
      <w:r w:rsidR="00092FA8" w:rsidRPr="00CD6736">
        <w:rPr>
          <w:rFonts w:asciiTheme="majorHAnsi" w:hAnsiTheme="majorHAnsi"/>
        </w:rPr>
        <w:tab/>
      </w:r>
      <w:r w:rsidR="00092FA8" w:rsidRPr="00CD6736">
        <w:rPr>
          <w:rFonts w:asciiTheme="majorHAnsi" w:hAnsiTheme="majorHAnsi"/>
        </w:rPr>
        <w:tab/>
        <w:t>Date</w:t>
      </w:r>
      <w:r w:rsidR="00BC68BF">
        <w:rPr>
          <w:rFonts w:asciiTheme="majorHAnsi" w:hAnsiTheme="majorHAnsi"/>
        </w:rPr>
        <w:t>:</w:t>
      </w:r>
      <w:r>
        <w:rPr>
          <w:rFonts w:asciiTheme="majorHAnsi" w:hAnsiTheme="majorHAnsi"/>
        </w:rPr>
        <w:t xml:space="preserve"> 10/08/2022</w:t>
      </w:r>
    </w:p>
    <w:p w14:paraId="764C7697" w14:textId="7D81EAFE"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even" r:id="rId19"/>
      <w:headerReference w:type="default" r:id="rId20"/>
      <w:footerReference w:type="even" r:id="rId21"/>
      <w:footerReference w:type="default" r:id="rId22"/>
      <w:headerReference w:type="first" r:id="rId23"/>
      <w:footerReference w:type="first" r:id="rId24"/>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7BB7" w14:textId="77777777" w:rsidR="00F77E8C" w:rsidRDefault="00F77E8C" w:rsidP="00F351F2">
      <w:pPr>
        <w:spacing w:after="0" w:line="240" w:lineRule="auto"/>
      </w:pPr>
      <w:r>
        <w:separator/>
      </w:r>
    </w:p>
  </w:endnote>
  <w:endnote w:type="continuationSeparator" w:id="0">
    <w:p w14:paraId="7878578B" w14:textId="77777777" w:rsidR="00F77E8C" w:rsidRDefault="00F77E8C"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40202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8CAA" w14:textId="77777777" w:rsidR="002144EA" w:rsidRDefault="002144EA"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2144EA" w:rsidRDefault="002144EA"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1DBD6664" w:rsidR="0072190F" w:rsidRPr="0072190F" w:rsidRDefault="0072190F">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E83E48">
              <w:rPr>
                <w:b/>
                <w:bCs/>
                <w:i/>
                <w:noProof/>
                <w:sz w:val="20"/>
                <w:szCs w:val="20"/>
              </w:rPr>
              <w:t>5</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E83E48">
              <w:rPr>
                <w:b/>
                <w:bCs/>
                <w:i/>
                <w:noProof/>
                <w:sz w:val="20"/>
                <w:szCs w:val="20"/>
              </w:rPr>
              <w:t>5</w:t>
            </w:r>
            <w:r w:rsidRPr="0072190F">
              <w:rPr>
                <w:b/>
                <w:bCs/>
                <w:i/>
                <w:sz w:val="20"/>
                <w:szCs w:val="20"/>
              </w:rPr>
              <w:fldChar w:fldCharType="end"/>
            </w:r>
          </w:p>
        </w:sdtContent>
      </w:sdt>
    </w:sdtContent>
  </w:sdt>
  <w:p w14:paraId="34756353" w14:textId="77777777" w:rsidR="002144EA" w:rsidRDefault="002144EA" w:rsidP="00EE69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07AE" w14:textId="77777777" w:rsidR="001B29DE" w:rsidRDefault="001B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B8B5" w14:textId="77777777" w:rsidR="00F77E8C" w:rsidRDefault="00F77E8C" w:rsidP="00F351F2">
      <w:pPr>
        <w:spacing w:after="0" w:line="240" w:lineRule="auto"/>
      </w:pPr>
      <w:r>
        <w:separator/>
      </w:r>
    </w:p>
  </w:footnote>
  <w:footnote w:type="continuationSeparator" w:id="0">
    <w:p w14:paraId="4A02BDC2" w14:textId="77777777" w:rsidR="00F77E8C" w:rsidRDefault="00F77E8C" w:rsidP="00F351F2">
      <w:pPr>
        <w:spacing w:after="0" w:line="240" w:lineRule="auto"/>
      </w:pPr>
      <w:r>
        <w:continuationSeparator/>
      </w:r>
    </w:p>
  </w:footnote>
  <w:footnote w:id="1">
    <w:p w14:paraId="685B935E" w14:textId="135870E5" w:rsidR="003F575E" w:rsidRPr="00322B33" w:rsidRDefault="003F575E"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5FEFFD0A" w:rsidR="00E97662" w:rsidRPr="008B18B1" w:rsidRDefault="00E97662">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008B18B1"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008B18B1" w:rsidRPr="008B18B1">
          <w:rPr>
            <w:rStyle w:val="Hyperlink"/>
            <w:rFonts w:asciiTheme="majorHAnsi" w:hAnsiTheme="majorHAnsi" w:cs="Arial"/>
          </w:rPr>
          <w:t>University of Dundee data protection website</w:t>
        </w:r>
      </w:hyperlink>
      <w:r w:rsidR="008B18B1" w:rsidRPr="008B18B1">
        <w:rPr>
          <w:rFonts w:asciiTheme="majorHAnsi" w:hAnsiTheme="majorHAnsi" w:cs="Arial"/>
        </w:rPr>
        <w:t xml:space="preserve"> and the </w:t>
      </w:r>
      <w:hyperlink r:id="rId3" w:history="1">
        <w:r w:rsidR="008B18B1" w:rsidRPr="008B18B1">
          <w:rPr>
            <w:rStyle w:val="Hyperlink"/>
            <w:rFonts w:asciiTheme="majorHAnsi" w:hAnsiTheme="majorHAnsi" w:cs="Arial"/>
          </w:rPr>
          <w:t>website of the Information Commissioner’s Office</w:t>
        </w:r>
      </w:hyperlink>
      <w:r w:rsidR="008B18B1" w:rsidRPr="008B18B1">
        <w:rPr>
          <w:rFonts w:asciiTheme="majorHAnsi" w:hAnsiTheme="majorHAnsi" w:cs="Arial"/>
        </w:rPr>
        <w:t>.</w:t>
      </w:r>
    </w:p>
  </w:footnote>
  <w:footnote w:id="3">
    <w:p w14:paraId="3DB16F0E" w14:textId="23A7157B" w:rsidR="003F575E" w:rsidRPr="008B18B1" w:rsidRDefault="003F575E"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anchor="!faq-3"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3455B0" w:rsidRPr="008B18B1"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A64DDD" w:rsidRPr="008B18B1">
        <w:rPr>
          <w:rFonts w:asciiTheme="majorHAnsi" w:hAnsiTheme="majorHAnsi"/>
        </w:rPr>
        <w:t>(Article 4(5) of the General Data Protection Regulation describes pseudonymisation as: “T</w:t>
      </w:r>
      <w:r w:rsidR="00122E8E" w:rsidRPr="008B18B1">
        <w:rPr>
          <w:rFonts w:asciiTheme="majorHAnsi" w:hAnsiTheme="majorHAnsi"/>
        </w:rPr>
        <w:t>he processing of personal data in such a way that the data can no longer be attributed to a specific data subject without the use of additional information</w:t>
      </w:r>
      <w:r w:rsidR="00A64DDD" w:rsidRPr="008B18B1">
        <w:rPr>
          <w:rFonts w:asciiTheme="majorHAnsi" w:hAnsiTheme="majorHAnsi"/>
        </w:rPr>
        <w:t>”. An example would be where a coded reference or pseudonym is</w:t>
      </w:r>
      <w:r w:rsidR="00E80FBE" w:rsidRPr="008B18B1">
        <w:rPr>
          <w:rFonts w:asciiTheme="majorHAnsi" w:hAnsiTheme="majorHAnsi"/>
        </w:rPr>
        <w:t xml:space="preserve"> substituted for personally identifiable data.</w:t>
      </w:r>
    </w:p>
  </w:footnote>
  <w:footnote w:id="5">
    <w:p w14:paraId="659A001E" w14:textId="07E52A2F" w:rsidR="003F575E" w:rsidRPr="003455B0"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1014E8" w:rsidRPr="008B18B1">
        <w:rPr>
          <w:rFonts w:asciiTheme="majorHAnsi" w:hAnsiTheme="majorHAnsi"/>
        </w:rPr>
        <w:t xml:space="preserve">The right to erasure under the General Data Protection Regulation does </w:t>
      </w:r>
      <w:r w:rsidR="00322B33" w:rsidRPr="008B18B1">
        <w:rPr>
          <w:rFonts w:asciiTheme="majorHAnsi" w:hAnsiTheme="majorHAnsi"/>
        </w:rPr>
        <w:t>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78A1" w14:textId="77777777" w:rsidR="001B29DE" w:rsidRDefault="001B2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7775" w14:textId="77777777" w:rsidR="005944D5" w:rsidRDefault="005944D5"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72190F" w:rsidRDefault="002144EA"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3796C608" w:rsidR="002144EA" w:rsidRPr="00F50501" w:rsidRDefault="00474297" w:rsidP="005944D5">
    <w:pPr>
      <w:pStyle w:val="Header"/>
      <w:jc w:val="right"/>
      <w:rPr>
        <w:rFonts w:asciiTheme="majorHAnsi" w:hAnsiTheme="majorHAnsi"/>
        <w:i/>
        <w:sz w:val="16"/>
        <w:szCs w:val="20"/>
      </w:rPr>
    </w:pPr>
    <w:r>
      <w:rPr>
        <w:rFonts w:asciiTheme="majorHAnsi" w:hAnsiTheme="majorHAnsi"/>
        <w:i/>
        <w:sz w:val="20"/>
        <w:szCs w:val="20"/>
      </w:rPr>
      <w:t xml:space="preserve">Version </w:t>
    </w:r>
    <w:r w:rsidR="00156C90">
      <w:rPr>
        <w:rFonts w:asciiTheme="majorHAnsi" w:hAnsiTheme="majorHAnsi"/>
        <w:i/>
        <w:sz w:val="20"/>
        <w:szCs w:val="20"/>
      </w:rPr>
      <w:t>5</w:t>
    </w:r>
    <w:r w:rsidR="00765851" w:rsidRPr="002B6312">
      <w:rPr>
        <w:rFonts w:asciiTheme="majorHAnsi" w:hAnsiTheme="majorHAnsi"/>
        <w:i/>
        <w:sz w:val="20"/>
        <w:szCs w:val="20"/>
      </w:rPr>
      <w:t xml:space="preserve">, </w:t>
    </w:r>
    <w:r w:rsidR="001B29DE">
      <w:rPr>
        <w:rFonts w:asciiTheme="majorHAnsi" w:hAnsiTheme="majorHAnsi"/>
        <w:i/>
        <w:sz w:val="20"/>
        <w:szCs w:val="20"/>
      </w:rPr>
      <w:t>1 March</w:t>
    </w:r>
    <w:r w:rsidR="00156C90">
      <w:rPr>
        <w:rFonts w:asciiTheme="majorHAnsi" w:hAnsiTheme="majorHAnsi"/>
        <w:i/>
        <w:sz w:val="20"/>
        <w:szCs w:val="20"/>
      </w:rPr>
      <w:t xml:space="preserve"> 2022</w:t>
    </w:r>
  </w:p>
  <w:p w14:paraId="7537C1A2" w14:textId="77777777" w:rsidR="002144EA" w:rsidRDefault="00214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E63D" w14:textId="77777777" w:rsidR="001B29DE" w:rsidRDefault="001B2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7C2A"/>
    <w:multiLevelType w:val="hybridMultilevel"/>
    <w:tmpl w:val="7BFE3450"/>
    <w:lvl w:ilvl="0" w:tplc="AC70B6F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095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0MDe3NDI1NDc0N7FQ0lEKTi0uzszPAykwqQUA+aSEISwAAAA="/>
  </w:docVars>
  <w:rsids>
    <w:rsidRoot w:val="00092FA8"/>
    <w:rsid w:val="0006603E"/>
    <w:rsid w:val="000664B0"/>
    <w:rsid w:val="00071E12"/>
    <w:rsid w:val="000771F5"/>
    <w:rsid w:val="00092E90"/>
    <w:rsid w:val="00092FA8"/>
    <w:rsid w:val="00097DDD"/>
    <w:rsid w:val="000A6E47"/>
    <w:rsid w:val="000B0C62"/>
    <w:rsid w:val="000C2422"/>
    <w:rsid w:val="000C7DAE"/>
    <w:rsid w:val="000D2262"/>
    <w:rsid w:val="000D458F"/>
    <w:rsid w:val="000E2AEE"/>
    <w:rsid w:val="000F6EC9"/>
    <w:rsid w:val="000F78B3"/>
    <w:rsid w:val="001014E8"/>
    <w:rsid w:val="001112E8"/>
    <w:rsid w:val="00122D25"/>
    <w:rsid w:val="00122E8E"/>
    <w:rsid w:val="00146F13"/>
    <w:rsid w:val="00156C90"/>
    <w:rsid w:val="0018532D"/>
    <w:rsid w:val="001A0C43"/>
    <w:rsid w:val="001A40BD"/>
    <w:rsid w:val="001A684C"/>
    <w:rsid w:val="001B29DE"/>
    <w:rsid w:val="001B3DCA"/>
    <w:rsid w:val="001B79E7"/>
    <w:rsid w:val="001E2F33"/>
    <w:rsid w:val="001F1ECE"/>
    <w:rsid w:val="002144EA"/>
    <w:rsid w:val="00221B8F"/>
    <w:rsid w:val="0026687A"/>
    <w:rsid w:val="0027386A"/>
    <w:rsid w:val="00294D4A"/>
    <w:rsid w:val="002A2D41"/>
    <w:rsid w:val="002B6312"/>
    <w:rsid w:val="002D7382"/>
    <w:rsid w:val="003073E4"/>
    <w:rsid w:val="00322B33"/>
    <w:rsid w:val="003231CB"/>
    <w:rsid w:val="0033433C"/>
    <w:rsid w:val="003434A4"/>
    <w:rsid w:val="003455B0"/>
    <w:rsid w:val="00345692"/>
    <w:rsid w:val="0037574A"/>
    <w:rsid w:val="00385C1E"/>
    <w:rsid w:val="003B7C24"/>
    <w:rsid w:val="003F575E"/>
    <w:rsid w:val="00406C01"/>
    <w:rsid w:val="004148E5"/>
    <w:rsid w:val="00437B70"/>
    <w:rsid w:val="00444FA9"/>
    <w:rsid w:val="004511E8"/>
    <w:rsid w:val="00451A8A"/>
    <w:rsid w:val="00474297"/>
    <w:rsid w:val="00477DDF"/>
    <w:rsid w:val="00480B65"/>
    <w:rsid w:val="004A0D7F"/>
    <w:rsid w:val="004A1C05"/>
    <w:rsid w:val="004A2D9C"/>
    <w:rsid w:val="004B03CE"/>
    <w:rsid w:val="004D03FB"/>
    <w:rsid w:val="004F0C60"/>
    <w:rsid w:val="004F7565"/>
    <w:rsid w:val="0052347E"/>
    <w:rsid w:val="0056707C"/>
    <w:rsid w:val="005753D9"/>
    <w:rsid w:val="0058028B"/>
    <w:rsid w:val="00582E7D"/>
    <w:rsid w:val="005944D5"/>
    <w:rsid w:val="005C2BB0"/>
    <w:rsid w:val="005D1B89"/>
    <w:rsid w:val="005F719D"/>
    <w:rsid w:val="00604C5D"/>
    <w:rsid w:val="00617B3F"/>
    <w:rsid w:val="006279CE"/>
    <w:rsid w:val="0063207D"/>
    <w:rsid w:val="00652D42"/>
    <w:rsid w:val="00663AAF"/>
    <w:rsid w:val="006D6556"/>
    <w:rsid w:val="006E7D12"/>
    <w:rsid w:val="00710110"/>
    <w:rsid w:val="00720924"/>
    <w:rsid w:val="0072190F"/>
    <w:rsid w:val="00723395"/>
    <w:rsid w:val="007426FC"/>
    <w:rsid w:val="0074432C"/>
    <w:rsid w:val="00755AEC"/>
    <w:rsid w:val="007566D2"/>
    <w:rsid w:val="00765851"/>
    <w:rsid w:val="0076636A"/>
    <w:rsid w:val="00767498"/>
    <w:rsid w:val="0077391A"/>
    <w:rsid w:val="00791344"/>
    <w:rsid w:val="0079187B"/>
    <w:rsid w:val="007F3220"/>
    <w:rsid w:val="00803127"/>
    <w:rsid w:val="008059A2"/>
    <w:rsid w:val="00812665"/>
    <w:rsid w:val="008371CD"/>
    <w:rsid w:val="0085321B"/>
    <w:rsid w:val="00871C82"/>
    <w:rsid w:val="00897BB3"/>
    <w:rsid w:val="008B18B1"/>
    <w:rsid w:val="008B2D70"/>
    <w:rsid w:val="008C083C"/>
    <w:rsid w:val="008C22ED"/>
    <w:rsid w:val="008C2601"/>
    <w:rsid w:val="008D56A3"/>
    <w:rsid w:val="008D5C14"/>
    <w:rsid w:val="008E1AAB"/>
    <w:rsid w:val="008F2ABF"/>
    <w:rsid w:val="008F2CB1"/>
    <w:rsid w:val="00900FF5"/>
    <w:rsid w:val="00903816"/>
    <w:rsid w:val="00911BC8"/>
    <w:rsid w:val="00917893"/>
    <w:rsid w:val="00925E7C"/>
    <w:rsid w:val="0092647B"/>
    <w:rsid w:val="00956C8D"/>
    <w:rsid w:val="0096579C"/>
    <w:rsid w:val="00980135"/>
    <w:rsid w:val="009823C5"/>
    <w:rsid w:val="0099089E"/>
    <w:rsid w:val="009A0766"/>
    <w:rsid w:val="009A2310"/>
    <w:rsid w:val="009A6202"/>
    <w:rsid w:val="009B29C3"/>
    <w:rsid w:val="009C51BC"/>
    <w:rsid w:val="009D3560"/>
    <w:rsid w:val="00A04A1E"/>
    <w:rsid w:val="00A07DF6"/>
    <w:rsid w:val="00A228CB"/>
    <w:rsid w:val="00A260D0"/>
    <w:rsid w:val="00A4514F"/>
    <w:rsid w:val="00A570D3"/>
    <w:rsid w:val="00A64DDD"/>
    <w:rsid w:val="00A654F3"/>
    <w:rsid w:val="00A91225"/>
    <w:rsid w:val="00AB02C2"/>
    <w:rsid w:val="00AB4F00"/>
    <w:rsid w:val="00AD3332"/>
    <w:rsid w:val="00AD4BFB"/>
    <w:rsid w:val="00AE22EC"/>
    <w:rsid w:val="00AE53F5"/>
    <w:rsid w:val="00AE55C8"/>
    <w:rsid w:val="00AF679E"/>
    <w:rsid w:val="00AF6EB7"/>
    <w:rsid w:val="00B37673"/>
    <w:rsid w:val="00B45F3C"/>
    <w:rsid w:val="00B61250"/>
    <w:rsid w:val="00B613D4"/>
    <w:rsid w:val="00BB1C64"/>
    <w:rsid w:val="00BC68BF"/>
    <w:rsid w:val="00BD5755"/>
    <w:rsid w:val="00BE46AE"/>
    <w:rsid w:val="00BE6BDE"/>
    <w:rsid w:val="00BF3B90"/>
    <w:rsid w:val="00BF7B16"/>
    <w:rsid w:val="00C35F57"/>
    <w:rsid w:val="00C362FD"/>
    <w:rsid w:val="00C3631F"/>
    <w:rsid w:val="00C37296"/>
    <w:rsid w:val="00C40D13"/>
    <w:rsid w:val="00C5036B"/>
    <w:rsid w:val="00C67147"/>
    <w:rsid w:val="00C852AB"/>
    <w:rsid w:val="00C903C4"/>
    <w:rsid w:val="00C9342E"/>
    <w:rsid w:val="00CA7623"/>
    <w:rsid w:val="00CC76D7"/>
    <w:rsid w:val="00CD38E2"/>
    <w:rsid w:val="00CD6736"/>
    <w:rsid w:val="00CE7FC0"/>
    <w:rsid w:val="00D14313"/>
    <w:rsid w:val="00D26818"/>
    <w:rsid w:val="00D36B53"/>
    <w:rsid w:val="00D423F2"/>
    <w:rsid w:val="00D50997"/>
    <w:rsid w:val="00D64194"/>
    <w:rsid w:val="00D95C70"/>
    <w:rsid w:val="00DA2928"/>
    <w:rsid w:val="00DD21E0"/>
    <w:rsid w:val="00DD7CA5"/>
    <w:rsid w:val="00DE1CC8"/>
    <w:rsid w:val="00DE2D93"/>
    <w:rsid w:val="00DF2BAF"/>
    <w:rsid w:val="00E0124D"/>
    <w:rsid w:val="00E04451"/>
    <w:rsid w:val="00E05328"/>
    <w:rsid w:val="00E169DC"/>
    <w:rsid w:val="00E24390"/>
    <w:rsid w:val="00E530F2"/>
    <w:rsid w:val="00E80FBE"/>
    <w:rsid w:val="00E83E48"/>
    <w:rsid w:val="00E874C2"/>
    <w:rsid w:val="00E97662"/>
    <w:rsid w:val="00EA0402"/>
    <w:rsid w:val="00EB065E"/>
    <w:rsid w:val="00EB06C1"/>
    <w:rsid w:val="00EE69C5"/>
    <w:rsid w:val="00EE7505"/>
    <w:rsid w:val="00EF31E9"/>
    <w:rsid w:val="00F00FF2"/>
    <w:rsid w:val="00F11321"/>
    <w:rsid w:val="00F13C86"/>
    <w:rsid w:val="00F27515"/>
    <w:rsid w:val="00F351F2"/>
    <w:rsid w:val="00F50501"/>
    <w:rsid w:val="00F55100"/>
    <w:rsid w:val="00F65FDA"/>
    <w:rsid w:val="00F6661A"/>
    <w:rsid w:val="00F76562"/>
    <w:rsid w:val="00F77E8C"/>
    <w:rsid w:val="00FA0BFE"/>
    <w:rsid w:val="00FD3711"/>
    <w:rsid w:val="00FE4701"/>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semiHidden/>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paragraph" w:styleId="ListParagraph">
    <w:name w:val="List Paragraph"/>
    <w:basedOn w:val="Normal"/>
    <w:uiPriority w:val="34"/>
    <w:qFormat/>
    <w:rsid w:val="00C362FD"/>
    <w:pPr>
      <w:ind w:left="720"/>
      <w:contextualSpacing/>
    </w:pPr>
  </w:style>
  <w:style w:type="character" w:customStyle="1" w:styleId="apple-converted-space">
    <w:name w:val="apple-converted-space"/>
    <w:basedOn w:val="DefaultParagraphFont"/>
    <w:rsid w:val="00C3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8294">
      <w:bodyDiv w:val="1"/>
      <w:marLeft w:val="0"/>
      <w:marRight w:val="0"/>
      <w:marTop w:val="0"/>
      <w:marBottom w:val="0"/>
      <w:divBdr>
        <w:top w:val="none" w:sz="0" w:space="0" w:color="auto"/>
        <w:left w:val="none" w:sz="0" w:space="0" w:color="auto"/>
        <w:bottom w:val="none" w:sz="0" w:space="0" w:color="auto"/>
        <w:right w:val="none" w:sz="0" w:space="0" w:color="auto"/>
      </w:divBdr>
    </w:div>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1038433256">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surveys.ac.uk" TargetMode="External"/><Relationship Id="rId13" Type="http://schemas.openxmlformats.org/officeDocument/2006/relationships/hyperlink" Target="https://www.dundee.ac.uk/media/dundeewebsite/ethics/documents/Forms-A-and-B-Research-Data-Management-Guidance-v1-10012019.pdf"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undee.ac.uk/media/dundeewebsite/ethics/documents/Forms-A-and-B-Research-Data-Management-Guidance-v1-10012019.pdf"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undee.ac.uk/media/dundeewebsite/ethics/documents/Code-of-Practice-for-Non-Clinical-Research-Ethics-v2-July%202016.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dundee.ac.uk"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dundee.ac.uk/safety/policy/general/spa44-2010/" TargetMode="External"/><Relationship Id="rId23" Type="http://schemas.openxmlformats.org/officeDocument/2006/relationships/header" Target="header3.xml"/><Relationship Id="rId10" Type="http://schemas.openxmlformats.org/officeDocument/2006/relationships/hyperlink" Target="https://ico.org.uk/for-organisations/guide-to-the-general-data-protection-regulation-gdpr/principles/lawfulness-fairness-and-transparenc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undee.ac.uk/media/dundeewebsite/ethics/documents/Forms-A-and-B-Research-Data-Management-Guidance-v1-10012019.pdf" TargetMode="External"/><Relationship Id="rId14" Type="http://schemas.openxmlformats.org/officeDocument/2006/relationships/hyperlink" Target="https://www.dundee.ac.uk/safety/policy/general/spa11-2002/"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research/governance-policy/policyroadma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C9E48-9DCD-4973-BD40-918557287E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Fruzsina Pittner (PG Research)</cp:lastModifiedBy>
  <cp:revision>2</cp:revision>
  <cp:lastPrinted>2017-02-27T12:24:00Z</cp:lastPrinted>
  <dcterms:created xsi:type="dcterms:W3CDTF">2022-08-19T12:37:00Z</dcterms:created>
  <dcterms:modified xsi:type="dcterms:W3CDTF">2022-08-19T12:37:00Z</dcterms:modified>
</cp:coreProperties>
</file>