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Operation Heist</w:t>
        <w:br/>
        <w:t>Contexto y avance</w:t>
      </w:r>
    </w:p>
    <w:p>
      <w:pPr>
        <w:pStyle w:val="Subtitle"/>
      </w:pPr>
      <w:r>
        <w:t>Documento para retomar el desarrollo · 29 de octubre de 2026</w:t>
      </w:r>
    </w:p>
    <w:p>
      <w:r>
        <w:t>El proyecto tiene un prototipo local con movimiento FPS, cuatro modelos propios e interacción de inspección por raycast. La siguiente entrega es el sistema de botín: recoger, cargar, soltar y depositar sin duplicaciones.</w:t>
      </w:r>
    </w:p>
    <w:p>
      <w:r>
        <w:t>Ese sistema fue solicitado, pero la tarea se interrumpió antes de modificar código o asignar pruebas a Cursor. Por tanto, sigue pendiente. Este informe distingue lo implementado, la evidencia disponible y el trabajo futuro.</w:t>
      </w:r>
    </w:p>
    <w:p>
      <w:pPr>
        <w:pStyle w:val="Heading2"/>
      </w:pPr>
      <w:r>
        <w:t>Estado comprobado</w:t>
      </w:r>
    </w:p>
    <w:tbl>
      <w:tblPr>
        <w:tblW w:type="auto" w:w="0"/>
        <w:tblLayout w:type="fixed"/>
        <w:tblLook w:firstColumn="1" w:firstRow="1" w:lastColumn="0" w:lastRow="0" w:noHBand="0" w:noVBand="1" w:val="04A0"/>
      </w:tblPr>
      <w:tblGrid>
        <w:gridCol w:w="2438"/>
        <w:gridCol w:w="7313"/>
      </w:tblGrid>
      <w:tr>
        <w:trPr>
          <w:cantSplit/>
          <w:tblHeader/>
        </w:trPr>
        <w:tc>
          <w:tcPr>
            <w:tcW w:type="dxa" w:w="2438"/>
            <w:vAlign w:val="center"/>
            <w:tcMar>
              <w:top w:w="90" w:type="dxa"/>
              <w:bottom w:w="90" w:type="dxa"/>
              <w:left w:w="110" w:type="dxa"/>
              <w:right w:w="110" w:type="dxa"/>
            </w:tcMar>
            <w:tcBorders>
              <w:top w:val="single" w:sz="4" w:color="D9D9D9"/>
              <w:bottom w:val="single" w:sz="4" w:color="D9D9D9"/>
              <w:left w:val="single" w:sz="4" w:color="D9D9D9"/>
              <w:right w:val="single" w:sz="4" w:color="D9D9D9"/>
            </w:tcBorders>
            <w:shd w:fill="223B4C"/>
          </w:tcPr>
          <w:p>
            <w:pPr>
              <w:spacing w:after="0" w:line="247" w:lineRule="auto"/>
            </w:pPr>
            <w:r>
              <w:rPr>
                <w:b/>
                <w:color w:val="FFFFFF"/>
                <w:sz w:val="20"/>
              </w:rPr>
              <w:t>Área</w:t>
            </w:r>
          </w:p>
        </w:tc>
        <w:tc>
          <w:tcPr>
            <w:tcW w:type="dxa" w:w="7313"/>
            <w:vAlign w:val="center"/>
            <w:tcMar>
              <w:top w:w="90" w:type="dxa"/>
              <w:bottom w:w="90" w:type="dxa"/>
              <w:left w:w="110" w:type="dxa"/>
              <w:right w:w="110" w:type="dxa"/>
            </w:tcMar>
            <w:tcBorders>
              <w:top w:val="single" w:sz="4" w:color="D9D9D9"/>
              <w:bottom w:val="single" w:sz="4" w:color="D9D9D9"/>
              <w:left w:val="single" w:sz="4" w:color="D9D9D9"/>
              <w:right w:val="single" w:sz="4" w:color="D9D9D9"/>
            </w:tcBorders>
            <w:shd w:fill="223B4C"/>
          </w:tcPr>
          <w:p>
            <w:pPr>
              <w:spacing w:after="0" w:line="247" w:lineRule="auto"/>
            </w:pPr>
            <w:r>
              <w:rPr>
                <w:b/>
                <w:color w:val="FFFFFF"/>
                <w:sz w:val="20"/>
              </w:rPr>
              <w:t>Situación al cierre</w:t>
            </w:r>
          </w:p>
        </w:tc>
      </w:tr>
      <w:tr>
        <w:trPr>
          <w:cantSplit/>
        </w:trPr>
        <w:tc>
          <w:tcPr>
            <w:tcW w:type="dxa" w:w="2438"/>
            <w:vAlign w:val="center"/>
            <w:tcMar>
              <w:top w:w="90" w:type="dxa"/>
              <w:bottom w:w="90" w:type="dxa"/>
              <w:left w:w="110" w:type="dxa"/>
              <w:right w:w="110" w:type="dxa"/>
            </w:tcMar>
            <w:tcBorders>
              <w:top w:val="single" w:sz="4" w:color="D9D9D9"/>
              <w:bottom w:val="single" w:sz="4" w:color="D9D9D9"/>
              <w:left w:val="single" w:sz="4" w:color="D9D9D9"/>
              <w:right w:val="single" w:sz="4" w:color="D9D9D9"/>
            </w:tcBorders>
            <w:shd w:fill="FFFFFF"/>
          </w:tcPr>
          <w:p>
            <w:pPr>
              <w:spacing w:after="0" w:line="247" w:lineRule="auto"/>
            </w:pPr>
            <w:r>
              <w:rPr>
                <w:b w:val="0"/>
                <w:color w:val="000000"/>
                <w:sz w:val="20"/>
              </w:rPr>
              <w:t>Movimiento FPS</w:t>
            </w:r>
          </w:p>
        </w:tc>
        <w:tc>
          <w:tcPr>
            <w:tcW w:type="dxa" w:w="7313"/>
            <w:vAlign w:val="center"/>
            <w:tcMar>
              <w:top w:w="90" w:type="dxa"/>
              <w:bottom w:w="90" w:type="dxa"/>
              <w:left w:w="110" w:type="dxa"/>
              <w:right w:w="110" w:type="dxa"/>
            </w:tcMar>
            <w:tcBorders>
              <w:top w:val="single" w:sz="4" w:color="D9D9D9"/>
              <w:bottom w:val="single" w:sz="4" w:color="D9D9D9"/>
              <w:left w:val="single" w:sz="4" w:color="D9D9D9"/>
              <w:right w:val="single" w:sz="4" w:color="D9D9D9"/>
            </w:tcBorders>
            <w:shd w:fill="FFFFFF"/>
          </w:tcPr>
          <w:p>
            <w:pPr>
              <w:spacing w:after="0" w:line="247" w:lineRule="auto"/>
            </w:pPr>
            <w:r>
              <w:rPr>
                <w:b w:val="0"/>
                <w:color w:val="000000"/>
                <w:sz w:val="20"/>
              </w:rPr>
              <w:t>Implementado y probado en Play Mode.</w:t>
            </w:r>
          </w:p>
        </w:tc>
      </w:tr>
      <w:tr>
        <w:trPr>
          <w:cantSplit/>
        </w:trPr>
        <w:tc>
          <w:tcPr>
            <w:tcW w:type="dxa" w:w="2438"/>
            <w:vAlign w:val="center"/>
            <w:tcMar>
              <w:top w:w="90" w:type="dxa"/>
              <w:bottom w:w="90" w:type="dxa"/>
              <w:left w:w="110" w:type="dxa"/>
              <w:right w:w="110" w:type="dxa"/>
            </w:tcMar>
            <w:tcBorders>
              <w:top w:val="single" w:sz="4" w:color="D9D9D9"/>
              <w:bottom w:val="single" w:sz="4" w:color="D9D9D9"/>
              <w:left w:val="single" w:sz="4" w:color="D9D9D9"/>
              <w:right w:val="single" w:sz="4" w:color="D9D9D9"/>
            </w:tcBorders>
            <w:shd w:fill="F3F6F8"/>
          </w:tcPr>
          <w:p>
            <w:pPr>
              <w:spacing w:after="0" w:line="247" w:lineRule="auto"/>
            </w:pPr>
            <w:r>
              <w:rPr>
                <w:b w:val="0"/>
                <w:color w:val="000000"/>
                <w:sz w:val="20"/>
              </w:rPr>
              <w:t>Modelos originales</w:t>
            </w:r>
          </w:p>
        </w:tc>
        <w:tc>
          <w:tcPr>
            <w:tcW w:type="dxa" w:w="7313"/>
            <w:vAlign w:val="center"/>
            <w:tcMar>
              <w:top w:w="90" w:type="dxa"/>
              <w:bottom w:w="90" w:type="dxa"/>
              <w:left w:w="110" w:type="dxa"/>
              <w:right w:w="110" w:type="dxa"/>
            </w:tcMar>
            <w:tcBorders>
              <w:top w:val="single" w:sz="4" w:color="D9D9D9"/>
              <w:bottom w:val="single" w:sz="4" w:color="D9D9D9"/>
              <w:left w:val="single" w:sz="4" w:color="D9D9D9"/>
              <w:right w:val="single" w:sz="4" w:color="D9D9D9"/>
            </w:tcBorders>
            <w:shd w:fill="F3F6F8"/>
          </w:tcPr>
          <w:p>
            <w:pPr>
              <w:spacing w:after="0" w:line="247" w:lineRule="auto"/>
            </w:pPr>
            <w:r>
              <w:rPr>
                <w:b w:val="0"/>
                <w:color w:val="000000"/>
                <w:sz w:val="20"/>
              </w:rPr>
              <w:t>4 props procedurales integrados; 6 materiales propios.</w:t>
            </w:r>
          </w:p>
        </w:tc>
      </w:tr>
      <w:tr>
        <w:trPr>
          <w:cantSplit/>
        </w:trPr>
        <w:tc>
          <w:tcPr>
            <w:tcW w:type="dxa" w:w="2438"/>
            <w:vAlign w:val="center"/>
            <w:tcMar>
              <w:top w:w="90" w:type="dxa"/>
              <w:bottom w:w="90" w:type="dxa"/>
              <w:left w:w="110" w:type="dxa"/>
              <w:right w:w="110" w:type="dxa"/>
            </w:tcMar>
            <w:tcBorders>
              <w:top w:val="single" w:sz="4" w:color="D9D9D9"/>
              <w:bottom w:val="single" w:sz="4" w:color="D9D9D9"/>
              <w:left w:val="single" w:sz="4" w:color="D9D9D9"/>
              <w:right w:val="single" w:sz="4" w:color="D9D9D9"/>
            </w:tcBorders>
            <w:shd w:fill="FFFFFF"/>
          </w:tcPr>
          <w:p>
            <w:pPr>
              <w:spacing w:after="0" w:line="247" w:lineRule="auto"/>
            </w:pPr>
            <w:r>
              <w:rPr>
                <w:b w:val="0"/>
                <w:color w:val="000000"/>
                <w:sz w:val="20"/>
              </w:rPr>
              <w:t>Interacción</w:t>
            </w:r>
          </w:p>
        </w:tc>
        <w:tc>
          <w:tcPr>
            <w:tcW w:type="dxa" w:w="7313"/>
            <w:vAlign w:val="center"/>
            <w:tcMar>
              <w:top w:w="90" w:type="dxa"/>
              <w:bottom w:w="90" w:type="dxa"/>
              <w:left w:w="110" w:type="dxa"/>
              <w:right w:w="110" w:type="dxa"/>
            </w:tcMar>
            <w:tcBorders>
              <w:top w:val="single" w:sz="4" w:color="D9D9D9"/>
              <w:bottom w:val="single" w:sz="4" w:color="D9D9D9"/>
              <w:left w:val="single" w:sz="4" w:color="D9D9D9"/>
              <w:right w:val="single" w:sz="4" w:color="D9D9D9"/>
            </w:tcBorders>
            <w:shd w:fill="FFFFFF"/>
          </w:tcPr>
          <w:p>
            <w:pPr>
              <w:spacing w:after="0" w:line="247" w:lineRule="auto"/>
            </w:pPr>
            <w:r>
              <w:rPr>
                <w:b w:val="0"/>
                <w:color w:val="000000"/>
                <w:sz w:val="20"/>
              </w:rPr>
              <w:t>Inspección con E, raycast y aviso contextual; no recoge objetos.</w:t>
            </w:r>
          </w:p>
        </w:tc>
      </w:tr>
      <w:tr>
        <w:trPr>
          <w:cantSplit/>
        </w:trPr>
        <w:tc>
          <w:tcPr>
            <w:tcW w:type="dxa" w:w="2438"/>
            <w:vAlign w:val="center"/>
            <w:tcMar>
              <w:top w:w="90" w:type="dxa"/>
              <w:bottom w:w="90" w:type="dxa"/>
              <w:left w:w="110" w:type="dxa"/>
              <w:right w:w="110" w:type="dxa"/>
            </w:tcMar>
            <w:tcBorders>
              <w:top w:val="single" w:sz="4" w:color="D9D9D9"/>
              <w:bottom w:val="single" w:sz="4" w:color="D9D9D9"/>
              <w:left w:val="single" w:sz="4" w:color="D9D9D9"/>
              <w:right w:val="single" w:sz="4" w:color="D9D9D9"/>
            </w:tcBorders>
            <w:shd w:fill="F3F6F8"/>
          </w:tcPr>
          <w:p>
            <w:pPr>
              <w:spacing w:after="0" w:line="247" w:lineRule="auto"/>
            </w:pPr>
            <w:r>
              <w:rPr>
                <w:b w:val="0"/>
                <w:color w:val="000000"/>
                <w:sz w:val="20"/>
              </w:rPr>
              <w:t>Pruebas de gameplay</w:t>
            </w:r>
          </w:p>
        </w:tc>
        <w:tc>
          <w:tcPr>
            <w:tcW w:type="dxa" w:w="7313"/>
            <w:vAlign w:val="center"/>
            <w:tcMar>
              <w:top w:w="90" w:type="dxa"/>
              <w:bottom w:w="90" w:type="dxa"/>
              <w:left w:w="110" w:type="dxa"/>
              <w:right w:w="110" w:type="dxa"/>
            </w:tcMar>
            <w:tcBorders>
              <w:top w:val="single" w:sz="4" w:color="D9D9D9"/>
              <w:bottom w:val="single" w:sz="4" w:color="D9D9D9"/>
              <w:left w:val="single" w:sz="4" w:color="D9D9D9"/>
              <w:right w:val="single" w:sz="4" w:color="D9D9D9"/>
            </w:tcBorders>
            <w:shd w:fill="F3F6F8"/>
          </w:tcPr>
          <w:p>
            <w:pPr>
              <w:spacing w:after="0" w:line="247" w:lineRule="auto"/>
            </w:pPr>
            <w:r>
              <w:rPr>
                <w:b w:val="0"/>
                <w:color w:val="000000"/>
                <w:sz w:val="20"/>
              </w:rPr>
              <w:t>Última evidencia: 23/23 Play Mode aprobadas.</w:t>
            </w:r>
          </w:p>
        </w:tc>
      </w:tr>
      <w:tr>
        <w:trPr>
          <w:cantSplit/>
        </w:trPr>
        <w:tc>
          <w:tcPr>
            <w:tcW w:type="dxa" w:w="2438"/>
            <w:vAlign w:val="center"/>
            <w:tcMar>
              <w:top w:w="90" w:type="dxa"/>
              <w:bottom w:w="90" w:type="dxa"/>
              <w:left w:w="110" w:type="dxa"/>
              <w:right w:w="110" w:type="dxa"/>
            </w:tcMar>
            <w:tcBorders>
              <w:top w:val="single" w:sz="4" w:color="D9D9D9"/>
              <w:bottom w:val="single" w:sz="4" w:color="D9D9D9"/>
              <w:left w:val="single" w:sz="4" w:color="D9D9D9"/>
              <w:right w:val="single" w:sz="4" w:color="D9D9D9"/>
            </w:tcBorders>
            <w:shd w:fill="FFFFFF"/>
          </w:tcPr>
          <w:p>
            <w:pPr>
              <w:spacing w:after="0" w:line="247" w:lineRule="auto"/>
            </w:pPr>
            <w:r>
              <w:rPr>
                <w:b w:val="0"/>
                <w:color w:val="000000"/>
                <w:sz w:val="20"/>
              </w:rPr>
              <w:t>Procedencia</w:t>
            </w:r>
          </w:p>
        </w:tc>
        <w:tc>
          <w:tcPr>
            <w:tcW w:type="dxa" w:w="7313"/>
            <w:vAlign w:val="center"/>
            <w:tcMar>
              <w:top w:w="90" w:type="dxa"/>
              <w:bottom w:w="90" w:type="dxa"/>
              <w:left w:w="110" w:type="dxa"/>
              <w:right w:w="110" w:type="dxa"/>
            </w:tcMar>
            <w:tcBorders>
              <w:top w:val="single" w:sz="4" w:color="D9D9D9"/>
              <w:bottom w:val="single" w:sz="4" w:color="D9D9D9"/>
              <w:left w:val="single" w:sz="4" w:color="D9D9D9"/>
              <w:right w:val="single" w:sz="4" w:color="D9D9D9"/>
            </w:tcBorders>
            <w:shd w:fill="FFFFFF"/>
          </w:tcPr>
          <w:p>
            <w:pPr>
              <w:spacing w:after="0" w:line="247" w:lineRule="auto"/>
            </w:pPr>
            <w:r>
              <w:rPr>
                <w:b w:val="0"/>
                <w:color w:val="000000"/>
                <w:sz w:val="20"/>
              </w:rPr>
              <w:t>Auditoría repetida para este informe: 39/39 archivos registrados.</w:t>
            </w:r>
          </w:p>
        </w:tc>
      </w:tr>
      <w:tr>
        <w:trPr>
          <w:cantSplit/>
        </w:trPr>
        <w:tc>
          <w:tcPr>
            <w:tcW w:type="dxa" w:w="2438"/>
            <w:vAlign w:val="center"/>
            <w:tcMar>
              <w:top w:w="90" w:type="dxa"/>
              <w:bottom w:w="90" w:type="dxa"/>
              <w:left w:w="110" w:type="dxa"/>
              <w:right w:w="110" w:type="dxa"/>
            </w:tcMar>
            <w:tcBorders>
              <w:top w:val="single" w:sz="4" w:color="D9D9D9"/>
              <w:bottom w:val="single" w:sz="4" w:color="D9D9D9"/>
              <w:left w:val="single" w:sz="4" w:color="D9D9D9"/>
              <w:right w:val="single" w:sz="4" w:color="D9D9D9"/>
            </w:tcBorders>
            <w:shd w:fill="F3F6F8"/>
          </w:tcPr>
          <w:p>
            <w:pPr>
              <w:spacing w:after="0" w:line="247" w:lineRule="auto"/>
            </w:pPr>
            <w:r>
              <w:rPr>
                <w:b w:val="0"/>
                <w:color w:val="000000"/>
                <w:sz w:val="20"/>
              </w:rPr>
              <w:t>Entorno y coordinación</w:t>
            </w:r>
          </w:p>
        </w:tc>
        <w:tc>
          <w:tcPr>
            <w:tcW w:type="dxa" w:w="7313"/>
            <w:vAlign w:val="center"/>
            <w:tcMar>
              <w:top w:w="90" w:type="dxa"/>
              <w:bottom w:w="90" w:type="dxa"/>
              <w:left w:w="110" w:type="dxa"/>
              <w:right w:w="110" w:type="dxa"/>
            </w:tcMar>
            <w:tcBorders>
              <w:top w:val="single" w:sz="4" w:color="D9D9D9"/>
              <w:bottom w:val="single" w:sz="4" w:color="D9D9D9"/>
              <w:left w:val="single" w:sz="4" w:color="D9D9D9"/>
              <w:right w:val="single" w:sz="4" w:color="D9D9D9"/>
            </w:tcBorders>
            <w:shd w:fill="F3F6F8"/>
          </w:tcPr>
          <w:p>
            <w:pPr>
              <w:spacing w:after="0" w:line="247" w:lineRule="auto"/>
            </w:pPr>
            <w:r>
              <w:rPr>
                <w:b w:val="0"/>
                <w:color w:val="000000"/>
                <w:sz w:val="20"/>
              </w:rPr>
              <w:t>Git local, C# en Cursor, contexto, skills y Agent CLI configurados.</w:t>
            </w:r>
          </w:p>
        </w:tc>
      </w:tr>
      <w:tr>
        <w:trPr>
          <w:cantSplit/>
        </w:trPr>
        <w:tc>
          <w:tcPr>
            <w:tcW w:type="dxa" w:w="2438"/>
            <w:vAlign w:val="center"/>
            <w:tcMar>
              <w:top w:w="90" w:type="dxa"/>
              <w:bottom w:w="90" w:type="dxa"/>
              <w:left w:w="110" w:type="dxa"/>
              <w:right w:w="110" w:type="dxa"/>
            </w:tcMar>
            <w:tcBorders>
              <w:top w:val="single" w:sz="4" w:color="D9D9D9"/>
              <w:bottom w:val="single" w:sz="4" w:color="D9D9D9"/>
              <w:left w:val="single" w:sz="4" w:color="D9D9D9"/>
              <w:right w:val="single" w:sz="4" w:color="D9D9D9"/>
            </w:tcBorders>
            <w:shd w:fill="FFFFFF"/>
          </w:tcPr>
          <w:p>
            <w:pPr>
              <w:spacing w:after="0" w:line="247" w:lineRule="auto"/>
            </w:pPr>
            <w:r>
              <w:rPr>
                <w:b w:val="0"/>
                <w:color w:val="000000"/>
                <w:sz w:val="20"/>
              </w:rPr>
              <w:t>Botín, red y misiones</w:t>
            </w:r>
          </w:p>
        </w:tc>
        <w:tc>
          <w:tcPr>
            <w:tcW w:type="dxa" w:w="7313"/>
            <w:vAlign w:val="center"/>
            <w:tcMar>
              <w:top w:w="90" w:type="dxa"/>
              <w:bottom w:w="90" w:type="dxa"/>
              <w:left w:w="110" w:type="dxa"/>
              <w:right w:w="110" w:type="dxa"/>
            </w:tcMar>
            <w:tcBorders>
              <w:top w:val="single" w:sz="4" w:color="D9D9D9"/>
              <w:bottom w:val="single" w:sz="4" w:color="D9D9D9"/>
              <w:left w:val="single" w:sz="4" w:color="D9D9D9"/>
              <w:right w:val="single" w:sz="4" w:color="D9D9D9"/>
            </w:tcBorders>
            <w:shd w:fill="FFFFFF"/>
          </w:tcPr>
          <w:p>
            <w:pPr>
              <w:spacing w:after="0" w:line="247" w:lineRule="auto"/>
            </w:pPr>
            <w:r>
              <w:rPr>
                <w:b w:val="0"/>
                <w:color w:val="000000"/>
                <w:sz w:val="20"/>
              </w:rPr>
              <w:t>Pendientes; no hay cooperación en red implementada.</w:t>
            </w:r>
          </w:p>
        </w:tc>
      </w:tr>
      <w:tr>
        <w:trPr>
          <w:cantSplit/>
        </w:trPr>
        <w:tc>
          <w:tcPr>
            <w:tcW w:type="dxa" w:w="2438"/>
            <w:vAlign w:val="center"/>
            <w:tcMar>
              <w:top w:w="90" w:type="dxa"/>
              <w:bottom w:w="90" w:type="dxa"/>
              <w:left w:w="110" w:type="dxa"/>
              <w:right w:w="110" w:type="dxa"/>
            </w:tcMar>
            <w:tcBorders>
              <w:top w:val="single" w:sz="4" w:color="D9D9D9"/>
              <w:bottom w:val="single" w:sz="4" w:color="D9D9D9"/>
              <w:left w:val="single" w:sz="4" w:color="D9D9D9"/>
              <w:right w:val="single" w:sz="4" w:color="D9D9D9"/>
            </w:tcBorders>
            <w:shd w:fill="F3F6F8"/>
          </w:tcPr>
          <w:p>
            <w:pPr>
              <w:spacing w:after="0" w:line="247" w:lineRule="auto"/>
            </w:pPr>
            <w:r>
              <w:rPr>
                <w:b w:val="0"/>
                <w:color w:val="000000"/>
                <w:sz w:val="20"/>
              </w:rPr>
              <w:t>Hunyuan y ejecutable</w:t>
            </w:r>
          </w:p>
        </w:tc>
        <w:tc>
          <w:tcPr>
            <w:tcW w:type="dxa" w:w="7313"/>
            <w:vAlign w:val="center"/>
            <w:tcMar>
              <w:top w:w="90" w:type="dxa"/>
              <w:bottom w:w="90" w:type="dxa"/>
              <w:left w:w="110" w:type="dxa"/>
              <w:right w:w="110" w:type="dxa"/>
            </w:tcMar>
            <w:tcBorders>
              <w:top w:val="single" w:sz="4" w:color="D9D9D9"/>
              <w:bottom w:val="single" w:sz="4" w:color="D9D9D9"/>
              <w:left w:val="single" w:sz="4" w:color="D9D9D9"/>
              <w:right w:val="single" w:sz="4" w:color="D9D9D9"/>
            </w:tcBorders>
            <w:shd w:fill="F3F6F8"/>
          </w:tcPr>
          <w:p>
            <w:pPr>
              <w:spacing w:after="0" w:line="247" w:lineRule="auto"/>
            </w:pPr>
            <w:r>
              <w:rPr>
                <w:b w:val="0"/>
                <w:color w:val="000000"/>
                <w:sz w:val="20"/>
              </w:rPr>
              <w:t>Generación/importación manual y build Windows pendientes.</w:t>
            </w:r>
          </w:p>
        </w:tc>
      </w:tr>
    </w:tbl>
    <w:p>
      <w:pPr>
        <w:spacing w:after="0"/>
      </w:pPr>
    </w:p>
    <w:p>
      <w:pPr>
        <w:pStyle w:val="Heading2"/>
      </w:pPr>
      <w:r>
        <w:t>Punto de referencia</w:t>
      </w:r>
    </w:p>
    <w:p>
      <w:r>
        <w:t>Carpeta de trabajo: D:\ae\Operation Heist. Editor: Unity 6000.5.6f1. Escena: Assets/00_Scenes/FPSPrototype.unity. Rama local: main; último commit de gameplay: af485ad. El árbol estaba limpio antes de preparar este informe.</w:t>
      </w:r>
    </w:p>
    <w:p>
      <w:r>
        <w:t>Repositorio identificado: github.com/daer-1701/Operation-Heist, público. La subida solicitada en esta entrega corresponde a este documento; no debe asumirse que el código local del juego está sincronizado con el remoto.</w:t>
      </w:r>
    </w:p>
    <w:p>
      <w:r>
        <w:t>Codex es el desarrollador principal. Cursor Agent CLI apoya con tareas acotadas, especialmente pruebas, y Codex revisa sus resultados antes de dar una tarea por terminada.</w:t>
      </w:r>
    </w:p>
    <w:p>
      <w:r>
        <w:br w:type="page"/>
      </w:r>
    </w:p>
    <w:p>
      <w:pPr>
        <w:pStyle w:val="Heading1"/>
      </w:pPr>
      <w:r>
        <w:t>1 Contexto del juego y reglas vigentes</w:t>
      </w:r>
    </w:p>
    <w:p>
      <w:r>
        <w:t>El GDD plantea un FPS de atracos cooperativo para Windows y de 1 a 4 jugadores. El objetivo inicial es una tienda y un banco. La planificación original de 12 semanas a 20 horas semanales equivale a 240 horas; no representa avance ejecutado ni una garantía de entrega.</w:t>
      </w:r>
    </w:p>
    <w:p>
      <w:r>
        <w:t>La obligación de producir recursos originales aumenta el trabajo artístico. Las dos misiones quedan condicionadas a capacidad; priorizar una misión completa si es necesario y mantener congelada la expansión a capítulos 3–5.</w:t>
      </w:r>
    </w:p>
    <w:p>
      <w:pPr>
        <w:pStyle w:val="Heading2"/>
      </w:pPr>
      <w:r>
        <w:t>La política actual prevalece sobre el GDD original</w:t>
      </w:r>
    </w:p>
    <w:p>
      <w:r>
        <w:t>Operation_Heist_GDD_Completo_Interno_v2.docx se conserva como antecedente y no fue reescrito. Docs/GDD-AssetPolicy.md anula las recomendaciones de Kenney, KayKit, Mixamo, Freesound y recursos de Asset Store que contradigan la nueva regla.</w:t>
      </w:r>
    </w:p>
    <w:p>
      <w:pPr>
        <w:pStyle w:val="ListBullet"/>
      </w:pPr>
      <w:r>
        <w:t>No usar contenido de terceros de packs gratuitos, aunque sea CC0: modelos, texturas, audio, animaciones, UI, fuentes y prefabs. No comprar sustitutos automáticamente.</w:t>
      </w:r>
    </w:p>
    <w:p>
      <w:pPr>
        <w:pStyle w:val="ListBullet"/>
      </w:pPr>
      <w:r>
        <w:t>Crear contenido propio y registrar herramienta, receta o prompt, fecha y modificaciones en Docs/AssetManifest.csv. Codex/procedural y generación original en Hunyuan están autorizados por el usuario.</w:t>
      </w:r>
    </w:p>
    <w:p>
      <w:pPr>
        <w:pStyle w:val="ListBullet"/>
      </w:pPr>
      <w:r>
        <w:t>Conservar Unity, paquetes técnicos y primitivas como herramientas. Esta interpretación sigue siendo provisional si la institución exige un criterio más amplio.</w:t>
      </w:r>
    </w:p>
    <w:p>
      <w:pPr>
        <w:pStyle w:val="ListBullet"/>
      </w:pPr>
      <w:r>
        <w:t>No atribuir a una persona autoría exclusiva de recursos generados con IA ni afirmar una aprobación institucional que no está documentada.</w:t>
      </w:r>
    </w:p>
    <w:p>
      <w:pPr>
        <w:pStyle w:val="Heading2"/>
      </w:pPr>
      <w:r>
        <w:t>Estructura de Assets definida por el usuario</w:t>
      </w:r>
    </w:p>
    <w:tbl>
      <w:tblPr>
        <w:tblW w:type="auto" w:w="0"/>
        <w:tblLayout w:type="fixed"/>
        <w:tblLook w:firstColumn="1" w:firstRow="1" w:lastColumn="0" w:lastRow="0" w:noHBand="0" w:noVBand="1" w:val="04A0"/>
      </w:tblPr>
      <w:tblGrid>
        <w:gridCol w:w="2438"/>
        <w:gridCol w:w="7313"/>
      </w:tblGrid>
      <w:tr>
        <w:trPr>
          <w:cantSplit/>
          <w:tblHeader/>
        </w:trPr>
        <w:tc>
          <w:tcPr>
            <w:tcW w:type="dxa" w:w="2438"/>
            <w:vAlign w:val="center"/>
            <w:tcMar>
              <w:top w:w="90" w:type="dxa"/>
              <w:bottom w:w="90" w:type="dxa"/>
              <w:left w:w="110" w:type="dxa"/>
              <w:right w:w="110" w:type="dxa"/>
            </w:tcMar>
            <w:tcBorders>
              <w:top w:val="single" w:sz="4" w:color="D9D9D9"/>
              <w:bottom w:val="single" w:sz="4" w:color="D9D9D9"/>
              <w:left w:val="single" w:sz="4" w:color="D9D9D9"/>
              <w:right w:val="single" w:sz="4" w:color="D9D9D9"/>
            </w:tcBorders>
            <w:shd w:fill="223B4C"/>
          </w:tcPr>
          <w:p>
            <w:pPr>
              <w:spacing w:after="0" w:line="247" w:lineRule="auto"/>
            </w:pPr>
            <w:r>
              <w:rPr>
                <w:b/>
                <w:color w:val="FFFFFF"/>
                <w:sz w:val="20"/>
              </w:rPr>
              <w:t>Carpeta</w:t>
            </w:r>
          </w:p>
        </w:tc>
        <w:tc>
          <w:tcPr>
            <w:tcW w:type="dxa" w:w="7313"/>
            <w:vAlign w:val="center"/>
            <w:tcMar>
              <w:top w:w="90" w:type="dxa"/>
              <w:bottom w:w="90" w:type="dxa"/>
              <w:left w:w="110" w:type="dxa"/>
              <w:right w:w="110" w:type="dxa"/>
            </w:tcMar>
            <w:tcBorders>
              <w:top w:val="single" w:sz="4" w:color="D9D9D9"/>
              <w:bottom w:val="single" w:sz="4" w:color="D9D9D9"/>
              <w:left w:val="single" w:sz="4" w:color="D9D9D9"/>
              <w:right w:val="single" w:sz="4" w:color="D9D9D9"/>
            </w:tcBorders>
            <w:shd w:fill="223B4C"/>
          </w:tcPr>
          <w:p>
            <w:pPr>
              <w:spacing w:after="0" w:line="247" w:lineRule="auto"/>
            </w:pPr>
            <w:r>
              <w:rPr>
                <w:b/>
                <w:color w:val="FFFFFF"/>
                <w:sz w:val="20"/>
              </w:rPr>
              <w:t>Uso</w:t>
            </w:r>
          </w:p>
        </w:tc>
      </w:tr>
      <w:tr>
        <w:trPr>
          <w:cantSplit/>
        </w:trPr>
        <w:tc>
          <w:tcPr>
            <w:tcW w:type="dxa" w:w="2438"/>
            <w:vAlign w:val="center"/>
            <w:tcMar>
              <w:top w:w="90" w:type="dxa"/>
              <w:bottom w:w="90" w:type="dxa"/>
              <w:left w:w="110" w:type="dxa"/>
              <w:right w:w="110" w:type="dxa"/>
            </w:tcMar>
            <w:tcBorders>
              <w:top w:val="single" w:sz="4" w:color="D9D9D9"/>
              <w:bottom w:val="single" w:sz="4" w:color="D9D9D9"/>
              <w:left w:val="single" w:sz="4" w:color="D9D9D9"/>
              <w:right w:val="single" w:sz="4" w:color="D9D9D9"/>
            </w:tcBorders>
            <w:shd w:fill="FFFFFF"/>
          </w:tcPr>
          <w:p>
            <w:pPr>
              <w:spacing w:after="0" w:line="247" w:lineRule="auto"/>
            </w:pPr>
            <w:r>
              <w:rPr>
                <w:b w:val="0"/>
                <w:color w:val="000000"/>
                <w:sz w:val="20"/>
              </w:rPr>
              <w:t>00_Scenes</w:t>
            </w:r>
          </w:p>
        </w:tc>
        <w:tc>
          <w:tcPr>
            <w:tcW w:type="dxa" w:w="7313"/>
            <w:vAlign w:val="center"/>
            <w:tcMar>
              <w:top w:w="90" w:type="dxa"/>
              <w:bottom w:w="90" w:type="dxa"/>
              <w:left w:w="110" w:type="dxa"/>
              <w:right w:w="110" w:type="dxa"/>
            </w:tcMar>
            <w:tcBorders>
              <w:top w:val="single" w:sz="4" w:color="D9D9D9"/>
              <w:bottom w:val="single" w:sz="4" w:color="D9D9D9"/>
              <w:left w:val="single" w:sz="4" w:color="D9D9D9"/>
              <w:right w:val="single" w:sz="4" w:color="D9D9D9"/>
            </w:tcBorders>
            <w:shd w:fill="FFFFFF"/>
          </w:tcPr>
          <w:p>
            <w:pPr>
              <w:spacing w:after="0" w:line="247" w:lineRule="auto"/>
            </w:pPr>
            <w:r>
              <w:rPr>
                <w:b w:val="0"/>
                <w:color w:val="000000"/>
                <w:sz w:val="20"/>
              </w:rPr>
              <w:t>Escenas; FPSPrototype es la escena actual de build.</w:t>
            </w:r>
          </w:p>
        </w:tc>
      </w:tr>
      <w:tr>
        <w:trPr>
          <w:cantSplit/>
        </w:trPr>
        <w:tc>
          <w:tcPr>
            <w:tcW w:type="dxa" w:w="2438"/>
            <w:vAlign w:val="center"/>
            <w:tcMar>
              <w:top w:w="90" w:type="dxa"/>
              <w:bottom w:w="90" w:type="dxa"/>
              <w:left w:w="110" w:type="dxa"/>
              <w:right w:w="110" w:type="dxa"/>
            </w:tcMar>
            <w:tcBorders>
              <w:top w:val="single" w:sz="4" w:color="D9D9D9"/>
              <w:bottom w:val="single" w:sz="4" w:color="D9D9D9"/>
              <w:left w:val="single" w:sz="4" w:color="D9D9D9"/>
              <w:right w:val="single" w:sz="4" w:color="D9D9D9"/>
            </w:tcBorders>
            <w:shd w:fill="F3F6F8"/>
          </w:tcPr>
          <w:p>
            <w:pPr>
              <w:spacing w:after="0" w:line="247" w:lineRule="auto"/>
            </w:pPr>
            <w:r>
              <w:rPr>
                <w:b w:val="0"/>
                <w:color w:val="000000"/>
                <w:sz w:val="20"/>
              </w:rPr>
              <w:t>01_Scripts</w:t>
            </w:r>
          </w:p>
        </w:tc>
        <w:tc>
          <w:tcPr>
            <w:tcW w:type="dxa" w:w="7313"/>
            <w:vAlign w:val="center"/>
            <w:tcMar>
              <w:top w:w="90" w:type="dxa"/>
              <w:bottom w:w="90" w:type="dxa"/>
              <w:left w:w="110" w:type="dxa"/>
              <w:right w:w="110" w:type="dxa"/>
            </w:tcMar>
            <w:tcBorders>
              <w:top w:val="single" w:sz="4" w:color="D9D9D9"/>
              <w:bottom w:val="single" w:sz="4" w:color="D9D9D9"/>
              <w:left w:val="single" w:sz="4" w:color="D9D9D9"/>
              <w:right w:val="single" w:sz="4" w:color="D9D9D9"/>
            </w:tcBorders>
            <w:shd w:fill="F3F6F8"/>
          </w:tcPr>
          <w:p>
            <w:pPr>
              <w:spacing w:after="0" w:line="247" w:lineRule="auto"/>
            </w:pPr>
            <w:r>
              <w:rPr>
                <w:b w:val="0"/>
                <w:color w:val="000000"/>
                <w:sz w:val="20"/>
              </w:rPr>
              <w:t>Gameplay, UI desde código, herramientas Editor y pruebas.</w:t>
            </w:r>
          </w:p>
        </w:tc>
      </w:tr>
      <w:tr>
        <w:trPr>
          <w:cantSplit/>
        </w:trPr>
        <w:tc>
          <w:tcPr>
            <w:tcW w:type="dxa" w:w="2438"/>
            <w:vAlign w:val="center"/>
            <w:tcMar>
              <w:top w:w="90" w:type="dxa"/>
              <w:bottom w:w="90" w:type="dxa"/>
              <w:left w:w="110" w:type="dxa"/>
              <w:right w:w="110" w:type="dxa"/>
            </w:tcMar>
            <w:tcBorders>
              <w:top w:val="single" w:sz="4" w:color="D9D9D9"/>
              <w:bottom w:val="single" w:sz="4" w:color="D9D9D9"/>
              <w:left w:val="single" w:sz="4" w:color="D9D9D9"/>
              <w:right w:val="single" w:sz="4" w:color="D9D9D9"/>
            </w:tcBorders>
            <w:shd w:fill="FFFFFF"/>
          </w:tcPr>
          <w:p>
            <w:pPr>
              <w:spacing w:after="0" w:line="247" w:lineRule="auto"/>
            </w:pPr>
            <w:r>
              <w:rPr>
                <w:b w:val="0"/>
                <w:color w:val="000000"/>
                <w:sz w:val="20"/>
              </w:rPr>
              <w:t>02_Prefabs</w:t>
            </w:r>
          </w:p>
        </w:tc>
        <w:tc>
          <w:tcPr>
            <w:tcW w:type="dxa" w:w="7313"/>
            <w:vAlign w:val="center"/>
            <w:tcMar>
              <w:top w:w="90" w:type="dxa"/>
              <w:bottom w:w="90" w:type="dxa"/>
              <w:left w:w="110" w:type="dxa"/>
              <w:right w:w="110" w:type="dxa"/>
            </w:tcMar>
            <w:tcBorders>
              <w:top w:val="single" w:sz="4" w:color="D9D9D9"/>
              <w:bottom w:val="single" w:sz="4" w:color="D9D9D9"/>
              <w:left w:val="single" w:sz="4" w:color="D9D9D9"/>
              <w:right w:val="single" w:sz="4" w:color="D9D9D9"/>
            </w:tcBorders>
            <w:shd w:fill="FFFFFF"/>
          </w:tcPr>
          <w:p>
            <w:pPr>
              <w:spacing w:after="0" w:line="247" w:lineRule="auto"/>
            </w:pPr>
            <w:r>
              <w:rPr>
                <w:b w:val="0"/>
                <w:color w:val="000000"/>
                <w:sz w:val="20"/>
              </w:rPr>
              <w:t>Jugador y props reutilizables.</w:t>
            </w:r>
          </w:p>
        </w:tc>
      </w:tr>
      <w:tr>
        <w:trPr>
          <w:cantSplit/>
        </w:trPr>
        <w:tc>
          <w:tcPr>
            <w:tcW w:type="dxa" w:w="2438"/>
            <w:vAlign w:val="center"/>
            <w:tcMar>
              <w:top w:w="90" w:type="dxa"/>
              <w:bottom w:w="90" w:type="dxa"/>
              <w:left w:w="110" w:type="dxa"/>
              <w:right w:w="110" w:type="dxa"/>
            </w:tcMar>
            <w:tcBorders>
              <w:top w:val="single" w:sz="4" w:color="D9D9D9"/>
              <w:bottom w:val="single" w:sz="4" w:color="D9D9D9"/>
              <w:left w:val="single" w:sz="4" w:color="D9D9D9"/>
              <w:right w:val="single" w:sz="4" w:color="D9D9D9"/>
            </w:tcBorders>
            <w:shd w:fill="F3F6F8"/>
          </w:tcPr>
          <w:p>
            <w:pPr>
              <w:spacing w:after="0" w:line="247" w:lineRule="auto"/>
            </w:pPr>
            <w:r>
              <w:rPr>
                <w:b w:val="0"/>
                <w:color w:val="000000"/>
                <w:sz w:val="20"/>
              </w:rPr>
              <w:t>03_Materials</w:t>
            </w:r>
          </w:p>
        </w:tc>
        <w:tc>
          <w:tcPr>
            <w:tcW w:type="dxa" w:w="7313"/>
            <w:vAlign w:val="center"/>
            <w:tcMar>
              <w:top w:w="90" w:type="dxa"/>
              <w:bottom w:w="90" w:type="dxa"/>
              <w:left w:w="110" w:type="dxa"/>
              <w:right w:w="110" w:type="dxa"/>
            </w:tcMar>
            <w:tcBorders>
              <w:top w:val="single" w:sz="4" w:color="D9D9D9"/>
              <w:bottom w:val="single" w:sz="4" w:color="D9D9D9"/>
              <w:left w:val="single" w:sz="4" w:color="D9D9D9"/>
              <w:right w:val="single" w:sz="4" w:color="D9D9D9"/>
            </w:tcBorders>
            <w:shd w:fill="F3F6F8"/>
          </w:tcPr>
          <w:p>
            <w:pPr>
              <w:spacing w:after="0" w:line="247" w:lineRule="auto"/>
            </w:pPr>
            <w:r>
              <w:rPr>
                <w:b w:val="0"/>
                <w:color w:val="000000"/>
                <w:sz w:val="20"/>
              </w:rPr>
              <w:t>Materiales propios con shaders del motor.</w:t>
            </w:r>
          </w:p>
        </w:tc>
      </w:tr>
      <w:tr>
        <w:trPr>
          <w:cantSplit/>
        </w:trPr>
        <w:tc>
          <w:tcPr>
            <w:tcW w:type="dxa" w:w="2438"/>
            <w:vAlign w:val="center"/>
            <w:tcMar>
              <w:top w:w="90" w:type="dxa"/>
              <w:bottom w:w="90" w:type="dxa"/>
              <w:left w:w="110" w:type="dxa"/>
              <w:right w:w="110" w:type="dxa"/>
            </w:tcMar>
            <w:tcBorders>
              <w:top w:val="single" w:sz="4" w:color="D9D9D9"/>
              <w:bottom w:val="single" w:sz="4" w:color="D9D9D9"/>
              <w:left w:val="single" w:sz="4" w:color="D9D9D9"/>
              <w:right w:val="single" w:sz="4" w:color="D9D9D9"/>
            </w:tcBorders>
            <w:shd w:fill="FFFFFF"/>
          </w:tcPr>
          <w:p>
            <w:pPr>
              <w:spacing w:after="0" w:line="247" w:lineRule="auto"/>
            </w:pPr>
            <w:r>
              <w:rPr>
                <w:b w:val="0"/>
                <w:color w:val="000000"/>
                <w:sz w:val="20"/>
              </w:rPr>
              <w:t>04_Models</w:t>
            </w:r>
          </w:p>
        </w:tc>
        <w:tc>
          <w:tcPr>
            <w:tcW w:type="dxa" w:w="7313"/>
            <w:vAlign w:val="center"/>
            <w:tcMar>
              <w:top w:w="90" w:type="dxa"/>
              <w:bottom w:w="90" w:type="dxa"/>
              <w:left w:w="110" w:type="dxa"/>
              <w:right w:w="110" w:type="dxa"/>
            </w:tcMar>
            <w:tcBorders>
              <w:top w:val="single" w:sz="4" w:color="D9D9D9"/>
              <w:bottom w:val="single" w:sz="4" w:color="D9D9D9"/>
              <w:left w:val="single" w:sz="4" w:color="D9D9D9"/>
              <w:right w:val="single" w:sz="4" w:color="D9D9D9"/>
            </w:tcBorders>
            <w:shd w:fill="FFFFFF"/>
          </w:tcPr>
          <w:p>
            <w:pPr>
              <w:spacing w:after="0" w:line="247" w:lineRule="auto"/>
            </w:pPr>
            <w:r>
              <w:rPr>
                <w:b w:val="0"/>
                <w:color w:val="000000"/>
                <w:sz w:val="20"/>
              </w:rPr>
              <w:t>Meshes propios; kit de Codex en Codex/.</w:t>
            </w:r>
          </w:p>
        </w:tc>
      </w:tr>
      <w:tr>
        <w:trPr>
          <w:cantSplit/>
        </w:trPr>
        <w:tc>
          <w:tcPr>
            <w:tcW w:type="dxa" w:w="2438"/>
            <w:vAlign w:val="center"/>
            <w:tcMar>
              <w:top w:w="90" w:type="dxa"/>
              <w:bottom w:w="90" w:type="dxa"/>
              <w:left w:w="110" w:type="dxa"/>
              <w:right w:w="110" w:type="dxa"/>
            </w:tcMar>
            <w:tcBorders>
              <w:top w:val="single" w:sz="4" w:color="D9D9D9"/>
              <w:bottom w:val="single" w:sz="4" w:color="D9D9D9"/>
              <w:left w:val="single" w:sz="4" w:color="D9D9D9"/>
              <w:right w:val="single" w:sz="4" w:color="D9D9D9"/>
            </w:tcBorders>
            <w:shd w:fill="F3F6F8"/>
          </w:tcPr>
          <w:p>
            <w:pPr>
              <w:spacing w:after="0" w:line="247" w:lineRule="auto"/>
            </w:pPr>
            <w:r>
              <w:rPr>
                <w:b w:val="0"/>
                <w:color w:val="000000"/>
                <w:sz w:val="20"/>
              </w:rPr>
              <w:t>05_Textures</w:t>
            </w:r>
          </w:p>
        </w:tc>
        <w:tc>
          <w:tcPr>
            <w:tcW w:type="dxa" w:w="7313"/>
            <w:vAlign w:val="center"/>
            <w:tcMar>
              <w:top w:w="90" w:type="dxa"/>
              <w:bottom w:w="90" w:type="dxa"/>
              <w:left w:w="110" w:type="dxa"/>
              <w:right w:w="110" w:type="dxa"/>
            </w:tcMar>
            <w:tcBorders>
              <w:top w:val="single" w:sz="4" w:color="D9D9D9"/>
              <w:bottom w:val="single" w:sz="4" w:color="D9D9D9"/>
              <w:left w:val="single" w:sz="4" w:color="D9D9D9"/>
              <w:right w:val="single" w:sz="4" w:color="D9D9D9"/>
            </w:tcBorders>
            <w:shd w:fill="F3F6F8"/>
          </w:tcPr>
          <w:p>
            <w:pPr>
              <w:spacing w:after="0" w:line="247" w:lineRule="auto"/>
            </w:pPr>
            <w:r>
              <w:rPr>
                <w:b w:val="0"/>
                <w:color w:val="000000"/>
                <w:sz w:val="20"/>
              </w:rPr>
              <w:t>Texturas originales; sin contenido de juego todavía.</w:t>
            </w:r>
          </w:p>
        </w:tc>
      </w:tr>
      <w:tr>
        <w:trPr>
          <w:cantSplit/>
        </w:trPr>
        <w:tc>
          <w:tcPr>
            <w:tcW w:type="dxa" w:w="2438"/>
            <w:vAlign w:val="center"/>
            <w:tcMar>
              <w:top w:w="90" w:type="dxa"/>
              <w:bottom w:w="90" w:type="dxa"/>
              <w:left w:w="110" w:type="dxa"/>
              <w:right w:w="110" w:type="dxa"/>
            </w:tcMar>
            <w:tcBorders>
              <w:top w:val="single" w:sz="4" w:color="D9D9D9"/>
              <w:bottom w:val="single" w:sz="4" w:color="D9D9D9"/>
              <w:left w:val="single" w:sz="4" w:color="D9D9D9"/>
              <w:right w:val="single" w:sz="4" w:color="D9D9D9"/>
            </w:tcBorders>
            <w:shd w:fill="FFFFFF"/>
          </w:tcPr>
          <w:p>
            <w:pPr>
              <w:spacing w:after="0" w:line="247" w:lineRule="auto"/>
            </w:pPr>
            <w:r>
              <w:rPr>
                <w:b w:val="0"/>
                <w:color w:val="000000"/>
                <w:sz w:val="20"/>
              </w:rPr>
              <w:t>06_UI</w:t>
            </w:r>
          </w:p>
        </w:tc>
        <w:tc>
          <w:tcPr>
            <w:tcW w:type="dxa" w:w="7313"/>
            <w:vAlign w:val="center"/>
            <w:tcMar>
              <w:top w:w="90" w:type="dxa"/>
              <w:bottom w:w="90" w:type="dxa"/>
              <w:left w:w="110" w:type="dxa"/>
              <w:right w:w="110" w:type="dxa"/>
            </w:tcMar>
            <w:tcBorders>
              <w:top w:val="single" w:sz="4" w:color="D9D9D9"/>
              <w:bottom w:val="single" w:sz="4" w:color="D9D9D9"/>
              <w:left w:val="single" w:sz="4" w:color="D9D9D9"/>
              <w:right w:val="single" w:sz="4" w:color="D9D9D9"/>
            </w:tcBorders>
            <w:shd w:fill="FFFFFF"/>
          </w:tcPr>
          <w:p>
            <w:pPr>
              <w:spacing w:after="0" w:line="247" w:lineRule="auto"/>
            </w:pPr>
            <w:r>
              <w:rPr>
                <w:b w:val="0"/>
                <w:color w:val="000000"/>
                <w:sz w:val="20"/>
              </w:rPr>
              <w:t>Recursos de UI propios; sin contenido de juego todavía.</w:t>
            </w:r>
          </w:p>
        </w:tc>
      </w:tr>
    </w:tbl>
    <w:p>
      <w:pPr>
        <w:spacing w:after="0"/>
      </w:pPr>
    </w:p>
    <w:p>
      <w:r>
        <w:t>Assets/Settings permanece como configuración técnica de renderizado. Los ejemplos de la plantilla se archivaron con sus .meta en Docs/Archive/UnityTemplate, fuera de Assets; no deben incluirse como contenido del juego. Conservar los .meta al mover recursos.</w:t>
      </w:r>
    </w:p>
    <w:p>
      <w:r>
        <w:br w:type="page"/>
      </w:r>
    </w:p>
    <w:p>
      <w:pPr>
        <w:pStyle w:val="Heading1"/>
      </w:pPr>
      <w:r>
        <w:t>2 Gameplay implementado</w:t>
      </w:r>
    </w:p>
    <w:p>
      <w:pPr>
        <w:pStyle w:val="Heading2"/>
      </w:pPr>
      <w:r>
        <w:t>Controlador FPS local</w:t>
      </w:r>
    </w:p>
    <w:p>
      <w:r>
        <w:t>FpsController usa CharacterController y el Input System nuevo. Incluye gravedad, movimiento diagonal normalizado, carrera y agachado mantenido. Al agacharse baja la cámara y conserva los pies; comprueba el techo antes de volver a ponerse de pie. Salto y balanceo de cámara no están implementados.</w:t>
      </w:r>
    </w:p>
    <w:tbl>
      <w:tblPr>
        <w:tblW w:type="auto" w:w="0"/>
        <w:tblLayout w:type="fixed"/>
        <w:tblLook w:firstColumn="1" w:firstRow="1" w:lastColumn="0" w:lastRow="0" w:noHBand="0" w:noVBand="1" w:val="04A0"/>
      </w:tblPr>
      <w:tblGrid>
        <w:gridCol w:w="2891"/>
        <w:gridCol w:w="6860"/>
      </w:tblGrid>
      <w:tr>
        <w:trPr>
          <w:cantSplit/>
          <w:tblHeader/>
        </w:trPr>
        <w:tc>
          <w:tcPr>
            <w:tcW w:type="dxa" w:w="2891"/>
            <w:vAlign w:val="center"/>
            <w:tcMar>
              <w:top w:w="90" w:type="dxa"/>
              <w:bottom w:w="90" w:type="dxa"/>
              <w:left w:w="110" w:type="dxa"/>
              <w:right w:w="110" w:type="dxa"/>
            </w:tcMar>
            <w:tcBorders>
              <w:top w:val="single" w:sz="4" w:color="D9D9D9"/>
              <w:bottom w:val="single" w:sz="4" w:color="D9D9D9"/>
              <w:left w:val="single" w:sz="4" w:color="D9D9D9"/>
              <w:right w:val="single" w:sz="4" w:color="D9D9D9"/>
            </w:tcBorders>
            <w:shd w:fill="223B4C"/>
          </w:tcPr>
          <w:p>
            <w:pPr>
              <w:spacing w:after="0" w:line="247" w:lineRule="auto"/>
            </w:pPr>
            <w:r>
              <w:rPr>
                <w:b/>
                <w:color w:val="FFFFFF"/>
                <w:sz w:val="20"/>
              </w:rPr>
              <w:t>Control</w:t>
            </w:r>
          </w:p>
        </w:tc>
        <w:tc>
          <w:tcPr>
            <w:tcW w:type="dxa" w:w="6860"/>
            <w:vAlign w:val="center"/>
            <w:tcMar>
              <w:top w:w="90" w:type="dxa"/>
              <w:bottom w:w="90" w:type="dxa"/>
              <w:left w:w="110" w:type="dxa"/>
              <w:right w:w="110" w:type="dxa"/>
            </w:tcMar>
            <w:tcBorders>
              <w:top w:val="single" w:sz="4" w:color="D9D9D9"/>
              <w:bottom w:val="single" w:sz="4" w:color="D9D9D9"/>
              <w:left w:val="single" w:sz="4" w:color="D9D9D9"/>
              <w:right w:val="single" w:sz="4" w:color="D9D9D9"/>
            </w:tcBorders>
            <w:shd w:fill="223B4C"/>
          </w:tcPr>
          <w:p>
            <w:pPr>
              <w:spacing w:after="0" w:line="247" w:lineRule="auto"/>
            </w:pPr>
            <w:r>
              <w:rPr>
                <w:b/>
                <w:color w:val="FFFFFF"/>
                <w:sz w:val="20"/>
              </w:rPr>
              <w:t>Acción</w:t>
            </w:r>
          </w:p>
        </w:tc>
      </w:tr>
      <w:tr>
        <w:trPr>
          <w:cantSplit/>
        </w:trPr>
        <w:tc>
          <w:tcPr>
            <w:tcW w:type="dxa" w:w="2891"/>
            <w:vAlign w:val="center"/>
            <w:tcMar>
              <w:top w:w="90" w:type="dxa"/>
              <w:bottom w:w="90" w:type="dxa"/>
              <w:left w:w="110" w:type="dxa"/>
              <w:right w:w="110" w:type="dxa"/>
            </w:tcMar>
            <w:tcBorders>
              <w:top w:val="single" w:sz="4" w:color="D9D9D9"/>
              <w:bottom w:val="single" w:sz="4" w:color="D9D9D9"/>
              <w:left w:val="single" w:sz="4" w:color="D9D9D9"/>
              <w:right w:val="single" w:sz="4" w:color="D9D9D9"/>
            </w:tcBorders>
            <w:shd w:fill="FFFFFF"/>
          </w:tcPr>
          <w:p>
            <w:pPr>
              <w:spacing w:after="0" w:line="247" w:lineRule="auto"/>
            </w:pPr>
            <w:r>
              <w:rPr>
                <w:b w:val="0"/>
                <w:color w:val="000000"/>
                <w:sz w:val="20"/>
              </w:rPr>
              <w:t>WASD / flechas</w:t>
            </w:r>
          </w:p>
        </w:tc>
        <w:tc>
          <w:tcPr>
            <w:tcW w:type="dxa" w:w="6860"/>
            <w:vAlign w:val="center"/>
            <w:tcMar>
              <w:top w:w="90" w:type="dxa"/>
              <w:bottom w:w="90" w:type="dxa"/>
              <w:left w:w="110" w:type="dxa"/>
              <w:right w:w="110" w:type="dxa"/>
            </w:tcMar>
            <w:tcBorders>
              <w:top w:val="single" w:sz="4" w:color="D9D9D9"/>
              <w:bottom w:val="single" w:sz="4" w:color="D9D9D9"/>
              <w:left w:val="single" w:sz="4" w:color="D9D9D9"/>
              <w:right w:val="single" w:sz="4" w:color="D9D9D9"/>
            </w:tcBorders>
            <w:shd w:fill="FFFFFF"/>
          </w:tcPr>
          <w:p>
            <w:pPr>
              <w:spacing w:after="0" w:line="247" w:lineRule="auto"/>
            </w:pPr>
            <w:r>
              <w:rPr>
                <w:b w:val="0"/>
                <w:color w:val="000000"/>
                <w:sz w:val="20"/>
              </w:rPr>
              <w:t>Caminar.</w:t>
            </w:r>
          </w:p>
        </w:tc>
      </w:tr>
      <w:tr>
        <w:trPr>
          <w:cantSplit/>
        </w:trPr>
        <w:tc>
          <w:tcPr>
            <w:tcW w:type="dxa" w:w="2891"/>
            <w:vAlign w:val="center"/>
            <w:tcMar>
              <w:top w:w="90" w:type="dxa"/>
              <w:bottom w:w="90" w:type="dxa"/>
              <w:left w:w="110" w:type="dxa"/>
              <w:right w:w="110" w:type="dxa"/>
            </w:tcMar>
            <w:tcBorders>
              <w:top w:val="single" w:sz="4" w:color="D9D9D9"/>
              <w:bottom w:val="single" w:sz="4" w:color="D9D9D9"/>
              <w:left w:val="single" w:sz="4" w:color="D9D9D9"/>
              <w:right w:val="single" w:sz="4" w:color="D9D9D9"/>
            </w:tcBorders>
            <w:shd w:fill="F3F6F8"/>
          </w:tcPr>
          <w:p>
            <w:pPr>
              <w:spacing w:after="0" w:line="247" w:lineRule="auto"/>
            </w:pPr>
            <w:r>
              <w:rPr>
                <w:b w:val="0"/>
                <w:color w:val="000000"/>
                <w:sz w:val="20"/>
              </w:rPr>
              <w:t>Ratón</w:t>
            </w:r>
          </w:p>
        </w:tc>
        <w:tc>
          <w:tcPr>
            <w:tcW w:type="dxa" w:w="6860"/>
            <w:vAlign w:val="center"/>
            <w:tcMar>
              <w:top w:w="90" w:type="dxa"/>
              <w:bottom w:w="90" w:type="dxa"/>
              <w:left w:w="110" w:type="dxa"/>
              <w:right w:w="110" w:type="dxa"/>
            </w:tcMar>
            <w:tcBorders>
              <w:top w:val="single" w:sz="4" w:color="D9D9D9"/>
              <w:bottom w:val="single" w:sz="4" w:color="D9D9D9"/>
              <w:left w:val="single" w:sz="4" w:color="D9D9D9"/>
              <w:right w:val="single" w:sz="4" w:color="D9D9D9"/>
            </w:tcBorders>
            <w:shd w:fill="F3F6F8"/>
          </w:tcPr>
          <w:p>
            <w:pPr>
              <w:spacing w:after="0" w:line="247" w:lineRule="auto"/>
            </w:pPr>
            <w:r>
              <w:rPr>
                <w:b w:val="0"/>
                <w:color w:val="000000"/>
                <w:sz w:val="20"/>
              </w:rPr>
              <w:t>Mirar con límites verticales.</w:t>
            </w:r>
          </w:p>
        </w:tc>
      </w:tr>
      <w:tr>
        <w:trPr>
          <w:cantSplit/>
        </w:trPr>
        <w:tc>
          <w:tcPr>
            <w:tcW w:type="dxa" w:w="2891"/>
            <w:vAlign w:val="center"/>
            <w:tcMar>
              <w:top w:w="90" w:type="dxa"/>
              <w:bottom w:w="90" w:type="dxa"/>
              <w:left w:w="110" w:type="dxa"/>
              <w:right w:w="110" w:type="dxa"/>
            </w:tcMar>
            <w:tcBorders>
              <w:top w:val="single" w:sz="4" w:color="D9D9D9"/>
              <w:bottom w:val="single" w:sz="4" w:color="D9D9D9"/>
              <w:left w:val="single" w:sz="4" w:color="D9D9D9"/>
              <w:right w:val="single" w:sz="4" w:color="D9D9D9"/>
            </w:tcBorders>
            <w:shd w:fill="FFFFFF"/>
          </w:tcPr>
          <w:p>
            <w:pPr>
              <w:spacing w:after="0" w:line="247" w:lineRule="auto"/>
            </w:pPr>
            <w:r>
              <w:rPr>
                <w:b w:val="0"/>
                <w:color w:val="000000"/>
                <w:sz w:val="20"/>
              </w:rPr>
              <w:t>Shift izquierdo</w:t>
            </w:r>
          </w:p>
        </w:tc>
        <w:tc>
          <w:tcPr>
            <w:tcW w:type="dxa" w:w="6860"/>
            <w:vAlign w:val="center"/>
            <w:tcMar>
              <w:top w:w="90" w:type="dxa"/>
              <w:bottom w:w="90" w:type="dxa"/>
              <w:left w:w="110" w:type="dxa"/>
              <w:right w:w="110" w:type="dxa"/>
            </w:tcMar>
            <w:tcBorders>
              <w:top w:val="single" w:sz="4" w:color="D9D9D9"/>
              <w:bottom w:val="single" w:sz="4" w:color="D9D9D9"/>
              <w:left w:val="single" w:sz="4" w:color="D9D9D9"/>
              <w:right w:val="single" w:sz="4" w:color="D9D9D9"/>
            </w:tcBorders>
            <w:shd w:fill="FFFFFF"/>
          </w:tcPr>
          <w:p>
            <w:pPr>
              <w:spacing w:after="0" w:line="247" w:lineRule="auto"/>
            </w:pPr>
            <w:r>
              <w:rPr>
                <w:b w:val="0"/>
                <w:color w:val="000000"/>
                <w:sz w:val="20"/>
              </w:rPr>
              <w:t>Correr.</w:t>
            </w:r>
          </w:p>
        </w:tc>
      </w:tr>
      <w:tr>
        <w:trPr>
          <w:cantSplit/>
        </w:trPr>
        <w:tc>
          <w:tcPr>
            <w:tcW w:type="dxa" w:w="2891"/>
            <w:vAlign w:val="center"/>
            <w:tcMar>
              <w:top w:w="90" w:type="dxa"/>
              <w:bottom w:w="90" w:type="dxa"/>
              <w:left w:w="110" w:type="dxa"/>
              <w:right w:w="110" w:type="dxa"/>
            </w:tcMar>
            <w:tcBorders>
              <w:top w:val="single" w:sz="4" w:color="D9D9D9"/>
              <w:bottom w:val="single" w:sz="4" w:color="D9D9D9"/>
              <w:left w:val="single" w:sz="4" w:color="D9D9D9"/>
              <w:right w:val="single" w:sz="4" w:color="D9D9D9"/>
            </w:tcBorders>
            <w:shd w:fill="F3F6F8"/>
          </w:tcPr>
          <w:p>
            <w:pPr>
              <w:spacing w:after="0" w:line="247" w:lineRule="auto"/>
            </w:pPr>
            <w:r>
              <w:rPr>
                <w:b w:val="0"/>
                <w:color w:val="000000"/>
                <w:sz w:val="20"/>
              </w:rPr>
              <w:t>Ctrl izquierdo</w:t>
            </w:r>
          </w:p>
        </w:tc>
        <w:tc>
          <w:tcPr>
            <w:tcW w:type="dxa" w:w="6860"/>
            <w:vAlign w:val="center"/>
            <w:tcMar>
              <w:top w:w="90" w:type="dxa"/>
              <w:bottom w:w="90" w:type="dxa"/>
              <w:left w:w="110" w:type="dxa"/>
              <w:right w:w="110" w:type="dxa"/>
            </w:tcMar>
            <w:tcBorders>
              <w:top w:val="single" w:sz="4" w:color="D9D9D9"/>
              <w:bottom w:val="single" w:sz="4" w:color="D9D9D9"/>
              <w:left w:val="single" w:sz="4" w:color="D9D9D9"/>
              <w:right w:val="single" w:sz="4" w:color="D9D9D9"/>
            </w:tcBorders>
            <w:shd w:fill="F3F6F8"/>
          </w:tcPr>
          <w:p>
            <w:pPr>
              <w:spacing w:after="0" w:line="247" w:lineRule="auto"/>
            </w:pPr>
            <w:r>
              <w:rPr>
                <w:b w:val="0"/>
                <w:color w:val="000000"/>
                <w:sz w:val="20"/>
              </w:rPr>
              <w:t>Agacharse mientras se mantiene pulsado.</w:t>
            </w:r>
          </w:p>
        </w:tc>
      </w:tr>
      <w:tr>
        <w:trPr>
          <w:cantSplit/>
        </w:trPr>
        <w:tc>
          <w:tcPr>
            <w:tcW w:type="dxa" w:w="2891"/>
            <w:vAlign w:val="center"/>
            <w:tcMar>
              <w:top w:w="90" w:type="dxa"/>
              <w:bottom w:w="90" w:type="dxa"/>
              <w:left w:w="110" w:type="dxa"/>
              <w:right w:w="110" w:type="dxa"/>
            </w:tcMar>
            <w:tcBorders>
              <w:top w:val="single" w:sz="4" w:color="D9D9D9"/>
              <w:bottom w:val="single" w:sz="4" w:color="D9D9D9"/>
              <w:left w:val="single" w:sz="4" w:color="D9D9D9"/>
              <w:right w:val="single" w:sz="4" w:color="D9D9D9"/>
            </w:tcBorders>
            <w:shd w:fill="FFFFFF"/>
          </w:tcPr>
          <w:p>
            <w:pPr>
              <w:spacing w:after="0" w:line="247" w:lineRule="auto"/>
            </w:pPr>
            <w:r>
              <w:rPr>
                <w:b w:val="0"/>
                <w:color w:val="000000"/>
                <w:sz w:val="20"/>
              </w:rPr>
              <w:t>E</w:t>
            </w:r>
          </w:p>
        </w:tc>
        <w:tc>
          <w:tcPr>
            <w:tcW w:type="dxa" w:w="6860"/>
            <w:vAlign w:val="center"/>
            <w:tcMar>
              <w:top w:w="90" w:type="dxa"/>
              <w:bottom w:w="90" w:type="dxa"/>
              <w:left w:w="110" w:type="dxa"/>
              <w:right w:w="110" w:type="dxa"/>
            </w:tcMar>
            <w:tcBorders>
              <w:top w:val="single" w:sz="4" w:color="D9D9D9"/>
              <w:bottom w:val="single" w:sz="4" w:color="D9D9D9"/>
              <w:left w:val="single" w:sz="4" w:color="D9D9D9"/>
              <w:right w:val="single" w:sz="4" w:color="D9D9D9"/>
            </w:tcBorders>
            <w:shd w:fill="FFFFFF"/>
          </w:tcPr>
          <w:p>
            <w:pPr>
              <w:spacing w:after="0" w:line="247" w:lineRule="auto"/>
            </w:pPr>
            <w:r>
              <w:rPr>
                <w:b w:val="0"/>
                <w:color w:val="000000"/>
                <w:sz w:val="20"/>
              </w:rPr>
              <w:t>Inspeccionar el prop al que se apunta.</w:t>
            </w:r>
          </w:p>
        </w:tc>
      </w:tr>
      <w:tr>
        <w:trPr>
          <w:cantSplit/>
        </w:trPr>
        <w:tc>
          <w:tcPr>
            <w:tcW w:type="dxa" w:w="2891"/>
            <w:vAlign w:val="center"/>
            <w:tcMar>
              <w:top w:w="90" w:type="dxa"/>
              <w:bottom w:w="90" w:type="dxa"/>
              <w:left w:w="110" w:type="dxa"/>
              <w:right w:w="110" w:type="dxa"/>
            </w:tcMar>
            <w:tcBorders>
              <w:top w:val="single" w:sz="4" w:color="D9D9D9"/>
              <w:bottom w:val="single" w:sz="4" w:color="D9D9D9"/>
              <w:left w:val="single" w:sz="4" w:color="D9D9D9"/>
              <w:right w:val="single" w:sz="4" w:color="D9D9D9"/>
            </w:tcBorders>
            <w:shd w:fill="F3F6F8"/>
          </w:tcPr>
          <w:p>
            <w:pPr>
              <w:spacing w:after="0" w:line="247" w:lineRule="auto"/>
            </w:pPr>
            <w:r>
              <w:rPr>
                <w:b w:val="0"/>
                <w:color w:val="000000"/>
                <w:sz w:val="20"/>
              </w:rPr>
              <w:t>Escape / clic izquierdo</w:t>
            </w:r>
          </w:p>
        </w:tc>
        <w:tc>
          <w:tcPr>
            <w:tcW w:type="dxa" w:w="6860"/>
            <w:vAlign w:val="center"/>
            <w:tcMar>
              <w:top w:w="90" w:type="dxa"/>
              <w:bottom w:w="90" w:type="dxa"/>
              <w:left w:w="110" w:type="dxa"/>
              <w:right w:w="110" w:type="dxa"/>
            </w:tcMar>
            <w:tcBorders>
              <w:top w:val="single" w:sz="4" w:color="D9D9D9"/>
              <w:bottom w:val="single" w:sz="4" w:color="D9D9D9"/>
              <w:left w:val="single" w:sz="4" w:color="D9D9D9"/>
              <w:right w:val="single" w:sz="4" w:color="D9D9D9"/>
            </w:tcBorders>
            <w:shd w:fill="F3F6F8"/>
          </w:tcPr>
          <w:p>
            <w:pPr>
              <w:spacing w:after="0" w:line="247" w:lineRule="auto"/>
            </w:pPr>
            <w:r>
              <w:rPr>
                <w:b w:val="0"/>
                <w:color w:val="000000"/>
                <w:sz w:val="20"/>
              </w:rPr>
              <w:t>Liberar / recapturar el cursor.</w:t>
            </w:r>
          </w:p>
        </w:tc>
      </w:tr>
    </w:tbl>
    <w:p>
      <w:pPr>
        <w:spacing w:after="0"/>
      </w:pPr>
    </w:p>
    <w:p>
      <w:r>
        <w:t>Sin foco o con el cursor libre se bloquean la mirada y el movimiento horizontal, manteniendo la gravedad. FOV y sensibilidad son configurables. El prefab es Assets/02_Prefabs/Player/FPSPlayer.prefab; la cámara es hija directa y la raíz debe mantener escala uno.</w:t>
      </w:r>
    </w:p>
    <w:p>
      <w:r>
        <w:t>SetLocalControl(false) desactiva entrada, movimiento, cámara y AudioListener. Es una preparación para ownership local futuro; no implementa red. Para un menú de pausa con imagen visible hará falta bloquear solo la entrada, sin usar ese método como sustituto.</w:t>
      </w:r>
    </w:p>
    <w:p>
      <w:pPr>
        <w:pStyle w:val="Heading2"/>
      </w:pPr>
      <w:r>
        <w:t>Interacción por raycast</w:t>
      </w:r>
    </w:p>
    <w:p>
      <w:r>
        <w:t>PlayerInteractor consulta desde la cámara hasta 2,5 metros por defecto; el alcance admite ajuste entre 0,1 y 5 metros. Detecta el collider sólido más cercano, ignora triggers y colliders propios y resuelve interactuables en el padre de un collider hijo. Una pared bloquea el prop situado detrás.</w:t>
      </w:r>
    </w:p>
    <w:p>
      <w:r>
        <w:t>Al pulsar E vuelve a consultar el objetivo y comprueba control local, foco, cursor y componentes activos. Las llamadas directas al prop también validan rango y permisos. Si se saturan los buffers de detección, la consulta rechaza la acción de forma conservadora.</w:t>
      </w:r>
    </w:p>
    <w:p>
      <w:r>
        <w:t>IInteractable expone DisplayName, Prompt, CanInteract(actor) y TryInteract(actor). PrototypeInteractable registra una sola inspección por instancia mediante IsInspected e InteractionCount; reiniciar la escena restablece el estado. Esto no abre la caja fuerte ni convierte la caja en botín.</w:t>
      </w:r>
    </w:p>
    <w:p>
      <w:pPr>
        <w:pStyle w:val="Heading2"/>
      </w:pPr>
      <w:r>
        <w:t>Presentación y ensamblados</w:t>
      </w:r>
    </w:p>
    <w:p>
      <w:r>
        <w:t>InteractionPromptPresenter crea una retícula y textos uGUI asociados al estado real: “[E] Inspeccionar …” y “Inspeccionado: …”. Usa LegacyRuntime.ttf integrado en Unity, sin importar fuentes externas. La UI definitiva deberá resolver el criterio académico sobre fuentes integradas.</w:t>
      </w:r>
    </w:p>
    <w:p>
      <w:r>
        <w:t>El asmdef OperationHeist.Player está en Player/ e incluye Movement e Interaction. OperationHeist.UI es independiente y referencia Player y UnityEngine.UI. Los scripts de Editor permanecen separados del runtime.</w:t>
      </w:r>
    </w:p>
    <w:p>
      <w:r>
        <w:br w:type="page"/>
      </w:r>
    </w:p>
    <w:p>
      <w:pPr>
        <w:pStyle w:val="Heading1"/>
      </w:pPr>
      <w:r>
        <w:t>3 Modelos propios y escena de prueba</w:t>
      </w:r>
    </w:p>
    <w:p>
      <w:r>
        <w:t>El kit fue generado el 29 de octubre de 2026 con geometría procedural escrita con Codex. No utiliza meshes ni texturas descargados. La receta reproducible está en OriginalPropsBuilder.cs; FpsPrototypeBuilder.cs construye la base y la escena.</w:t>
      </w:r>
    </w:p>
    <w:tbl>
      <w:tblPr>
        <w:tblW w:type="auto" w:w="0"/>
        <w:tblLayout w:type="fixed"/>
        <w:tblLook w:firstColumn="1" w:firstRow="1" w:lastColumn="0" w:lastRow="0" w:noHBand="0" w:noVBand="1" w:val="04A0"/>
      </w:tblPr>
      <w:tblGrid>
        <w:gridCol w:w="4252"/>
        <w:gridCol w:w="3572"/>
        <w:gridCol w:w="1928"/>
      </w:tblGrid>
      <w:tr>
        <w:trPr>
          <w:cantSplit/>
          <w:tblHeader/>
        </w:trPr>
        <w:tc>
          <w:tcPr>
            <w:tcW w:type="dxa" w:w="4252"/>
            <w:vAlign w:val="center"/>
            <w:tcMar>
              <w:top w:w="90" w:type="dxa"/>
              <w:bottom w:w="90" w:type="dxa"/>
              <w:left w:w="110" w:type="dxa"/>
              <w:right w:w="110" w:type="dxa"/>
            </w:tcMar>
            <w:tcBorders>
              <w:top w:val="single" w:sz="4" w:color="D9D9D9"/>
              <w:bottom w:val="single" w:sz="4" w:color="D9D9D9"/>
              <w:left w:val="single" w:sz="4" w:color="D9D9D9"/>
              <w:right w:val="single" w:sz="4" w:color="D9D9D9"/>
            </w:tcBorders>
            <w:shd w:fill="223B4C"/>
          </w:tcPr>
          <w:p>
            <w:pPr>
              <w:spacing w:after="0" w:line="247" w:lineRule="auto"/>
            </w:pPr>
            <w:r>
              <w:rPr>
                <w:b/>
                <w:color w:val="FFFFFF"/>
                <w:sz w:val="20"/>
              </w:rPr>
              <w:t>Modelo</w:t>
            </w:r>
          </w:p>
        </w:tc>
        <w:tc>
          <w:tcPr>
            <w:tcW w:type="dxa" w:w="3572"/>
            <w:vAlign w:val="center"/>
            <w:tcMar>
              <w:top w:w="90" w:type="dxa"/>
              <w:bottom w:w="90" w:type="dxa"/>
              <w:left w:w="110" w:type="dxa"/>
              <w:right w:w="110" w:type="dxa"/>
            </w:tcMar>
            <w:tcBorders>
              <w:top w:val="single" w:sz="4" w:color="D9D9D9"/>
              <w:bottom w:val="single" w:sz="4" w:color="D9D9D9"/>
              <w:left w:val="single" w:sz="4" w:color="D9D9D9"/>
              <w:right w:val="single" w:sz="4" w:color="D9D9D9"/>
            </w:tcBorders>
            <w:shd w:fill="223B4C"/>
          </w:tcPr>
          <w:p>
            <w:pPr>
              <w:spacing w:after="0" w:line="247" w:lineRule="auto"/>
            </w:pPr>
            <w:r>
              <w:rPr>
                <w:b/>
                <w:color w:val="FFFFFF"/>
                <w:sz w:val="20"/>
              </w:rPr>
              <w:t>Medidas en metros</w:t>
            </w:r>
          </w:p>
        </w:tc>
        <w:tc>
          <w:tcPr>
            <w:tcW w:type="dxa" w:w="1928"/>
            <w:vAlign w:val="center"/>
            <w:tcMar>
              <w:top w:w="90" w:type="dxa"/>
              <w:bottom w:w="90" w:type="dxa"/>
              <w:left w:w="110" w:type="dxa"/>
              <w:right w:w="110" w:type="dxa"/>
            </w:tcMar>
            <w:tcBorders>
              <w:top w:val="single" w:sz="4" w:color="D9D9D9"/>
              <w:bottom w:val="single" w:sz="4" w:color="D9D9D9"/>
              <w:left w:val="single" w:sz="4" w:color="D9D9D9"/>
              <w:right w:val="single" w:sz="4" w:color="D9D9D9"/>
            </w:tcBorders>
            <w:shd w:fill="223B4C"/>
          </w:tcPr>
          <w:p>
            <w:pPr>
              <w:spacing w:after="0" w:line="247" w:lineRule="auto"/>
            </w:pPr>
            <w:r>
              <w:rPr>
                <w:b/>
                <w:color w:val="FFFFFF"/>
                <w:sz w:val="20"/>
              </w:rPr>
              <w:t>Triángulos</w:t>
            </w:r>
          </w:p>
        </w:tc>
      </w:tr>
      <w:tr>
        <w:trPr>
          <w:cantSplit/>
        </w:trPr>
        <w:tc>
          <w:tcPr>
            <w:tcW w:type="dxa" w:w="4252"/>
            <w:vAlign w:val="center"/>
            <w:tcMar>
              <w:top w:w="90" w:type="dxa"/>
              <w:bottom w:w="90" w:type="dxa"/>
              <w:left w:w="110" w:type="dxa"/>
              <w:right w:w="110" w:type="dxa"/>
            </w:tcMar>
            <w:tcBorders>
              <w:top w:val="single" w:sz="4" w:color="D9D9D9"/>
              <w:bottom w:val="single" w:sz="4" w:color="D9D9D9"/>
              <w:left w:val="single" w:sz="4" w:color="D9D9D9"/>
              <w:right w:val="single" w:sz="4" w:color="D9D9D9"/>
            </w:tcBorders>
            <w:shd w:fill="FFFFFF"/>
          </w:tcPr>
          <w:p>
            <w:pPr>
              <w:spacing w:after="0" w:line="247" w:lineRule="auto"/>
            </w:pPr>
            <w:r>
              <w:rPr>
                <w:b w:val="0"/>
                <w:color w:val="000000"/>
                <w:sz w:val="20"/>
              </w:rPr>
              <w:t>OH_TransportCrate</w:t>
            </w:r>
          </w:p>
        </w:tc>
        <w:tc>
          <w:tcPr>
            <w:tcW w:type="dxa" w:w="3572"/>
            <w:vAlign w:val="center"/>
            <w:tcMar>
              <w:top w:w="90" w:type="dxa"/>
              <w:bottom w:w="90" w:type="dxa"/>
              <w:left w:w="110" w:type="dxa"/>
              <w:right w:w="110" w:type="dxa"/>
            </w:tcMar>
            <w:tcBorders>
              <w:top w:val="single" w:sz="4" w:color="D9D9D9"/>
              <w:bottom w:val="single" w:sz="4" w:color="D9D9D9"/>
              <w:left w:val="single" w:sz="4" w:color="D9D9D9"/>
              <w:right w:val="single" w:sz="4" w:color="D9D9D9"/>
            </w:tcBorders>
            <w:shd w:fill="FFFFFF"/>
          </w:tcPr>
          <w:p>
            <w:pPr>
              <w:spacing w:after="0" w:line="247" w:lineRule="auto"/>
            </w:pPr>
            <w:r>
              <w:rPr>
                <w:b w:val="0"/>
                <w:color w:val="000000"/>
                <w:sz w:val="20"/>
              </w:rPr>
              <w:t>0,84 × 0,62 × 0,62</w:t>
            </w:r>
          </w:p>
        </w:tc>
        <w:tc>
          <w:tcPr>
            <w:tcW w:type="dxa" w:w="1928"/>
            <w:vAlign w:val="center"/>
            <w:tcMar>
              <w:top w:w="90" w:type="dxa"/>
              <w:bottom w:w="90" w:type="dxa"/>
              <w:left w:w="110" w:type="dxa"/>
              <w:right w:w="110" w:type="dxa"/>
            </w:tcMar>
            <w:tcBorders>
              <w:top w:val="single" w:sz="4" w:color="D9D9D9"/>
              <w:bottom w:val="single" w:sz="4" w:color="D9D9D9"/>
              <w:left w:val="single" w:sz="4" w:color="D9D9D9"/>
              <w:right w:val="single" w:sz="4" w:color="D9D9D9"/>
            </w:tcBorders>
            <w:shd w:fill="FFFFFF"/>
          </w:tcPr>
          <w:p>
            <w:pPr>
              <w:spacing w:after="0" w:line="247" w:lineRule="auto"/>
            </w:pPr>
            <w:r>
              <w:rPr>
                <w:b w:val="0"/>
                <w:color w:val="000000"/>
                <w:sz w:val="20"/>
              </w:rPr>
              <w:t>72</w:t>
            </w:r>
          </w:p>
        </w:tc>
      </w:tr>
      <w:tr>
        <w:trPr>
          <w:cantSplit/>
        </w:trPr>
        <w:tc>
          <w:tcPr>
            <w:tcW w:type="dxa" w:w="4252"/>
            <w:vAlign w:val="center"/>
            <w:tcMar>
              <w:top w:w="90" w:type="dxa"/>
              <w:bottom w:w="90" w:type="dxa"/>
              <w:left w:w="110" w:type="dxa"/>
              <w:right w:w="110" w:type="dxa"/>
            </w:tcMar>
            <w:tcBorders>
              <w:top w:val="single" w:sz="4" w:color="D9D9D9"/>
              <w:bottom w:val="single" w:sz="4" w:color="D9D9D9"/>
              <w:left w:val="single" w:sz="4" w:color="D9D9D9"/>
              <w:right w:val="single" w:sz="4" w:color="D9D9D9"/>
            </w:tcBorders>
            <w:shd w:fill="F3F6F8"/>
          </w:tcPr>
          <w:p>
            <w:pPr>
              <w:spacing w:after="0" w:line="247" w:lineRule="auto"/>
            </w:pPr>
            <w:r>
              <w:rPr>
                <w:b w:val="0"/>
                <w:color w:val="000000"/>
                <w:sz w:val="20"/>
              </w:rPr>
              <w:t>OH_StorageShelf</w:t>
            </w:r>
          </w:p>
        </w:tc>
        <w:tc>
          <w:tcPr>
            <w:tcW w:type="dxa" w:w="3572"/>
            <w:vAlign w:val="center"/>
            <w:tcMar>
              <w:top w:w="90" w:type="dxa"/>
              <w:bottom w:w="90" w:type="dxa"/>
              <w:left w:w="110" w:type="dxa"/>
              <w:right w:w="110" w:type="dxa"/>
            </w:tcMar>
            <w:tcBorders>
              <w:top w:val="single" w:sz="4" w:color="D9D9D9"/>
              <w:bottom w:val="single" w:sz="4" w:color="D9D9D9"/>
              <w:left w:val="single" w:sz="4" w:color="D9D9D9"/>
              <w:right w:val="single" w:sz="4" w:color="D9D9D9"/>
            </w:tcBorders>
            <w:shd w:fill="F3F6F8"/>
          </w:tcPr>
          <w:p>
            <w:pPr>
              <w:spacing w:after="0" w:line="247" w:lineRule="auto"/>
            </w:pPr>
            <w:r>
              <w:rPr>
                <w:b w:val="0"/>
                <w:color w:val="000000"/>
                <w:sz w:val="20"/>
              </w:rPr>
              <w:t>1,60 × 2,00 × 0,52</w:t>
            </w:r>
          </w:p>
        </w:tc>
        <w:tc>
          <w:tcPr>
            <w:tcW w:type="dxa" w:w="1928"/>
            <w:vAlign w:val="center"/>
            <w:tcMar>
              <w:top w:w="90" w:type="dxa"/>
              <w:bottom w:w="90" w:type="dxa"/>
              <w:left w:w="110" w:type="dxa"/>
              <w:right w:w="110" w:type="dxa"/>
            </w:tcMar>
            <w:tcBorders>
              <w:top w:val="single" w:sz="4" w:color="D9D9D9"/>
              <w:bottom w:val="single" w:sz="4" w:color="D9D9D9"/>
              <w:left w:val="single" w:sz="4" w:color="D9D9D9"/>
              <w:right w:val="single" w:sz="4" w:color="D9D9D9"/>
            </w:tcBorders>
            <w:shd w:fill="F3F6F8"/>
          </w:tcPr>
          <w:p>
            <w:pPr>
              <w:spacing w:after="0" w:line="247" w:lineRule="auto"/>
            </w:pPr>
            <w:r>
              <w:rPr>
                <w:b w:val="0"/>
                <w:color w:val="000000"/>
                <w:sz w:val="20"/>
              </w:rPr>
              <w:t>108</w:t>
            </w:r>
          </w:p>
        </w:tc>
      </w:tr>
      <w:tr>
        <w:trPr>
          <w:cantSplit/>
        </w:trPr>
        <w:tc>
          <w:tcPr>
            <w:tcW w:type="dxa" w:w="4252"/>
            <w:vAlign w:val="center"/>
            <w:tcMar>
              <w:top w:w="90" w:type="dxa"/>
              <w:bottom w:w="90" w:type="dxa"/>
              <w:left w:w="110" w:type="dxa"/>
              <w:right w:w="110" w:type="dxa"/>
            </w:tcMar>
            <w:tcBorders>
              <w:top w:val="single" w:sz="4" w:color="D9D9D9"/>
              <w:bottom w:val="single" w:sz="4" w:color="D9D9D9"/>
              <w:left w:val="single" w:sz="4" w:color="D9D9D9"/>
              <w:right w:val="single" w:sz="4" w:color="D9D9D9"/>
            </w:tcBorders>
            <w:shd w:fill="FFFFFF"/>
          </w:tcPr>
          <w:p>
            <w:pPr>
              <w:spacing w:after="0" w:line="247" w:lineRule="auto"/>
            </w:pPr>
            <w:r>
              <w:rPr>
                <w:b w:val="0"/>
                <w:color w:val="000000"/>
                <w:sz w:val="20"/>
              </w:rPr>
              <w:t>OH_ServiceCounter</w:t>
            </w:r>
          </w:p>
        </w:tc>
        <w:tc>
          <w:tcPr>
            <w:tcW w:type="dxa" w:w="3572"/>
            <w:vAlign w:val="center"/>
            <w:tcMar>
              <w:top w:w="90" w:type="dxa"/>
              <w:bottom w:w="90" w:type="dxa"/>
              <w:left w:w="110" w:type="dxa"/>
              <w:right w:w="110" w:type="dxa"/>
            </w:tcMar>
            <w:tcBorders>
              <w:top w:val="single" w:sz="4" w:color="D9D9D9"/>
              <w:bottom w:val="single" w:sz="4" w:color="D9D9D9"/>
              <w:left w:val="single" w:sz="4" w:color="D9D9D9"/>
              <w:right w:val="single" w:sz="4" w:color="D9D9D9"/>
            </w:tcBorders>
            <w:shd w:fill="FFFFFF"/>
          </w:tcPr>
          <w:p>
            <w:pPr>
              <w:spacing w:after="0" w:line="247" w:lineRule="auto"/>
            </w:pPr>
            <w:r>
              <w:rPr>
                <w:b w:val="0"/>
                <w:color w:val="000000"/>
                <w:sz w:val="20"/>
              </w:rPr>
              <w:t>2,40 × 1,05 × 0,82</w:t>
            </w:r>
          </w:p>
        </w:tc>
        <w:tc>
          <w:tcPr>
            <w:tcW w:type="dxa" w:w="1928"/>
            <w:vAlign w:val="center"/>
            <w:tcMar>
              <w:top w:w="90" w:type="dxa"/>
              <w:bottom w:w="90" w:type="dxa"/>
              <w:left w:w="110" w:type="dxa"/>
              <w:right w:w="110" w:type="dxa"/>
            </w:tcMar>
            <w:tcBorders>
              <w:top w:val="single" w:sz="4" w:color="D9D9D9"/>
              <w:bottom w:val="single" w:sz="4" w:color="D9D9D9"/>
              <w:left w:val="single" w:sz="4" w:color="D9D9D9"/>
              <w:right w:val="single" w:sz="4" w:color="D9D9D9"/>
            </w:tcBorders>
            <w:shd w:fill="FFFFFF"/>
          </w:tcPr>
          <w:p>
            <w:pPr>
              <w:spacing w:after="0" w:line="247" w:lineRule="auto"/>
            </w:pPr>
            <w:r>
              <w:rPr>
                <w:b w:val="0"/>
                <w:color w:val="000000"/>
                <w:sz w:val="20"/>
              </w:rPr>
              <w:t>72</w:t>
            </w:r>
          </w:p>
        </w:tc>
      </w:tr>
      <w:tr>
        <w:trPr>
          <w:cantSplit/>
        </w:trPr>
        <w:tc>
          <w:tcPr>
            <w:tcW w:type="dxa" w:w="4252"/>
            <w:vAlign w:val="center"/>
            <w:tcMar>
              <w:top w:w="90" w:type="dxa"/>
              <w:bottom w:w="90" w:type="dxa"/>
              <w:left w:w="110" w:type="dxa"/>
              <w:right w:w="110" w:type="dxa"/>
            </w:tcMar>
            <w:tcBorders>
              <w:top w:val="single" w:sz="4" w:color="D9D9D9"/>
              <w:bottom w:val="single" w:sz="4" w:color="D9D9D9"/>
              <w:left w:val="single" w:sz="4" w:color="D9D9D9"/>
              <w:right w:val="single" w:sz="4" w:color="D9D9D9"/>
            </w:tcBorders>
            <w:shd w:fill="F3F6F8"/>
          </w:tcPr>
          <w:p>
            <w:pPr>
              <w:spacing w:after="0" w:line="247" w:lineRule="auto"/>
            </w:pPr>
            <w:r>
              <w:rPr>
                <w:b w:val="0"/>
                <w:color w:val="000000"/>
                <w:sz w:val="20"/>
              </w:rPr>
              <w:t>OH_CompactSafe</w:t>
            </w:r>
          </w:p>
        </w:tc>
        <w:tc>
          <w:tcPr>
            <w:tcW w:type="dxa" w:w="3572"/>
            <w:vAlign w:val="center"/>
            <w:tcMar>
              <w:top w:w="90" w:type="dxa"/>
              <w:bottom w:w="90" w:type="dxa"/>
              <w:left w:w="110" w:type="dxa"/>
              <w:right w:w="110" w:type="dxa"/>
            </w:tcMar>
            <w:tcBorders>
              <w:top w:val="single" w:sz="4" w:color="D9D9D9"/>
              <w:bottom w:val="single" w:sz="4" w:color="D9D9D9"/>
              <w:left w:val="single" w:sz="4" w:color="D9D9D9"/>
              <w:right w:val="single" w:sz="4" w:color="D9D9D9"/>
            </w:tcBorders>
            <w:shd w:fill="F3F6F8"/>
          </w:tcPr>
          <w:p>
            <w:pPr>
              <w:spacing w:after="0" w:line="247" w:lineRule="auto"/>
            </w:pPr>
            <w:r>
              <w:rPr>
                <w:b w:val="0"/>
                <w:color w:val="000000"/>
                <w:sz w:val="20"/>
              </w:rPr>
              <w:t>0,90 × 1,30 × 0,95</w:t>
            </w:r>
          </w:p>
        </w:tc>
        <w:tc>
          <w:tcPr>
            <w:tcW w:type="dxa" w:w="1928"/>
            <w:vAlign w:val="center"/>
            <w:tcMar>
              <w:top w:w="90" w:type="dxa"/>
              <w:bottom w:w="90" w:type="dxa"/>
              <w:left w:w="110" w:type="dxa"/>
              <w:right w:w="110" w:type="dxa"/>
            </w:tcMar>
            <w:tcBorders>
              <w:top w:val="single" w:sz="4" w:color="D9D9D9"/>
              <w:bottom w:val="single" w:sz="4" w:color="D9D9D9"/>
              <w:left w:val="single" w:sz="4" w:color="D9D9D9"/>
              <w:right w:val="single" w:sz="4" w:color="D9D9D9"/>
            </w:tcBorders>
            <w:shd w:fill="F3F6F8"/>
          </w:tcPr>
          <w:p>
            <w:pPr>
              <w:spacing w:after="0" w:line="247" w:lineRule="auto"/>
            </w:pPr>
            <w:r>
              <w:rPr>
                <w:b w:val="0"/>
                <w:color w:val="000000"/>
                <w:sz w:val="20"/>
              </w:rPr>
              <w:t>108</w:t>
            </w:r>
          </w:p>
        </w:tc>
      </w:tr>
    </w:tbl>
    <w:p>
      <w:pPr>
        <w:spacing w:after="0"/>
      </w:pPr>
    </w:p>
    <w:p>
      <w:r>
        <w:t>Meshes en Assets/04_Models/Codex; prefabs en Assets/02_Prefabs/Props. Hay seis materiales URP de color propios en 03_Materials y una base OH_Cuboid. Los cuatro props tienen collider e inspección; la estantería usa un BoxCollider que ocupa su volumen exterior.</w:t>
      </w:r>
    </w:p>
    <w:p>
      <w:r>
        <w:t>FPSPrototype incluye suelo de 24 × 24 m, paredes, obstáculos y un paso bajo para probar agachado. Los cuatro props están colocados en la escena. La integración actual permite recorrerla e inspeccionarlos; no representa una misión terminada.</w:t>
      </w:r>
    </w:p>
    <w:p>
      <w:r>
        <w:drawing>
          <wp:inline xmlns:a="http://schemas.openxmlformats.org/drawingml/2006/main" xmlns:pic="http://schemas.openxmlformats.org/drawingml/2006/picture">
            <wp:extent cx="5616000" cy="3159000"/>
            <wp:docPr id="1" name="Picture 1"/>
            <wp:cNvGraphicFramePr>
              <a:graphicFrameLocks noChangeAspect="1"/>
            </wp:cNvGraphicFramePr>
            <a:graphic>
              <a:graphicData uri="http://schemas.openxmlformats.org/drawingml/2006/picture">
                <pic:pic>
                  <pic:nvPicPr>
                    <pic:cNvPr id="0" name="Interaction-1920x1080.png"/>
                    <pic:cNvPicPr/>
                  </pic:nvPicPr>
                  <pic:blipFill>
                    <a:blip r:embed="rId10"/>
                    <a:stretch>
                      <a:fillRect/>
                    </a:stretch>
                  </pic:blipFill>
                  <pic:spPr>
                    <a:xfrm>
                      <a:off x="0" y="0"/>
                      <a:ext cx="5616000" cy="3159000"/>
                    </a:xfrm>
                    <a:prstGeom prst="rect"/>
                  </pic:spPr>
                </pic:pic>
              </a:graphicData>
            </a:graphic>
          </wp:inline>
        </w:drawing>
      </w:r>
    </w:p>
    <w:p>
      <w:r>
        <w:rPr>
          <w:sz w:val="18"/>
        </w:rPr>
        <w:t>Evidencia previa de la interfaz de inspección, capturada a 1920 × 1080. La prueba usa RenderTexture; no es una captura de un ejecutable Windows.</w:t>
      </w:r>
    </w:p>
    <w:p>
      <w:pPr>
        <w:pStyle w:val="Heading2"/>
      </w:pPr>
      <w:r>
        <w:t>Regeneración y procedencia</w:t>
      </w:r>
    </w:p>
    <w:p>
      <w:r>
        <w:t>Los menús Operation Heist/Crear prototipo FPS y Crear kit original e integrar regeneran prefabs y la composición de FPSPrototype. Guardar aparte cualquier cambio manual antes de usarlos. La regeneración conserva los GUID de meshes existentes y reutiliza los materiales ya creados.</w:t>
      </w:r>
    </w:p>
    <w:p>
      <w:r>
        <w:t>OriginalModels.md documenta las recetas y AssetManifest.csv la procedencia por archivo. Hunyuan todavía no ha producido un modelo importado en este proyecto.</w:t>
      </w:r>
    </w:p>
    <w:p>
      <w:r>
        <w:br w:type="page"/>
      </w:r>
    </w:p>
    <w:p>
      <w:pPr>
        <w:pStyle w:val="Heading1"/>
      </w:pPr>
      <w:r>
        <w:t>4 Entorno y coordinación de desarrollo</w:t>
      </w:r>
    </w:p>
    <w:p>
      <w:pPr>
        <w:pStyle w:val="Heading2"/>
      </w:pPr>
      <w:r>
        <w:t>Git y contexto persistente</w:t>
      </w:r>
    </w:p>
    <w:p>
      <w:r>
        <w:t>Hay un repositorio local main con los commits 9f354a7 (base del proyecto y entorno) y af485ad (raycast y UI). Antes de este informe no existía remoto configurado. La conexión GitHub de daer-1701 se comprobó para publicar el documento solicitado, conservando el contenido remoto existente.</w:t>
      </w:r>
    </w:p>
    <w:p>
      <w:r>
        <w:t>Se versionan Assets con sus .meta, Packages con su lock y ProjectSettings. .gitignore excluye Library, Temp, Logs, UserSettings, builds, soluciones generadas, historiales de agentes y respaldos de plantilla. .gitattributes define texto/binarios y el driver local de UnityYAMLMerge usa el editor fijado.</w:t>
      </w:r>
    </w:p>
    <w:p>
      <w:r>
        <w:t>.cursorignore y .ignore reducen indexación y búsquedas de binarios y datos generados. No son una barrera de seguridad ni impiden lecturas desde terminal/MCP. Progress.md sirve como memoria mantenida entre sesiones; no es memoria automática del modelo ni promete un porcentaje de ahorro de tokens.</w:t>
      </w:r>
    </w:p>
    <w:p>
      <w:pPr>
        <w:pStyle w:val="Heading2"/>
      </w:pPr>
      <w:r>
        <w:t>C# y herramientas de Unity</w:t>
      </w:r>
    </w:p>
    <w:p>
      <w:r>
        <w:t>Cursor tiene DotRush 26.10.277 y .NET Install Tool 3.2.0. Hay SDK .NET 8.0.308 y 10.0.302; DotRush usa net10. El arranque del servidor LSP y sus capacidades completion/hover fueron comprobados. Quedan pendientes una comprobación visual completa de IntelliSense y una sesión de depuración adjunta.</w:t>
      </w:r>
    </w:p>
    <w:p>
      <w:r>
        <w:t>.vscode selecciona Operation Heist.slnx y ofrece F5 → adjuntar a Unity. Unity genera la solución y los .csproj; deben regenerarse en otro equipo. No cambiar versiones de paquetes por suposición. Referencias principales actuales: URP 17.5.0, Input System 1.20.0, AI Navigation 2.0.14, Test Framework 1.7.0 y uGUI 2.5.0.</w:t>
      </w:r>
    </w:p>
    <w:p>
      <w:pPr>
        <w:pStyle w:val="Heading2"/>
      </w:pPr>
      <w:r>
        <w:t>Skills compartidas y reparto</w:t>
      </w:r>
    </w:p>
    <w:p>
      <w:r>
        <w:t>Las skills .agents/skills/operation-heist-unity y operation-heist-ui están instaladas, validadas y fueron descubiertas por Cursor. La primera cubre gameplay, recursos y pruebas; la segunda, HUD y menús. Cargarlas cuando corresponda. No existe un servidor Unity MCP configurado.</w:t>
      </w:r>
    </w:p>
    <w:p>
      <w:pPr>
        <w:pStyle w:val="ListBullet"/>
      </w:pPr>
      <w:r>
        <w:t>Codex implementa e integra, define contratos y reserva rutas en Coordination.md. Cursor recibe pruebas o revisiones con alcance explícito; evitar que ambos editen el mismo archivo.</w:t>
      </w:r>
    </w:p>
    <w:p>
      <w:pPr>
        <w:pStyle w:val="ListBullet"/>
      </w:pPr>
      <w:r>
        <w:t>Tools/Invoke-CursorTask.ps1 -TaskId &lt;id&gt; ejecuta un JSON de Docs/Tasks, guarda stdout/stderr en Docs/AgentRuns y aplica un bloqueo para evitar dos invocaciones simultáneas.</w:t>
      </w:r>
    </w:p>
    <w:p>
      <w:pPr>
        <w:pStyle w:val="ListBullet"/>
      </w:pPr>
      <w:r>
        <w:t>La CLI de Cursor está instalada y autenticada. Una ejecución correcta queda awaiting_review; Codex revisa y después marca completed. Las rutas permitidas son instrucciones, no aislamiento del sistema de archivos.</w:t>
      </w:r>
    </w:p>
    <w:p>
      <w:pPr>
        <w:pStyle w:val="ListBullet"/>
      </w:pPr>
      <w:r>
        <w:t>Las ocho tareas previas están completed. No hay trabajo activo de botín ni reservas de gameplay pendientes. La CLI no comparte automáticamente el chat del editor ni trabaja de forma continua con la sesión cerrada.</w:t>
      </w:r>
    </w:p>
    <w:p>
      <w:r>
        <w:br w:type="page"/>
      </w:r>
    </w:p>
    <w:p>
      <w:pPr>
        <w:pStyle w:val="Heading1"/>
      </w:pPr>
      <w:r>
        <w:t>5 Pruebas y alcance real de la verificación</w:t>
      </w:r>
    </w:p>
    <w:p>
      <w:r>
        <w:t>La última entrega de gameplay tiene compilación correcta y 23 pruebas Play Mode aprobadas. Para este informe se leyó el XML existente y se repitió la auditoría del inventario; no se volvió a compilar Unity ni se ejecutó de nuevo la suite.</w:t>
      </w:r>
    </w:p>
    <w:tbl>
      <w:tblPr>
        <w:tblW w:type="auto" w:w="0"/>
        <w:tblLayout w:type="fixed"/>
        <w:tblLook w:firstColumn="1" w:firstRow="1" w:lastColumn="0" w:lastRow="0" w:noHBand="0" w:noVBand="1" w:val="04A0"/>
      </w:tblPr>
      <w:tblGrid>
        <w:gridCol w:w="3572"/>
        <w:gridCol w:w="1361"/>
        <w:gridCol w:w="4819"/>
      </w:tblGrid>
      <w:tr>
        <w:trPr>
          <w:cantSplit/>
          <w:tblHeader/>
        </w:trPr>
        <w:tc>
          <w:tcPr>
            <w:tcW w:type="dxa" w:w="3572"/>
            <w:vAlign w:val="center"/>
            <w:tcMar>
              <w:top w:w="90" w:type="dxa"/>
              <w:bottom w:w="90" w:type="dxa"/>
              <w:left w:w="110" w:type="dxa"/>
              <w:right w:w="110" w:type="dxa"/>
            </w:tcMar>
            <w:tcBorders>
              <w:top w:val="single" w:sz="4" w:color="D9D9D9"/>
              <w:bottom w:val="single" w:sz="4" w:color="D9D9D9"/>
              <w:left w:val="single" w:sz="4" w:color="D9D9D9"/>
              <w:right w:val="single" w:sz="4" w:color="D9D9D9"/>
            </w:tcBorders>
            <w:shd w:fill="223B4C"/>
          </w:tcPr>
          <w:p>
            <w:pPr>
              <w:spacing w:after="0" w:line="247" w:lineRule="auto"/>
            </w:pPr>
            <w:r>
              <w:rPr>
                <w:b/>
                <w:color w:val="FFFFFF"/>
                <w:sz w:val="20"/>
              </w:rPr>
              <w:t>Suite</w:t>
            </w:r>
          </w:p>
        </w:tc>
        <w:tc>
          <w:tcPr>
            <w:tcW w:type="dxa" w:w="1361"/>
            <w:vAlign w:val="center"/>
            <w:tcMar>
              <w:top w:w="90" w:type="dxa"/>
              <w:bottom w:w="90" w:type="dxa"/>
              <w:left w:w="110" w:type="dxa"/>
              <w:right w:w="110" w:type="dxa"/>
            </w:tcMar>
            <w:tcBorders>
              <w:top w:val="single" w:sz="4" w:color="D9D9D9"/>
              <w:bottom w:val="single" w:sz="4" w:color="D9D9D9"/>
              <w:left w:val="single" w:sz="4" w:color="D9D9D9"/>
              <w:right w:val="single" w:sz="4" w:color="D9D9D9"/>
            </w:tcBorders>
            <w:shd w:fill="223B4C"/>
          </w:tcPr>
          <w:p>
            <w:pPr>
              <w:spacing w:after="0" w:line="247" w:lineRule="auto"/>
            </w:pPr>
            <w:r>
              <w:rPr>
                <w:b/>
                <w:color w:val="FFFFFF"/>
                <w:sz w:val="20"/>
              </w:rPr>
              <w:t>Aprobadas</w:t>
            </w:r>
          </w:p>
        </w:tc>
        <w:tc>
          <w:tcPr>
            <w:tcW w:type="dxa" w:w="4819"/>
            <w:vAlign w:val="center"/>
            <w:tcMar>
              <w:top w:w="90" w:type="dxa"/>
              <w:bottom w:w="90" w:type="dxa"/>
              <w:left w:w="110" w:type="dxa"/>
              <w:right w:w="110" w:type="dxa"/>
            </w:tcMar>
            <w:tcBorders>
              <w:top w:val="single" w:sz="4" w:color="D9D9D9"/>
              <w:bottom w:val="single" w:sz="4" w:color="D9D9D9"/>
              <w:left w:val="single" w:sz="4" w:color="D9D9D9"/>
              <w:right w:val="single" w:sz="4" w:color="D9D9D9"/>
            </w:tcBorders>
            <w:shd w:fill="223B4C"/>
          </w:tcPr>
          <w:p>
            <w:pPr>
              <w:spacing w:after="0" w:line="247" w:lineRule="auto"/>
            </w:pPr>
            <w:r>
              <w:rPr>
                <w:b/>
                <w:color w:val="FFFFFF"/>
                <w:sz w:val="20"/>
              </w:rPr>
              <w:t>Qué comprueba</w:t>
            </w:r>
          </w:p>
        </w:tc>
      </w:tr>
      <w:tr>
        <w:trPr>
          <w:cantSplit/>
        </w:trPr>
        <w:tc>
          <w:tcPr>
            <w:tcW w:type="dxa" w:w="3572"/>
            <w:vAlign w:val="center"/>
            <w:tcMar>
              <w:top w:w="90" w:type="dxa"/>
              <w:bottom w:w="90" w:type="dxa"/>
              <w:left w:w="110" w:type="dxa"/>
              <w:right w:w="110" w:type="dxa"/>
            </w:tcMar>
            <w:tcBorders>
              <w:top w:val="single" w:sz="4" w:color="D9D9D9"/>
              <w:bottom w:val="single" w:sz="4" w:color="D9D9D9"/>
              <w:left w:val="single" w:sz="4" w:color="D9D9D9"/>
              <w:right w:val="single" w:sz="4" w:color="D9D9D9"/>
            </w:tcBorders>
            <w:shd w:fill="FFFFFF"/>
          </w:tcPr>
          <w:p>
            <w:pPr>
              <w:spacing w:after="0" w:line="247" w:lineRule="auto"/>
            </w:pPr>
            <w:r>
              <w:rPr>
                <w:b w:val="0"/>
                <w:color w:val="000000"/>
                <w:sz w:val="20"/>
              </w:rPr>
              <w:t>FpsControllerTests</w:t>
            </w:r>
          </w:p>
        </w:tc>
        <w:tc>
          <w:tcPr>
            <w:tcW w:type="dxa" w:w="1361"/>
            <w:vAlign w:val="center"/>
            <w:tcMar>
              <w:top w:w="90" w:type="dxa"/>
              <w:bottom w:w="90" w:type="dxa"/>
              <w:left w:w="110" w:type="dxa"/>
              <w:right w:w="110" w:type="dxa"/>
            </w:tcMar>
            <w:tcBorders>
              <w:top w:val="single" w:sz="4" w:color="D9D9D9"/>
              <w:bottom w:val="single" w:sz="4" w:color="D9D9D9"/>
              <w:left w:val="single" w:sz="4" w:color="D9D9D9"/>
              <w:right w:val="single" w:sz="4" w:color="D9D9D9"/>
            </w:tcBorders>
            <w:shd w:fill="FFFFFF"/>
          </w:tcPr>
          <w:p>
            <w:pPr>
              <w:spacing w:after="0" w:line="247" w:lineRule="auto"/>
            </w:pPr>
            <w:r>
              <w:rPr>
                <w:b w:val="0"/>
                <w:color w:val="000000"/>
                <w:sz w:val="20"/>
              </w:rPr>
              <w:t>5</w:t>
            </w:r>
          </w:p>
        </w:tc>
        <w:tc>
          <w:tcPr>
            <w:tcW w:type="dxa" w:w="4819"/>
            <w:vAlign w:val="center"/>
            <w:tcMar>
              <w:top w:w="90" w:type="dxa"/>
              <w:bottom w:w="90" w:type="dxa"/>
              <w:left w:w="110" w:type="dxa"/>
              <w:right w:w="110" w:type="dxa"/>
            </w:tcMar>
            <w:tcBorders>
              <w:top w:val="single" w:sz="4" w:color="D9D9D9"/>
              <w:bottom w:val="single" w:sz="4" w:color="D9D9D9"/>
              <w:left w:val="single" w:sz="4" w:color="D9D9D9"/>
              <w:right w:val="single" w:sz="4" w:color="D9D9D9"/>
            </w:tcBorders>
            <w:shd w:fill="FFFFFF"/>
          </w:tcPr>
          <w:p>
            <w:pPr>
              <w:spacing w:after="0" w:line="247" w:lineRule="auto"/>
            </w:pPr>
            <w:r>
              <w:rPr>
                <w:b w:val="0"/>
                <w:color w:val="000000"/>
                <w:sz w:val="20"/>
              </w:rPr>
              <w:t>Movimiento, carrera, agachado, cámara y control local.</w:t>
            </w:r>
          </w:p>
        </w:tc>
      </w:tr>
      <w:tr>
        <w:trPr>
          <w:cantSplit/>
        </w:trPr>
        <w:tc>
          <w:tcPr>
            <w:tcW w:type="dxa" w:w="3572"/>
            <w:vAlign w:val="center"/>
            <w:tcMar>
              <w:top w:w="90" w:type="dxa"/>
              <w:bottom w:w="90" w:type="dxa"/>
              <w:left w:w="110" w:type="dxa"/>
              <w:right w:w="110" w:type="dxa"/>
            </w:tcMar>
            <w:tcBorders>
              <w:top w:val="single" w:sz="4" w:color="D9D9D9"/>
              <w:bottom w:val="single" w:sz="4" w:color="D9D9D9"/>
              <w:left w:val="single" w:sz="4" w:color="D9D9D9"/>
              <w:right w:val="single" w:sz="4" w:color="D9D9D9"/>
            </w:tcBorders>
            <w:shd w:fill="F3F6F8"/>
          </w:tcPr>
          <w:p>
            <w:pPr>
              <w:spacing w:after="0" w:line="247" w:lineRule="auto"/>
            </w:pPr>
            <w:r>
              <w:rPr>
                <w:b w:val="0"/>
                <w:color w:val="000000"/>
                <w:sz w:val="20"/>
              </w:rPr>
              <w:t>PlayerInteractorTests</w:t>
            </w:r>
          </w:p>
        </w:tc>
        <w:tc>
          <w:tcPr>
            <w:tcW w:type="dxa" w:w="1361"/>
            <w:vAlign w:val="center"/>
            <w:tcMar>
              <w:top w:w="90" w:type="dxa"/>
              <w:bottom w:w="90" w:type="dxa"/>
              <w:left w:w="110" w:type="dxa"/>
              <w:right w:w="110" w:type="dxa"/>
            </w:tcMar>
            <w:tcBorders>
              <w:top w:val="single" w:sz="4" w:color="D9D9D9"/>
              <w:bottom w:val="single" w:sz="4" w:color="D9D9D9"/>
              <w:left w:val="single" w:sz="4" w:color="D9D9D9"/>
              <w:right w:val="single" w:sz="4" w:color="D9D9D9"/>
            </w:tcBorders>
            <w:shd w:fill="F3F6F8"/>
          </w:tcPr>
          <w:p>
            <w:pPr>
              <w:spacing w:after="0" w:line="247" w:lineRule="auto"/>
            </w:pPr>
            <w:r>
              <w:rPr>
                <w:b w:val="0"/>
                <w:color w:val="000000"/>
                <w:sz w:val="20"/>
              </w:rPr>
              <w:t>16</w:t>
            </w:r>
          </w:p>
        </w:tc>
        <w:tc>
          <w:tcPr>
            <w:tcW w:type="dxa" w:w="4819"/>
            <w:vAlign w:val="center"/>
            <w:tcMar>
              <w:top w:w="90" w:type="dxa"/>
              <w:bottom w:w="90" w:type="dxa"/>
              <w:left w:w="110" w:type="dxa"/>
              <w:right w:w="110" w:type="dxa"/>
            </w:tcMar>
            <w:tcBorders>
              <w:top w:val="single" w:sz="4" w:color="D9D9D9"/>
              <w:bottom w:val="single" w:sz="4" w:color="D9D9D9"/>
              <w:left w:val="single" w:sz="4" w:color="D9D9D9"/>
              <w:right w:val="single" w:sz="4" w:color="D9D9D9"/>
            </w:tcBorders>
            <w:shd w:fill="F3F6F8"/>
          </w:tcPr>
          <w:p>
            <w:pPr>
              <w:spacing w:after="0" w:line="247" w:lineRule="auto"/>
            </w:pPr>
            <w:r>
              <w:rPr>
                <w:b w:val="0"/>
                <w:color w:val="000000"/>
                <w:sz w:val="20"/>
              </w:rPr>
              <w:t>Rango, obstáculos, entrada, ownership, objetivo e inspección única.</w:t>
            </w:r>
          </w:p>
        </w:tc>
      </w:tr>
      <w:tr>
        <w:trPr>
          <w:cantSplit/>
        </w:trPr>
        <w:tc>
          <w:tcPr>
            <w:tcW w:type="dxa" w:w="3572"/>
            <w:vAlign w:val="center"/>
            <w:tcMar>
              <w:top w:w="90" w:type="dxa"/>
              <w:bottom w:w="90" w:type="dxa"/>
              <w:left w:w="110" w:type="dxa"/>
              <w:right w:w="110" w:type="dxa"/>
            </w:tcMar>
            <w:tcBorders>
              <w:top w:val="single" w:sz="4" w:color="D9D9D9"/>
              <w:bottom w:val="single" w:sz="4" w:color="D9D9D9"/>
              <w:left w:val="single" w:sz="4" w:color="D9D9D9"/>
              <w:right w:val="single" w:sz="4" w:color="D9D9D9"/>
            </w:tcBorders>
            <w:shd w:fill="FFFFFF"/>
          </w:tcPr>
          <w:p>
            <w:pPr>
              <w:spacing w:after="0" w:line="247" w:lineRule="auto"/>
            </w:pPr>
            <w:r>
              <w:rPr>
                <w:b w:val="0"/>
                <w:color w:val="000000"/>
                <w:sz w:val="20"/>
              </w:rPr>
              <w:t>OriginalModelsTests</w:t>
            </w:r>
          </w:p>
        </w:tc>
        <w:tc>
          <w:tcPr>
            <w:tcW w:type="dxa" w:w="1361"/>
            <w:vAlign w:val="center"/>
            <w:tcMar>
              <w:top w:w="90" w:type="dxa"/>
              <w:bottom w:w="90" w:type="dxa"/>
              <w:left w:w="110" w:type="dxa"/>
              <w:right w:w="110" w:type="dxa"/>
            </w:tcMar>
            <w:tcBorders>
              <w:top w:val="single" w:sz="4" w:color="D9D9D9"/>
              <w:bottom w:val="single" w:sz="4" w:color="D9D9D9"/>
              <w:left w:val="single" w:sz="4" w:color="D9D9D9"/>
              <w:right w:val="single" w:sz="4" w:color="D9D9D9"/>
            </w:tcBorders>
            <w:shd w:fill="FFFFFF"/>
          </w:tcPr>
          <w:p>
            <w:pPr>
              <w:spacing w:after="0" w:line="247" w:lineRule="auto"/>
            </w:pPr>
            <w:r>
              <w:rPr>
                <w:b w:val="0"/>
                <w:color w:val="000000"/>
                <w:sz w:val="20"/>
              </w:rPr>
              <w:t>1</w:t>
            </w:r>
          </w:p>
        </w:tc>
        <w:tc>
          <w:tcPr>
            <w:tcW w:type="dxa" w:w="4819"/>
            <w:vAlign w:val="center"/>
            <w:tcMar>
              <w:top w:w="90" w:type="dxa"/>
              <w:bottom w:w="90" w:type="dxa"/>
              <w:left w:w="110" w:type="dxa"/>
              <w:right w:w="110" w:type="dxa"/>
            </w:tcMar>
            <w:tcBorders>
              <w:top w:val="single" w:sz="4" w:color="D9D9D9"/>
              <w:bottom w:val="single" w:sz="4" w:color="D9D9D9"/>
              <w:left w:val="single" w:sz="4" w:color="D9D9D9"/>
              <w:right w:val="single" w:sz="4" w:color="D9D9D9"/>
            </w:tcBorders>
            <w:shd w:fill="FFFFFF"/>
          </w:tcPr>
          <w:p>
            <w:pPr>
              <w:spacing w:after="0" w:line="247" w:lineRule="auto"/>
            </w:pPr>
            <w:r>
              <w:rPr>
                <w:b w:val="0"/>
                <w:color w:val="000000"/>
                <w:sz w:val="20"/>
              </w:rPr>
              <w:t>Carga de escena, cuatro props y renderizado.</w:t>
            </w:r>
          </w:p>
        </w:tc>
      </w:tr>
      <w:tr>
        <w:trPr>
          <w:cantSplit/>
        </w:trPr>
        <w:tc>
          <w:tcPr>
            <w:tcW w:type="dxa" w:w="3572"/>
            <w:vAlign w:val="center"/>
            <w:tcMar>
              <w:top w:w="90" w:type="dxa"/>
              <w:bottom w:w="90" w:type="dxa"/>
              <w:left w:w="110" w:type="dxa"/>
              <w:right w:w="110" w:type="dxa"/>
            </w:tcMar>
            <w:tcBorders>
              <w:top w:val="single" w:sz="4" w:color="D9D9D9"/>
              <w:bottom w:val="single" w:sz="4" w:color="D9D9D9"/>
              <w:left w:val="single" w:sz="4" w:color="D9D9D9"/>
              <w:right w:val="single" w:sz="4" w:color="D9D9D9"/>
            </w:tcBorders>
            <w:shd w:fill="F3F6F8"/>
          </w:tcPr>
          <w:p>
            <w:pPr>
              <w:spacing w:after="0" w:line="247" w:lineRule="auto"/>
            </w:pPr>
            <w:r>
              <w:rPr>
                <w:b w:val="0"/>
                <w:color w:val="000000"/>
                <w:sz w:val="20"/>
              </w:rPr>
              <w:t>InteractionPresentationTests</w:t>
            </w:r>
          </w:p>
        </w:tc>
        <w:tc>
          <w:tcPr>
            <w:tcW w:type="dxa" w:w="1361"/>
            <w:vAlign w:val="center"/>
            <w:tcMar>
              <w:top w:w="90" w:type="dxa"/>
              <w:bottom w:w="90" w:type="dxa"/>
              <w:left w:w="110" w:type="dxa"/>
              <w:right w:w="110" w:type="dxa"/>
            </w:tcMar>
            <w:tcBorders>
              <w:top w:val="single" w:sz="4" w:color="D9D9D9"/>
              <w:bottom w:val="single" w:sz="4" w:color="D9D9D9"/>
              <w:left w:val="single" w:sz="4" w:color="D9D9D9"/>
              <w:right w:val="single" w:sz="4" w:color="D9D9D9"/>
            </w:tcBorders>
            <w:shd w:fill="F3F6F8"/>
          </w:tcPr>
          <w:p>
            <w:pPr>
              <w:spacing w:after="0" w:line="247" w:lineRule="auto"/>
            </w:pPr>
            <w:r>
              <w:rPr>
                <w:b w:val="0"/>
                <w:color w:val="000000"/>
                <w:sz w:val="20"/>
              </w:rPr>
              <w:t>1</w:t>
            </w:r>
          </w:p>
        </w:tc>
        <w:tc>
          <w:tcPr>
            <w:tcW w:type="dxa" w:w="4819"/>
            <w:vAlign w:val="center"/>
            <w:tcMar>
              <w:top w:w="90" w:type="dxa"/>
              <w:bottom w:w="90" w:type="dxa"/>
              <w:left w:w="110" w:type="dxa"/>
              <w:right w:w="110" w:type="dxa"/>
            </w:tcMar>
            <w:tcBorders>
              <w:top w:val="single" w:sz="4" w:color="D9D9D9"/>
              <w:bottom w:val="single" w:sz="4" w:color="D9D9D9"/>
              <w:left w:val="single" w:sz="4" w:color="D9D9D9"/>
              <w:right w:val="single" w:sz="4" w:color="D9D9D9"/>
            </w:tcBorders>
            <w:shd w:fill="F3F6F8"/>
          </w:tcPr>
          <w:p>
            <w:pPr>
              <w:spacing w:after="0" w:line="247" w:lineRule="auto"/>
            </w:pPr>
            <w:r>
              <w:rPr>
                <w:b w:val="0"/>
                <w:color w:val="000000"/>
                <w:sz w:val="20"/>
              </w:rPr>
              <w:t>Aviso contextual y respuesta visual de la inspección.</w:t>
            </w:r>
          </w:p>
        </w:tc>
      </w:tr>
      <w:tr>
        <w:trPr>
          <w:cantSplit/>
        </w:trPr>
        <w:tc>
          <w:tcPr>
            <w:tcW w:type="dxa" w:w="3572"/>
            <w:vAlign w:val="center"/>
            <w:tcMar>
              <w:top w:w="90" w:type="dxa"/>
              <w:bottom w:w="90" w:type="dxa"/>
              <w:left w:w="110" w:type="dxa"/>
              <w:right w:w="110" w:type="dxa"/>
            </w:tcMar>
            <w:tcBorders>
              <w:top w:val="single" w:sz="4" w:color="D9D9D9"/>
              <w:bottom w:val="single" w:sz="4" w:color="D9D9D9"/>
              <w:left w:val="single" w:sz="4" w:color="D9D9D9"/>
              <w:right w:val="single" w:sz="4" w:color="D9D9D9"/>
            </w:tcBorders>
            <w:shd w:fill="FFFFFF"/>
          </w:tcPr>
          <w:p>
            <w:pPr>
              <w:spacing w:after="0" w:line="247" w:lineRule="auto"/>
            </w:pPr>
            <w:r>
              <w:rPr>
                <w:b w:val="0"/>
                <w:color w:val="000000"/>
                <w:sz w:val="20"/>
              </w:rPr>
              <w:t>Total</w:t>
            </w:r>
          </w:p>
        </w:tc>
        <w:tc>
          <w:tcPr>
            <w:tcW w:type="dxa" w:w="1361"/>
            <w:vAlign w:val="center"/>
            <w:tcMar>
              <w:top w:w="90" w:type="dxa"/>
              <w:bottom w:w="90" w:type="dxa"/>
              <w:left w:w="110" w:type="dxa"/>
              <w:right w:w="110" w:type="dxa"/>
            </w:tcMar>
            <w:tcBorders>
              <w:top w:val="single" w:sz="4" w:color="D9D9D9"/>
              <w:bottom w:val="single" w:sz="4" w:color="D9D9D9"/>
              <w:left w:val="single" w:sz="4" w:color="D9D9D9"/>
              <w:right w:val="single" w:sz="4" w:color="D9D9D9"/>
            </w:tcBorders>
            <w:shd w:fill="FFFFFF"/>
          </w:tcPr>
          <w:p>
            <w:pPr>
              <w:spacing w:after="0" w:line="247" w:lineRule="auto"/>
            </w:pPr>
            <w:r>
              <w:rPr>
                <w:b w:val="0"/>
                <w:color w:val="000000"/>
                <w:sz w:val="20"/>
              </w:rPr>
              <w:t>23 / 23</w:t>
            </w:r>
          </w:p>
        </w:tc>
        <w:tc>
          <w:tcPr>
            <w:tcW w:type="dxa" w:w="4819"/>
            <w:vAlign w:val="center"/>
            <w:tcMar>
              <w:top w:w="90" w:type="dxa"/>
              <w:bottom w:w="90" w:type="dxa"/>
              <w:left w:w="110" w:type="dxa"/>
              <w:right w:w="110" w:type="dxa"/>
            </w:tcMar>
            <w:tcBorders>
              <w:top w:val="single" w:sz="4" w:color="D9D9D9"/>
              <w:bottom w:val="single" w:sz="4" w:color="D9D9D9"/>
              <w:left w:val="single" w:sz="4" w:color="D9D9D9"/>
              <w:right w:val="single" w:sz="4" w:color="D9D9D9"/>
            </w:tcBorders>
            <w:shd w:fill="FFFFFF"/>
          </w:tcPr>
          <w:p>
            <w:pPr>
              <w:spacing w:after="0" w:line="247" w:lineRule="auto"/>
            </w:pPr>
            <w:r>
              <w:rPr>
                <w:b w:val="0"/>
                <w:color w:val="000000"/>
                <w:sz w:val="20"/>
              </w:rPr>
              <w:t>Regresión FPS, modelos e interacción local.</w:t>
            </w:r>
          </w:p>
        </w:tc>
      </w:tr>
    </w:tbl>
    <w:p>
      <w:pPr>
        <w:spacing w:after="0"/>
      </w:pPr>
    </w:p>
    <w:p>
      <w:pPr>
        <w:pStyle w:val="Heading2"/>
      </w:pPr>
      <w:r>
        <w:t>Evidencia disponible en Docs/QA</w:t>
      </w:r>
    </w:p>
    <w:p>
      <w:pPr>
        <w:pStyle w:val="ListBullet"/>
      </w:pPr>
      <w:r>
        <w:t>Interaction-PlayMode.xml: total 23, aprobadas 23, fallidas 0. Incluye inspección de los cuatro prefabs reales sin agregar componentes de respaldo que oculten errores de integración.</w:t>
      </w:r>
    </w:p>
    <w:p>
      <w:pPr>
        <w:pStyle w:val="ListBullet"/>
      </w:pPr>
      <w:r>
        <w:t>Interaction-1280x720.png e Interaction-1920x1080.png: capturas revisadas sin recortes del aviso. El fixture usa ScreenSpaceCamera para RenderTexture; la UI normal usa ScreenSpaceOverlay.</w:t>
      </w:r>
    </w:p>
    <w:p>
      <w:pPr>
        <w:pStyle w:val="ListBullet"/>
      </w:pPr>
      <w:r>
        <w:t>FPS-PlayMode.xml y OriginalModels-PlayMode.xml: evidencia anterior, incluida como regresión en la validación más reciente.</w:t>
      </w:r>
    </w:p>
    <w:p>
      <w:pPr>
        <w:pStyle w:val="ListBullet"/>
      </w:pPr>
      <w:r>
        <w:t>OriginalModels-validation.txt: medidas y geometría. AssetManifest.csv: 39 archivos importables registrados, sin contar .meta. Los 39 archivos entregados se compararon por hash con la copia validada.</w:t>
      </w:r>
    </w:p>
    <w:p>
      <w:pPr>
        <w:pStyle w:val="ListBullet"/>
      </w:pPr>
      <w:r>
        <w:t>DevelopmentSetup.txt y scripts Tools/Check-DevelopmentSetup.ps1 y Check-CSharpServer.py: configuración local y servidor C#. Ambas skills superaron su validación oficial.</w:t>
      </w:r>
    </w:p>
    <w:p>
      <w:pPr>
        <w:pStyle w:val="Heading2"/>
      </w:pPr>
      <w:r>
        <w:t>Límites que deben conservarse al informar progreso</w:t>
      </w:r>
    </w:p>
    <w:p>
      <w:r>
        <w:t>Las pruebas automatizadas usan entrada y foco simulados. No sustituyen jugar con teclado y ratón físicos, revisar la sensación del movimiento o medir rendimiento en el equipo objetivo. Tampoco se ha validado un ejecutable Windows ni varios equipos conectados.</w:t>
      </w:r>
    </w:p>
    <w:p>
      <w:r>
        <w:t>La inspección repetida no duplica su contador. Eso no demuestra que el botín no se duplique: no hay un sistema de botín implementado que se haya podido probar. Sus invariantes y pruebas deben desarrollarse en la siguiente entrega.</w:t>
      </w:r>
    </w:p>
    <w:p>
      <w:r>
        <w:t>La auditoría confirma cobertura y origen declarado; por sí sola no demuestra autoría ni aprobación institucional. Aún hace falta revisar referencias y contenido del build final, incluida la configuración técnica y las fuentes usadas por la UI.</w:t>
      </w:r>
    </w:p>
    <w:p>
      <w:pPr>
        <w:pStyle w:val="Heading2"/>
      </w:pPr>
      <w:r>
        <w:t>Cómo repetir la comprobación rápida</w:t>
      </w:r>
    </w:p>
    <w:p>
      <w:r>
        <w:t>Desde la raíz: .\Tools\Audit-Assets.ps1 y .\Tools\Check-DevelopmentSetup.ps1. Para gameplay, abrir el editor fijado y ejecutar las pruebas Play Mode en Test Runner. No abrir otra instancia de Unity sobre el mismo proyecto ya abierto; usar una copia de validación si es necesario.</w:t>
      </w:r>
    </w:p>
    <w:p>
      <w:r>
        <w:br w:type="page"/>
      </w:r>
    </w:p>
    <w:p>
      <w:pPr>
        <w:pStyle w:val="Heading1"/>
      </w:pPr>
      <w:r>
        <w:t>6 Próxima entrega botín local sin duplicación</w:t>
      </w:r>
    </w:p>
    <w:p>
      <w:r>
        <w:t>Estado: pendiente. La petición del usuario es recoger, cargar, soltar y depositar botín, con Codex desarrollando y Cursor apoyando en pruebas. La tarea anterior solo leyó contexto y código; no creó scripts de botín ni asignó una tarea de Cursor.</w:t>
      </w:r>
    </w:p>
    <w:p>
      <w:pPr>
        <w:pStyle w:val="Heading2"/>
      </w:pPr>
      <w:r>
        <w:t>Propuesta de alcance para una primera entrega</w:t>
      </w:r>
    </w:p>
    <w:p>
      <w:r>
        <w:t>Implementar una unidad transportable por jugador como corte inicial, con identidad estable y estados mundo, transportado y depositado. Reutilizar modelos propios y conservar la inspección actual de los cuatro props. La capacidad de una unidad es una propuesta de implementación; el inventario completo del GDD requiere trabajo posterior.</w:t>
      </w:r>
    </w:p>
    <w:p>
      <w:pPr>
        <w:pStyle w:val="ListBullet"/>
      </w:pPr>
      <w:r>
        <w:t>Un ítem tiene un único estado y un solo portador válido. Recoger y soltar deben mover la misma instancia; evitar clones que dupliquen valor o geometría.</w:t>
      </w:r>
    </w:p>
    <w:p>
      <w:pPr>
        <w:pStyle w:val="ListBullet"/>
      </w:pPr>
      <w:r>
        <w:t>Depositar debe ser idempotente: una identidad genera recompensa una sola vez, aunque se repita la entrada o la llamada al método. Un objeto depositado deja de ser recogible.</w:t>
      </w:r>
    </w:p>
    <w:p>
      <w:pPr>
        <w:pStyle w:val="ListBullet"/>
      </w:pPr>
      <w:r>
        <w:t>Validar actor, estado, capacidad, distancia y visibilidad antes de cambiar el estado. Definir cómo se bloquea o limita la carrera al llevar carga, conforme al GDD.</w:t>
      </w:r>
    </w:p>
    <w:p>
      <w:pPr>
        <w:pStyle w:val="ListBullet"/>
      </w:pPr>
      <w:r>
        <w:t>Definir recuperación si se pierde el control local, se destruye el portador o el objeto queda bloqueado. Una caída no debe aparecer dentro de paredes ni desaparecer por ser hija del jugador.</w:t>
      </w:r>
    </w:p>
    <w:p>
      <w:pPr>
        <w:pStyle w:val="ListBullet"/>
      </w:pPr>
      <w:r>
        <w:t>Crear una zona o estación de depósito y una indicación visible de carga/entrega. Una zona local no equivale todavía al sistema completo de extracción de misión.</w:t>
      </w:r>
    </w:p>
    <w:p>
      <w:pPr>
        <w:pStyle w:val="Heading2"/>
      </w:pPr>
      <w:r>
        <w:t>Pruebas que Cursor debe preparar y Codex revisar</w:t>
      </w:r>
    </w:p>
    <w:tbl>
      <w:tblPr>
        <w:tblW w:type="auto" w:w="0"/>
        <w:tblLayout w:type="fixed"/>
        <w:tblLook w:firstColumn="1" w:firstRow="1" w:lastColumn="0" w:lastRow="0" w:noHBand="0" w:noVBand="1" w:val="04A0"/>
      </w:tblPr>
      <w:tblGrid>
        <w:gridCol w:w="2948"/>
        <w:gridCol w:w="6803"/>
      </w:tblGrid>
      <w:tr>
        <w:trPr>
          <w:cantSplit/>
          <w:tblHeader/>
        </w:trPr>
        <w:tc>
          <w:tcPr>
            <w:tcW w:type="dxa" w:w="2948"/>
            <w:vAlign w:val="center"/>
            <w:tcMar>
              <w:top w:w="90" w:type="dxa"/>
              <w:bottom w:w="90" w:type="dxa"/>
              <w:left w:w="110" w:type="dxa"/>
              <w:right w:w="110" w:type="dxa"/>
            </w:tcMar>
            <w:tcBorders>
              <w:top w:val="single" w:sz="4" w:color="D9D9D9"/>
              <w:bottom w:val="single" w:sz="4" w:color="D9D9D9"/>
              <w:left w:val="single" w:sz="4" w:color="D9D9D9"/>
              <w:right w:val="single" w:sz="4" w:color="D9D9D9"/>
            </w:tcBorders>
            <w:shd w:fill="223B4C"/>
          </w:tcPr>
          <w:p>
            <w:pPr>
              <w:spacing w:after="0" w:line="247" w:lineRule="auto"/>
            </w:pPr>
            <w:r>
              <w:rPr>
                <w:b/>
                <w:color w:val="FFFFFF"/>
                <w:sz w:val="20"/>
              </w:rPr>
              <w:t>Caso</w:t>
            </w:r>
          </w:p>
        </w:tc>
        <w:tc>
          <w:tcPr>
            <w:tcW w:type="dxa" w:w="6803"/>
            <w:vAlign w:val="center"/>
            <w:tcMar>
              <w:top w:w="90" w:type="dxa"/>
              <w:bottom w:w="90" w:type="dxa"/>
              <w:left w:w="110" w:type="dxa"/>
              <w:right w:w="110" w:type="dxa"/>
            </w:tcMar>
            <w:tcBorders>
              <w:top w:val="single" w:sz="4" w:color="D9D9D9"/>
              <w:bottom w:val="single" w:sz="4" w:color="D9D9D9"/>
              <w:left w:val="single" w:sz="4" w:color="D9D9D9"/>
              <w:right w:val="single" w:sz="4" w:color="D9D9D9"/>
            </w:tcBorders>
            <w:shd w:fill="223B4C"/>
          </w:tcPr>
          <w:p>
            <w:pPr>
              <w:spacing w:after="0" w:line="247" w:lineRule="auto"/>
            </w:pPr>
            <w:r>
              <w:rPr>
                <w:b/>
                <w:color w:val="FFFFFF"/>
                <w:sz w:val="20"/>
              </w:rPr>
              <w:t>Criterio de aceptación propuesto</w:t>
            </w:r>
          </w:p>
        </w:tc>
      </w:tr>
      <w:tr>
        <w:trPr>
          <w:cantSplit/>
        </w:trPr>
        <w:tc>
          <w:tcPr>
            <w:tcW w:type="dxa" w:w="2948"/>
            <w:vAlign w:val="center"/>
            <w:tcMar>
              <w:top w:w="90" w:type="dxa"/>
              <w:bottom w:w="90" w:type="dxa"/>
              <w:left w:w="110" w:type="dxa"/>
              <w:right w:w="110" w:type="dxa"/>
            </w:tcMar>
            <w:tcBorders>
              <w:top w:val="single" w:sz="4" w:color="D9D9D9"/>
              <w:bottom w:val="single" w:sz="4" w:color="D9D9D9"/>
              <w:left w:val="single" w:sz="4" w:color="D9D9D9"/>
              <w:right w:val="single" w:sz="4" w:color="D9D9D9"/>
            </w:tcBorders>
            <w:shd w:fill="FFFFFF"/>
          </w:tcPr>
          <w:p>
            <w:pPr>
              <w:spacing w:after="0" w:line="247" w:lineRule="auto"/>
            </w:pPr>
            <w:r>
              <w:rPr>
                <w:b w:val="0"/>
                <w:color w:val="000000"/>
                <w:sz w:val="20"/>
              </w:rPr>
              <w:t>Recogida repetida</w:t>
            </w:r>
          </w:p>
        </w:tc>
        <w:tc>
          <w:tcPr>
            <w:tcW w:type="dxa" w:w="6803"/>
            <w:vAlign w:val="center"/>
            <w:tcMar>
              <w:top w:w="90" w:type="dxa"/>
              <w:bottom w:w="90" w:type="dxa"/>
              <w:left w:w="110" w:type="dxa"/>
              <w:right w:w="110" w:type="dxa"/>
            </w:tcMar>
            <w:tcBorders>
              <w:top w:val="single" w:sz="4" w:color="D9D9D9"/>
              <w:bottom w:val="single" w:sz="4" w:color="D9D9D9"/>
              <w:left w:val="single" w:sz="4" w:color="D9D9D9"/>
              <w:right w:val="single" w:sz="4" w:color="D9D9D9"/>
            </w:tcBorders>
            <w:shd w:fill="FFFFFF"/>
          </w:tcPr>
          <w:p>
            <w:pPr>
              <w:spacing w:after="0" w:line="247" w:lineRule="auto"/>
            </w:pPr>
            <w:r>
              <w:rPr>
                <w:b w:val="0"/>
                <w:color w:val="000000"/>
                <w:sz w:val="20"/>
              </w:rPr>
              <w:t>Un solo ítem, un portador y ninguna copia nueva.</w:t>
            </w:r>
          </w:p>
        </w:tc>
      </w:tr>
      <w:tr>
        <w:trPr>
          <w:cantSplit/>
        </w:trPr>
        <w:tc>
          <w:tcPr>
            <w:tcW w:type="dxa" w:w="2948"/>
            <w:vAlign w:val="center"/>
            <w:tcMar>
              <w:top w:w="90" w:type="dxa"/>
              <w:bottom w:w="90" w:type="dxa"/>
              <w:left w:w="110" w:type="dxa"/>
              <w:right w:w="110" w:type="dxa"/>
            </w:tcMar>
            <w:tcBorders>
              <w:top w:val="single" w:sz="4" w:color="D9D9D9"/>
              <w:bottom w:val="single" w:sz="4" w:color="D9D9D9"/>
              <w:left w:val="single" w:sz="4" w:color="D9D9D9"/>
              <w:right w:val="single" w:sz="4" w:color="D9D9D9"/>
            </w:tcBorders>
            <w:shd w:fill="F3F6F8"/>
          </w:tcPr>
          <w:p>
            <w:pPr>
              <w:spacing w:after="0" w:line="247" w:lineRule="auto"/>
            </w:pPr>
            <w:r>
              <w:rPr>
                <w:b w:val="0"/>
                <w:color w:val="000000"/>
                <w:sz w:val="20"/>
              </w:rPr>
              <w:t>Dos actores locales</w:t>
            </w:r>
          </w:p>
        </w:tc>
        <w:tc>
          <w:tcPr>
            <w:tcW w:type="dxa" w:w="6803"/>
            <w:vAlign w:val="center"/>
            <w:tcMar>
              <w:top w:w="90" w:type="dxa"/>
              <w:bottom w:w="90" w:type="dxa"/>
              <w:left w:w="110" w:type="dxa"/>
              <w:right w:w="110" w:type="dxa"/>
            </w:tcMar>
            <w:tcBorders>
              <w:top w:val="single" w:sz="4" w:color="D9D9D9"/>
              <w:bottom w:val="single" w:sz="4" w:color="D9D9D9"/>
              <w:left w:val="single" w:sz="4" w:color="D9D9D9"/>
              <w:right w:val="single" w:sz="4" w:color="D9D9D9"/>
            </w:tcBorders>
            <w:shd w:fill="F3F6F8"/>
          </w:tcPr>
          <w:p>
            <w:pPr>
              <w:spacing w:after="0" w:line="247" w:lineRule="auto"/>
            </w:pPr>
            <w:r>
              <w:rPr>
                <w:b w:val="0"/>
                <w:color w:val="000000"/>
                <w:sz w:val="20"/>
              </w:rPr>
              <w:t>Solo uno puede reclamar el mismo objeto.</w:t>
            </w:r>
          </w:p>
        </w:tc>
      </w:tr>
      <w:tr>
        <w:trPr>
          <w:cantSplit/>
        </w:trPr>
        <w:tc>
          <w:tcPr>
            <w:tcW w:type="dxa" w:w="2948"/>
            <w:vAlign w:val="center"/>
            <w:tcMar>
              <w:top w:w="90" w:type="dxa"/>
              <w:bottom w:w="90" w:type="dxa"/>
              <w:left w:w="110" w:type="dxa"/>
              <w:right w:w="110" w:type="dxa"/>
            </w:tcMar>
            <w:tcBorders>
              <w:top w:val="single" w:sz="4" w:color="D9D9D9"/>
              <w:bottom w:val="single" w:sz="4" w:color="D9D9D9"/>
              <w:left w:val="single" w:sz="4" w:color="D9D9D9"/>
              <w:right w:val="single" w:sz="4" w:color="D9D9D9"/>
            </w:tcBorders>
            <w:shd w:fill="FFFFFF"/>
          </w:tcPr>
          <w:p>
            <w:pPr>
              <w:spacing w:after="0" w:line="247" w:lineRule="auto"/>
            </w:pPr>
            <w:r>
              <w:rPr>
                <w:b w:val="0"/>
                <w:color w:val="000000"/>
                <w:sz w:val="20"/>
              </w:rPr>
              <w:t>Ciclos recoger / soltar</w:t>
            </w:r>
          </w:p>
        </w:tc>
        <w:tc>
          <w:tcPr>
            <w:tcW w:type="dxa" w:w="6803"/>
            <w:vAlign w:val="center"/>
            <w:tcMar>
              <w:top w:w="90" w:type="dxa"/>
              <w:bottom w:w="90" w:type="dxa"/>
              <w:left w:w="110" w:type="dxa"/>
              <w:right w:w="110" w:type="dxa"/>
            </w:tcMar>
            <w:tcBorders>
              <w:top w:val="single" w:sz="4" w:color="D9D9D9"/>
              <w:bottom w:val="single" w:sz="4" w:color="D9D9D9"/>
              <w:left w:val="single" w:sz="4" w:color="D9D9D9"/>
              <w:right w:val="single" w:sz="4" w:color="D9D9D9"/>
            </w:tcBorders>
            <w:shd w:fill="FFFFFF"/>
          </w:tcPr>
          <w:p>
            <w:pPr>
              <w:spacing w:after="0" w:line="247" w:lineRule="auto"/>
            </w:pPr>
            <w:r>
              <w:rPr>
                <w:b w:val="0"/>
                <w:color w:val="000000"/>
                <w:sz w:val="20"/>
              </w:rPr>
              <w:t>Se conserva identidad; no crece el número de objetos.</w:t>
            </w:r>
          </w:p>
        </w:tc>
      </w:tr>
      <w:tr>
        <w:trPr>
          <w:cantSplit/>
        </w:trPr>
        <w:tc>
          <w:tcPr>
            <w:tcW w:type="dxa" w:w="2948"/>
            <w:vAlign w:val="center"/>
            <w:tcMar>
              <w:top w:w="90" w:type="dxa"/>
              <w:bottom w:w="90" w:type="dxa"/>
              <w:left w:w="110" w:type="dxa"/>
              <w:right w:w="110" w:type="dxa"/>
            </w:tcMar>
            <w:tcBorders>
              <w:top w:val="single" w:sz="4" w:color="D9D9D9"/>
              <w:bottom w:val="single" w:sz="4" w:color="D9D9D9"/>
              <w:left w:val="single" w:sz="4" w:color="D9D9D9"/>
              <w:right w:val="single" w:sz="4" w:color="D9D9D9"/>
            </w:tcBorders>
            <w:shd w:fill="F3F6F8"/>
          </w:tcPr>
          <w:p>
            <w:pPr>
              <w:spacing w:after="0" w:line="247" w:lineRule="auto"/>
            </w:pPr>
            <w:r>
              <w:rPr>
                <w:b w:val="0"/>
                <w:color w:val="000000"/>
                <w:sz w:val="20"/>
              </w:rPr>
              <w:t>Depósito repetido</w:t>
            </w:r>
          </w:p>
        </w:tc>
        <w:tc>
          <w:tcPr>
            <w:tcW w:type="dxa" w:w="6803"/>
            <w:vAlign w:val="center"/>
            <w:tcMar>
              <w:top w:w="90" w:type="dxa"/>
              <w:bottom w:w="90" w:type="dxa"/>
              <w:left w:w="110" w:type="dxa"/>
              <w:right w:w="110" w:type="dxa"/>
            </w:tcMar>
            <w:tcBorders>
              <w:top w:val="single" w:sz="4" w:color="D9D9D9"/>
              <w:bottom w:val="single" w:sz="4" w:color="D9D9D9"/>
              <w:left w:val="single" w:sz="4" w:color="D9D9D9"/>
              <w:right w:val="single" w:sz="4" w:color="D9D9D9"/>
            </w:tcBorders>
            <w:shd w:fill="F3F6F8"/>
          </w:tcPr>
          <w:p>
            <w:pPr>
              <w:spacing w:after="0" w:line="247" w:lineRule="auto"/>
            </w:pPr>
            <w:r>
              <w:rPr>
                <w:b w:val="0"/>
                <w:color w:val="000000"/>
                <w:sz w:val="20"/>
              </w:rPr>
              <w:t>Contador y recompensa cambian una sola vez.</w:t>
            </w:r>
          </w:p>
        </w:tc>
      </w:tr>
      <w:tr>
        <w:trPr>
          <w:cantSplit/>
        </w:trPr>
        <w:tc>
          <w:tcPr>
            <w:tcW w:type="dxa" w:w="2948"/>
            <w:vAlign w:val="center"/>
            <w:tcMar>
              <w:top w:w="90" w:type="dxa"/>
              <w:bottom w:w="90" w:type="dxa"/>
              <w:left w:w="110" w:type="dxa"/>
              <w:right w:w="110" w:type="dxa"/>
            </w:tcMar>
            <w:tcBorders>
              <w:top w:val="single" w:sz="4" w:color="D9D9D9"/>
              <w:bottom w:val="single" w:sz="4" w:color="D9D9D9"/>
              <w:left w:val="single" w:sz="4" w:color="D9D9D9"/>
              <w:right w:val="single" w:sz="4" w:color="D9D9D9"/>
            </w:tcBorders>
            <w:shd w:fill="FFFFFF"/>
          </w:tcPr>
          <w:p>
            <w:pPr>
              <w:spacing w:after="0" w:line="247" w:lineRule="auto"/>
            </w:pPr>
            <w:r>
              <w:rPr>
                <w:b w:val="0"/>
                <w:color w:val="000000"/>
                <w:sz w:val="20"/>
              </w:rPr>
              <w:t>Dos zonas de depósito</w:t>
            </w:r>
          </w:p>
        </w:tc>
        <w:tc>
          <w:tcPr>
            <w:tcW w:type="dxa" w:w="6803"/>
            <w:vAlign w:val="center"/>
            <w:tcMar>
              <w:top w:w="90" w:type="dxa"/>
              <w:bottom w:w="90" w:type="dxa"/>
              <w:left w:w="110" w:type="dxa"/>
              <w:right w:w="110" w:type="dxa"/>
            </w:tcMar>
            <w:tcBorders>
              <w:top w:val="single" w:sz="4" w:color="D9D9D9"/>
              <w:bottom w:val="single" w:sz="4" w:color="D9D9D9"/>
              <w:left w:val="single" w:sz="4" w:color="D9D9D9"/>
              <w:right w:val="single" w:sz="4" w:color="D9D9D9"/>
            </w:tcBorders>
            <w:shd w:fill="FFFFFF"/>
          </w:tcPr>
          <w:p>
            <w:pPr>
              <w:spacing w:after="0" w:line="247" w:lineRule="auto"/>
            </w:pPr>
            <w:r>
              <w:rPr>
                <w:b w:val="0"/>
                <w:color w:val="000000"/>
                <w:sz w:val="20"/>
              </w:rPr>
              <w:t>La misma identidad no produce dos entregas.</w:t>
            </w:r>
          </w:p>
        </w:tc>
      </w:tr>
      <w:tr>
        <w:trPr>
          <w:cantSplit/>
        </w:trPr>
        <w:tc>
          <w:tcPr>
            <w:tcW w:type="dxa" w:w="2948"/>
            <w:vAlign w:val="center"/>
            <w:tcMar>
              <w:top w:w="90" w:type="dxa"/>
              <w:bottom w:w="90" w:type="dxa"/>
              <w:left w:w="110" w:type="dxa"/>
              <w:right w:w="110" w:type="dxa"/>
            </w:tcMar>
            <w:tcBorders>
              <w:top w:val="single" w:sz="4" w:color="D9D9D9"/>
              <w:bottom w:val="single" w:sz="4" w:color="D9D9D9"/>
              <w:left w:val="single" w:sz="4" w:color="D9D9D9"/>
              <w:right w:val="single" w:sz="4" w:color="D9D9D9"/>
            </w:tcBorders>
            <w:shd w:fill="F3F6F8"/>
          </w:tcPr>
          <w:p>
            <w:pPr>
              <w:spacing w:after="0" w:line="247" w:lineRule="auto"/>
            </w:pPr>
            <w:r>
              <w:rPr>
                <w:b w:val="0"/>
                <w:color w:val="000000"/>
                <w:sz w:val="20"/>
              </w:rPr>
              <w:t>Objetivo inválido</w:t>
            </w:r>
          </w:p>
        </w:tc>
        <w:tc>
          <w:tcPr>
            <w:tcW w:type="dxa" w:w="6803"/>
            <w:vAlign w:val="center"/>
            <w:tcMar>
              <w:top w:w="90" w:type="dxa"/>
              <w:bottom w:w="90" w:type="dxa"/>
              <w:left w:w="110" w:type="dxa"/>
              <w:right w:w="110" w:type="dxa"/>
            </w:tcMar>
            <w:tcBorders>
              <w:top w:val="single" w:sz="4" w:color="D9D9D9"/>
              <w:bottom w:val="single" w:sz="4" w:color="D9D9D9"/>
              <w:left w:val="single" w:sz="4" w:color="D9D9D9"/>
              <w:right w:val="single" w:sz="4" w:color="D9D9D9"/>
            </w:tcBorders>
            <w:shd w:fill="F3F6F8"/>
          </w:tcPr>
          <w:p>
            <w:pPr>
              <w:spacing w:after="0" w:line="247" w:lineRule="auto"/>
            </w:pPr>
            <w:r>
              <w:rPr>
                <w:b w:val="0"/>
                <w:color w:val="000000"/>
                <w:sz w:val="20"/>
              </w:rPr>
              <w:t>Rechazo fuera de rango, tras pared o con objeto inactivo.</w:t>
            </w:r>
          </w:p>
        </w:tc>
      </w:tr>
      <w:tr>
        <w:trPr>
          <w:cantSplit/>
        </w:trPr>
        <w:tc>
          <w:tcPr>
            <w:tcW w:type="dxa" w:w="2948"/>
            <w:vAlign w:val="center"/>
            <w:tcMar>
              <w:top w:w="90" w:type="dxa"/>
              <w:bottom w:w="90" w:type="dxa"/>
              <w:left w:w="110" w:type="dxa"/>
              <w:right w:w="110" w:type="dxa"/>
            </w:tcMar>
            <w:tcBorders>
              <w:top w:val="single" w:sz="4" w:color="D9D9D9"/>
              <w:bottom w:val="single" w:sz="4" w:color="D9D9D9"/>
              <w:left w:val="single" w:sz="4" w:color="D9D9D9"/>
              <w:right w:val="single" w:sz="4" w:color="D9D9D9"/>
            </w:tcBorders>
            <w:shd w:fill="FFFFFF"/>
          </w:tcPr>
          <w:p>
            <w:pPr>
              <w:spacing w:after="0" w:line="247" w:lineRule="auto"/>
            </w:pPr>
            <w:r>
              <w:rPr>
                <w:b w:val="0"/>
                <w:color w:val="000000"/>
                <w:sz w:val="20"/>
              </w:rPr>
              <w:t>Entrada y ownership</w:t>
            </w:r>
          </w:p>
        </w:tc>
        <w:tc>
          <w:tcPr>
            <w:tcW w:type="dxa" w:w="6803"/>
            <w:vAlign w:val="center"/>
            <w:tcMar>
              <w:top w:w="90" w:type="dxa"/>
              <w:bottom w:w="90" w:type="dxa"/>
              <w:left w:w="110" w:type="dxa"/>
              <w:right w:w="110" w:type="dxa"/>
            </w:tcMar>
            <w:tcBorders>
              <w:top w:val="single" w:sz="4" w:color="D9D9D9"/>
              <w:bottom w:val="single" w:sz="4" w:color="D9D9D9"/>
              <w:left w:val="single" w:sz="4" w:color="D9D9D9"/>
              <w:right w:val="single" w:sz="4" w:color="D9D9D9"/>
            </w:tcBorders>
            <w:shd w:fill="FFFFFF"/>
          </w:tcPr>
          <w:p>
            <w:pPr>
              <w:spacing w:after="0" w:line="247" w:lineRule="auto"/>
            </w:pPr>
            <w:r>
              <w:rPr>
                <w:b w:val="0"/>
                <w:color w:val="000000"/>
                <w:sz w:val="20"/>
              </w:rPr>
              <w:t>Rechazo sin foco, con cursor libre o sin control local.</w:t>
            </w:r>
          </w:p>
        </w:tc>
      </w:tr>
      <w:tr>
        <w:trPr>
          <w:cantSplit/>
        </w:trPr>
        <w:tc>
          <w:tcPr>
            <w:tcW w:type="dxa" w:w="2948"/>
            <w:vAlign w:val="center"/>
            <w:tcMar>
              <w:top w:w="90" w:type="dxa"/>
              <w:bottom w:w="90" w:type="dxa"/>
              <w:left w:w="110" w:type="dxa"/>
              <w:right w:w="110" w:type="dxa"/>
            </w:tcMar>
            <w:tcBorders>
              <w:top w:val="single" w:sz="4" w:color="D9D9D9"/>
              <w:bottom w:val="single" w:sz="4" w:color="D9D9D9"/>
              <w:left w:val="single" w:sz="4" w:color="D9D9D9"/>
              <w:right w:val="single" w:sz="4" w:color="D9D9D9"/>
            </w:tcBorders>
            <w:shd w:fill="F3F6F8"/>
          </w:tcPr>
          <w:p>
            <w:pPr>
              <w:spacing w:after="0" w:line="247" w:lineRule="auto"/>
            </w:pPr>
            <w:r>
              <w:rPr>
                <w:b w:val="0"/>
                <w:color w:val="000000"/>
                <w:sz w:val="20"/>
              </w:rPr>
              <w:t>Pérdida o destrucción</w:t>
            </w:r>
          </w:p>
        </w:tc>
        <w:tc>
          <w:tcPr>
            <w:tcW w:type="dxa" w:w="6803"/>
            <w:vAlign w:val="center"/>
            <w:tcMar>
              <w:top w:w="90" w:type="dxa"/>
              <w:bottom w:w="90" w:type="dxa"/>
              <w:left w:w="110" w:type="dxa"/>
              <w:right w:w="110" w:type="dxa"/>
            </w:tcMar>
            <w:tcBorders>
              <w:top w:val="single" w:sz="4" w:color="D9D9D9"/>
              <w:bottom w:val="single" w:sz="4" w:color="D9D9D9"/>
              <w:left w:val="single" w:sz="4" w:color="D9D9D9"/>
              <w:right w:val="single" w:sz="4" w:color="D9D9D9"/>
            </w:tcBorders>
            <w:shd w:fill="F3F6F8"/>
          </w:tcPr>
          <w:p>
            <w:pPr>
              <w:spacing w:after="0" w:line="247" w:lineRule="auto"/>
            </w:pPr>
            <w:r>
              <w:rPr>
                <w:b w:val="0"/>
                <w:color w:val="000000"/>
                <w:sz w:val="20"/>
              </w:rPr>
              <w:t>Sin referencias huérfanas ni pérdida o copia accidental del ítem.</w:t>
            </w:r>
          </w:p>
        </w:tc>
      </w:tr>
      <w:tr>
        <w:trPr>
          <w:cantSplit/>
        </w:trPr>
        <w:tc>
          <w:tcPr>
            <w:tcW w:type="dxa" w:w="2948"/>
            <w:vAlign w:val="center"/>
            <w:tcMar>
              <w:top w:w="90" w:type="dxa"/>
              <w:bottom w:w="90" w:type="dxa"/>
              <w:left w:w="110" w:type="dxa"/>
              <w:right w:w="110" w:type="dxa"/>
            </w:tcMar>
            <w:tcBorders>
              <w:top w:val="single" w:sz="4" w:color="D9D9D9"/>
              <w:bottom w:val="single" w:sz="4" w:color="D9D9D9"/>
              <w:left w:val="single" w:sz="4" w:color="D9D9D9"/>
              <w:right w:val="single" w:sz="4" w:color="D9D9D9"/>
            </w:tcBorders>
            <w:shd w:fill="FFFFFF"/>
          </w:tcPr>
          <w:p>
            <w:pPr>
              <w:spacing w:after="0" w:line="247" w:lineRule="auto"/>
            </w:pPr>
            <w:r>
              <w:rPr>
                <w:b w:val="0"/>
                <w:color w:val="000000"/>
                <w:sz w:val="20"/>
              </w:rPr>
              <w:t>Regresión</w:t>
            </w:r>
          </w:p>
        </w:tc>
        <w:tc>
          <w:tcPr>
            <w:tcW w:type="dxa" w:w="6803"/>
            <w:vAlign w:val="center"/>
            <w:tcMar>
              <w:top w:w="90" w:type="dxa"/>
              <w:bottom w:w="90" w:type="dxa"/>
              <w:left w:w="110" w:type="dxa"/>
              <w:right w:w="110" w:type="dxa"/>
            </w:tcMar>
            <w:tcBorders>
              <w:top w:val="single" w:sz="4" w:color="D9D9D9"/>
              <w:bottom w:val="single" w:sz="4" w:color="D9D9D9"/>
              <w:left w:val="single" w:sz="4" w:color="D9D9D9"/>
              <w:right w:val="single" w:sz="4" w:color="D9D9D9"/>
            </w:tcBorders>
            <w:shd w:fill="FFFFFF"/>
          </w:tcPr>
          <w:p>
            <w:pPr>
              <w:spacing w:after="0" w:line="247" w:lineRule="auto"/>
            </w:pPr>
            <w:r>
              <w:rPr>
                <w:b w:val="0"/>
                <w:color w:val="000000"/>
                <w:sz w:val="20"/>
              </w:rPr>
              <w:t>Siguen pasando las 23 pruebas previas y funcionan los modelos propios.</w:t>
            </w:r>
          </w:p>
        </w:tc>
      </w:tr>
    </w:tbl>
    <w:p>
      <w:pPr>
        <w:spacing w:after="0"/>
      </w:pPr>
    </w:p>
    <w:p>
      <w:r>
        <w:t>Estos casos son criterios futuros, no resultados aprobados. Al implementar red el host deberá repetir las validaciones y autorizar cada transición; una prueba de dos actores en local no acredita seguridad ni sincronización multijugador.</w:t>
      </w:r>
    </w:p>
    <w:p>
      <w:r>
        <w:br w:type="page"/>
      </w:r>
    </w:p>
    <w:p>
      <w:pPr>
        <w:pStyle w:val="Heading1"/>
      </w:pPr>
      <w:r>
        <w:t>7 Trabajo pendiente y orden de continuación</w:t>
      </w:r>
    </w:p>
    <w:tbl>
      <w:tblPr>
        <w:tblW w:type="auto" w:w="0"/>
        <w:tblLayout w:type="fixed"/>
        <w:tblLook w:firstColumn="1" w:firstRow="1" w:lastColumn="0" w:lastRow="0" w:noHBand="0" w:noVBand="1" w:val="04A0"/>
      </w:tblPr>
      <w:tblGrid>
        <w:gridCol w:w="1134"/>
        <w:gridCol w:w="3175"/>
        <w:gridCol w:w="5443"/>
      </w:tblGrid>
      <w:tr>
        <w:trPr>
          <w:cantSplit/>
          <w:tblHeader/>
        </w:trPr>
        <w:tc>
          <w:tcPr>
            <w:tcW w:type="dxa" w:w="1134"/>
            <w:vAlign w:val="center"/>
            <w:tcMar>
              <w:top w:w="90" w:type="dxa"/>
              <w:bottom w:w="90" w:type="dxa"/>
              <w:left w:w="110" w:type="dxa"/>
              <w:right w:w="110" w:type="dxa"/>
            </w:tcMar>
            <w:tcBorders>
              <w:top w:val="single" w:sz="4" w:color="D9D9D9"/>
              <w:bottom w:val="single" w:sz="4" w:color="D9D9D9"/>
              <w:left w:val="single" w:sz="4" w:color="D9D9D9"/>
              <w:right w:val="single" w:sz="4" w:color="D9D9D9"/>
            </w:tcBorders>
            <w:shd w:fill="223B4C"/>
          </w:tcPr>
          <w:p>
            <w:pPr>
              <w:spacing w:after="0" w:line="247" w:lineRule="auto"/>
            </w:pPr>
            <w:r>
              <w:rPr>
                <w:b/>
                <w:color w:val="FFFFFF"/>
                <w:sz w:val="20"/>
              </w:rPr>
              <w:t>Prioridad</w:t>
            </w:r>
          </w:p>
        </w:tc>
        <w:tc>
          <w:tcPr>
            <w:tcW w:type="dxa" w:w="3175"/>
            <w:vAlign w:val="center"/>
            <w:tcMar>
              <w:top w:w="90" w:type="dxa"/>
              <w:bottom w:w="90" w:type="dxa"/>
              <w:left w:w="110" w:type="dxa"/>
              <w:right w:w="110" w:type="dxa"/>
            </w:tcMar>
            <w:tcBorders>
              <w:top w:val="single" w:sz="4" w:color="D9D9D9"/>
              <w:bottom w:val="single" w:sz="4" w:color="D9D9D9"/>
              <w:left w:val="single" w:sz="4" w:color="D9D9D9"/>
              <w:right w:val="single" w:sz="4" w:color="D9D9D9"/>
            </w:tcBorders>
            <w:shd w:fill="223B4C"/>
          </w:tcPr>
          <w:p>
            <w:pPr>
              <w:spacing w:after="0" w:line="247" w:lineRule="auto"/>
            </w:pPr>
            <w:r>
              <w:rPr>
                <w:b/>
                <w:color w:val="FFFFFF"/>
                <w:sz w:val="20"/>
              </w:rPr>
              <w:t>Entrega pendiente</w:t>
            </w:r>
          </w:p>
        </w:tc>
        <w:tc>
          <w:tcPr>
            <w:tcW w:type="dxa" w:w="5443"/>
            <w:vAlign w:val="center"/>
            <w:tcMar>
              <w:top w:w="90" w:type="dxa"/>
              <w:bottom w:w="90" w:type="dxa"/>
              <w:left w:w="110" w:type="dxa"/>
              <w:right w:w="110" w:type="dxa"/>
            </w:tcMar>
            <w:tcBorders>
              <w:top w:val="single" w:sz="4" w:color="D9D9D9"/>
              <w:bottom w:val="single" w:sz="4" w:color="D9D9D9"/>
              <w:left w:val="single" w:sz="4" w:color="D9D9D9"/>
              <w:right w:val="single" w:sz="4" w:color="D9D9D9"/>
            </w:tcBorders>
            <w:shd w:fill="223B4C"/>
          </w:tcPr>
          <w:p>
            <w:pPr>
              <w:spacing w:after="0" w:line="247" w:lineRule="auto"/>
            </w:pPr>
            <w:r>
              <w:rPr>
                <w:b/>
                <w:color w:val="FFFFFF"/>
                <w:sz w:val="20"/>
              </w:rPr>
              <w:t>Salida verificable</w:t>
            </w:r>
          </w:p>
        </w:tc>
      </w:tr>
      <w:tr>
        <w:trPr>
          <w:cantSplit/>
        </w:trPr>
        <w:tc>
          <w:tcPr>
            <w:tcW w:type="dxa" w:w="1134"/>
            <w:vAlign w:val="center"/>
            <w:tcMar>
              <w:top w:w="90" w:type="dxa"/>
              <w:bottom w:w="90" w:type="dxa"/>
              <w:left w:w="110" w:type="dxa"/>
              <w:right w:w="110" w:type="dxa"/>
            </w:tcMar>
            <w:tcBorders>
              <w:top w:val="single" w:sz="4" w:color="D9D9D9"/>
              <w:bottom w:val="single" w:sz="4" w:color="D9D9D9"/>
              <w:left w:val="single" w:sz="4" w:color="D9D9D9"/>
              <w:right w:val="single" w:sz="4" w:color="D9D9D9"/>
            </w:tcBorders>
            <w:shd w:fill="FFFFFF"/>
          </w:tcPr>
          <w:p>
            <w:pPr>
              <w:spacing w:after="0" w:line="247" w:lineRule="auto"/>
            </w:pPr>
            <w:r>
              <w:rPr>
                <w:b w:val="0"/>
                <w:color w:val="000000"/>
                <w:sz w:val="20"/>
              </w:rPr>
              <w:t>1</w:t>
            </w:r>
          </w:p>
        </w:tc>
        <w:tc>
          <w:tcPr>
            <w:tcW w:type="dxa" w:w="3175"/>
            <w:vAlign w:val="center"/>
            <w:tcMar>
              <w:top w:w="90" w:type="dxa"/>
              <w:bottom w:w="90" w:type="dxa"/>
              <w:left w:w="110" w:type="dxa"/>
              <w:right w:w="110" w:type="dxa"/>
            </w:tcMar>
            <w:tcBorders>
              <w:top w:val="single" w:sz="4" w:color="D9D9D9"/>
              <w:bottom w:val="single" w:sz="4" w:color="D9D9D9"/>
              <w:left w:val="single" w:sz="4" w:color="D9D9D9"/>
              <w:right w:val="single" w:sz="4" w:color="D9D9D9"/>
            </w:tcBorders>
            <w:shd w:fill="FFFFFF"/>
          </w:tcPr>
          <w:p>
            <w:pPr>
              <w:spacing w:after="0" w:line="247" w:lineRule="auto"/>
            </w:pPr>
            <w:r>
              <w:rPr>
                <w:b w:val="0"/>
                <w:color w:val="000000"/>
                <w:sz w:val="20"/>
              </w:rPr>
              <w:t>Botín local</w:t>
            </w:r>
          </w:p>
        </w:tc>
        <w:tc>
          <w:tcPr>
            <w:tcW w:type="dxa" w:w="5443"/>
            <w:vAlign w:val="center"/>
            <w:tcMar>
              <w:top w:w="90" w:type="dxa"/>
              <w:bottom w:w="90" w:type="dxa"/>
              <w:left w:w="110" w:type="dxa"/>
              <w:right w:w="110" w:type="dxa"/>
            </w:tcMar>
            <w:tcBorders>
              <w:top w:val="single" w:sz="4" w:color="D9D9D9"/>
              <w:bottom w:val="single" w:sz="4" w:color="D9D9D9"/>
              <w:left w:val="single" w:sz="4" w:color="D9D9D9"/>
              <w:right w:val="single" w:sz="4" w:color="D9D9D9"/>
            </w:tcBorders>
            <w:shd w:fill="FFFFFF"/>
          </w:tcPr>
          <w:p>
            <w:pPr>
              <w:spacing w:after="0" w:line="247" w:lineRule="auto"/>
            </w:pPr>
            <w:r>
              <w:rPr>
                <w:b w:val="0"/>
                <w:color w:val="000000"/>
                <w:sz w:val="20"/>
              </w:rPr>
              <w:t>Recoger, cargar, soltar, depositar y pruebas de identidad/recompensa.</w:t>
            </w:r>
          </w:p>
        </w:tc>
      </w:tr>
      <w:tr>
        <w:trPr>
          <w:cantSplit/>
        </w:trPr>
        <w:tc>
          <w:tcPr>
            <w:tcW w:type="dxa" w:w="1134"/>
            <w:vAlign w:val="center"/>
            <w:tcMar>
              <w:top w:w="90" w:type="dxa"/>
              <w:bottom w:w="90" w:type="dxa"/>
              <w:left w:w="110" w:type="dxa"/>
              <w:right w:w="110" w:type="dxa"/>
            </w:tcMar>
            <w:tcBorders>
              <w:top w:val="single" w:sz="4" w:color="D9D9D9"/>
              <w:bottom w:val="single" w:sz="4" w:color="D9D9D9"/>
              <w:left w:val="single" w:sz="4" w:color="D9D9D9"/>
              <w:right w:val="single" w:sz="4" w:color="D9D9D9"/>
            </w:tcBorders>
            <w:shd w:fill="F3F6F8"/>
          </w:tcPr>
          <w:p>
            <w:pPr>
              <w:spacing w:after="0" w:line="247" w:lineRule="auto"/>
            </w:pPr>
            <w:r>
              <w:rPr>
                <w:b w:val="0"/>
                <w:color w:val="000000"/>
                <w:sz w:val="20"/>
              </w:rPr>
              <w:t>2</w:t>
            </w:r>
          </w:p>
        </w:tc>
        <w:tc>
          <w:tcPr>
            <w:tcW w:type="dxa" w:w="3175"/>
            <w:vAlign w:val="center"/>
            <w:tcMar>
              <w:top w:w="90" w:type="dxa"/>
              <w:bottom w:w="90" w:type="dxa"/>
              <w:left w:w="110" w:type="dxa"/>
              <w:right w:w="110" w:type="dxa"/>
            </w:tcMar>
            <w:tcBorders>
              <w:top w:val="single" w:sz="4" w:color="D9D9D9"/>
              <w:bottom w:val="single" w:sz="4" w:color="D9D9D9"/>
              <w:left w:val="single" w:sz="4" w:color="D9D9D9"/>
              <w:right w:val="single" w:sz="4" w:color="D9D9D9"/>
            </w:tcBorders>
            <w:shd w:fill="F3F6F8"/>
          </w:tcPr>
          <w:p>
            <w:pPr>
              <w:spacing w:after="0" w:line="247" w:lineRule="auto"/>
            </w:pPr>
            <w:r>
              <w:rPr>
                <w:b w:val="0"/>
                <w:color w:val="000000"/>
                <w:sz w:val="20"/>
              </w:rPr>
              <w:t>Ciclo de una misión</w:t>
            </w:r>
          </w:p>
        </w:tc>
        <w:tc>
          <w:tcPr>
            <w:tcW w:type="dxa" w:w="5443"/>
            <w:vAlign w:val="center"/>
            <w:tcMar>
              <w:top w:w="90" w:type="dxa"/>
              <w:bottom w:w="90" w:type="dxa"/>
              <w:left w:w="110" w:type="dxa"/>
              <w:right w:w="110" w:type="dxa"/>
            </w:tcMar>
            <w:tcBorders>
              <w:top w:val="single" w:sz="4" w:color="D9D9D9"/>
              <w:bottom w:val="single" w:sz="4" w:color="D9D9D9"/>
              <w:left w:val="single" w:sz="4" w:color="D9D9D9"/>
              <w:right w:val="single" w:sz="4" w:color="D9D9D9"/>
            </w:tcBorders>
            <w:shd w:fill="F3F6F8"/>
          </w:tcPr>
          <w:p>
            <w:pPr>
              <w:spacing w:after="0" w:line="247" w:lineRule="auto"/>
            </w:pPr>
            <w:r>
              <w:rPr>
                <w:b w:val="0"/>
                <w:color w:val="000000"/>
                <w:sz w:val="20"/>
              </w:rPr>
              <w:t>Objetivos, caja fuerte/puertas, comienzo, fallo y extracción.</w:t>
            </w:r>
          </w:p>
        </w:tc>
      </w:tr>
      <w:tr>
        <w:trPr>
          <w:cantSplit/>
        </w:trPr>
        <w:tc>
          <w:tcPr>
            <w:tcW w:type="dxa" w:w="1134"/>
            <w:vAlign w:val="center"/>
            <w:tcMar>
              <w:top w:w="90" w:type="dxa"/>
              <w:bottom w:w="90" w:type="dxa"/>
              <w:left w:w="110" w:type="dxa"/>
              <w:right w:w="110" w:type="dxa"/>
            </w:tcMar>
            <w:tcBorders>
              <w:top w:val="single" w:sz="4" w:color="D9D9D9"/>
              <w:bottom w:val="single" w:sz="4" w:color="D9D9D9"/>
              <w:left w:val="single" w:sz="4" w:color="D9D9D9"/>
              <w:right w:val="single" w:sz="4" w:color="D9D9D9"/>
            </w:tcBorders>
            <w:shd w:fill="FFFFFF"/>
          </w:tcPr>
          <w:p>
            <w:pPr>
              <w:spacing w:after="0" w:line="247" w:lineRule="auto"/>
            </w:pPr>
            <w:r>
              <w:rPr>
                <w:b w:val="0"/>
                <w:color w:val="000000"/>
                <w:sz w:val="20"/>
              </w:rPr>
              <w:t>3</w:t>
            </w:r>
          </w:p>
        </w:tc>
        <w:tc>
          <w:tcPr>
            <w:tcW w:type="dxa" w:w="3175"/>
            <w:vAlign w:val="center"/>
            <w:tcMar>
              <w:top w:w="90" w:type="dxa"/>
              <w:bottom w:w="90" w:type="dxa"/>
              <w:left w:w="110" w:type="dxa"/>
              <w:right w:w="110" w:type="dxa"/>
            </w:tcMar>
            <w:tcBorders>
              <w:top w:val="single" w:sz="4" w:color="D9D9D9"/>
              <w:bottom w:val="single" w:sz="4" w:color="D9D9D9"/>
              <w:left w:val="single" w:sz="4" w:color="D9D9D9"/>
              <w:right w:val="single" w:sz="4" w:color="D9D9D9"/>
            </w:tcBorders>
            <w:shd w:fill="FFFFFF"/>
          </w:tcPr>
          <w:p>
            <w:pPr>
              <w:spacing w:after="0" w:line="247" w:lineRule="auto"/>
            </w:pPr>
            <w:r>
              <w:rPr>
                <w:b w:val="0"/>
                <w:color w:val="000000"/>
                <w:sz w:val="20"/>
              </w:rPr>
              <w:t>Red para 1–4</w:t>
            </w:r>
          </w:p>
        </w:tc>
        <w:tc>
          <w:tcPr>
            <w:tcW w:type="dxa" w:w="5443"/>
            <w:vAlign w:val="center"/>
            <w:tcMar>
              <w:top w:w="90" w:type="dxa"/>
              <w:bottom w:w="90" w:type="dxa"/>
              <w:left w:w="110" w:type="dxa"/>
              <w:right w:w="110" w:type="dxa"/>
            </w:tcMar>
            <w:tcBorders>
              <w:top w:val="single" w:sz="4" w:color="D9D9D9"/>
              <w:bottom w:val="single" w:sz="4" w:color="D9D9D9"/>
              <w:left w:val="single" w:sz="4" w:color="D9D9D9"/>
              <w:right w:val="single" w:sz="4" w:color="D9D9D9"/>
            </w:tcBorders>
            <w:shd w:fill="FFFFFF"/>
          </w:tcPr>
          <w:p>
            <w:pPr>
              <w:spacing w:after="0" w:line="247" w:lineRule="auto"/>
            </w:pPr>
            <w:r>
              <w:rPr>
                <w:b w:val="0"/>
                <w:color w:val="000000"/>
                <w:sz w:val="20"/>
              </w:rPr>
              <w:t>Paquetes evaluados, host con autoridad, lobby/conexión y estado compartido.</w:t>
            </w:r>
          </w:p>
        </w:tc>
      </w:tr>
      <w:tr>
        <w:trPr>
          <w:cantSplit/>
        </w:trPr>
        <w:tc>
          <w:tcPr>
            <w:tcW w:type="dxa" w:w="1134"/>
            <w:vAlign w:val="center"/>
            <w:tcMar>
              <w:top w:w="90" w:type="dxa"/>
              <w:bottom w:w="90" w:type="dxa"/>
              <w:left w:w="110" w:type="dxa"/>
              <w:right w:w="110" w:type="dxa"/>
            </w:tcMar>
            <w:tcBorders>
              <w:top w:val="single" w:sz="4" w:color="D9D9D9"/>
              <w:bottom w:val="single" w:sz="4" w:color="D9D9D9"/>
              <w:left w:val="single" w:sz="4" w:color="D9D9D9"/>
              <w:right w:val="single" w:sz="4" w:color="D9D9D9"/>
            </w:tcBorders>
            <w:shd w:fill="F3F6F8"/>
          </w:tcPr>
          <w:p>
            <w:pPr>
              <w:spacing w:after="0" w:line="247" w:lineRule="auto"/>
            </w:pPr>
            <w:r>
              <w:rPr>
                <w:b w:val="0"/>
                <w:color w:val="000000"/>
                <w:sz w:val="20"/>
              </w:rPr>
              <w:t>4</w:t>
            </w:r>
          </w:p>
        </w:tc>
        <w:tc>
          <w:tcPr>
            <w:tcW w:type="dxa" w:w="3175"/>
            <w:vAlign w:val="center"/>
            <w:tcMar>
              <w:top w:w="90" w:type="dxa"/>
              <w:bottom w:w="90" w:type="dxa"/>
              <w:left w:w="110" w:type="dxa"/>
              <w:right w:w="110" w:type="dxa"/>
            </w:tcMar>
            <w:tcBorders>
              <w:top w:val="single" w:sz="4" w:color="D9D9D9"/>
              <w:bottom w:val="single" w:sz="4" w:color="D9D9D9"/>
              <w:left w:val="single" w:sz="4" w:color="D9D9D9"/>
              <w:right w:val="single" w:sz="4" w:color="D9D9D9"/>
            </w:tcBorders>
            <w:shd w:fill="F3F6F8"/>
          </w:tcPr>
          <w:p>
            <w:pPr>
              <w:spacing w:after="0" w:line="247" w:lineRule="auto"/>
            </w:pPr>
            <w:r>
              <w:rPr>
                <w:b w:val="0"/>
                <w:color w:val="000000"/>
                <w:sz w:val="20"/>
              </w:rPr>
              <w:t>Sigilo y respuesta</w:t>
            </w:r>
          </w:p>
        </w:tc>
        <w:tc>
          <w:tcPr>
            <w:tcW w:type="dxa" w:w="5443"/>
            <w:vAlign w:val="center"/>
            <w:tcMar>
              <w:top w:w="90" w:type="dxa"/>
              <w:bottom w:w="90" w:type="dxa"/>
              <w:left w:w="110" w:type="dxa"/>
              <w:right w:w="110" w:type="dxa"/>
            </w:tcMar>
            <w:tcBorders>
              <w:top w:val="single" w:sz="4" w:color="D9D9D9"/>
              <w:bottom w:val="single" w:sz="4" w:color="D9D9D9"/>
              <w:left w:val="single" w:sz="4" w:color="D9D9D9"/>
              <w:right w:val="single" w:sz="4" w:color="D9D9D9"/>
            </w:tcBorders>
            <w:shd w:fill="F3F6F8"/>
          </w:tcPr>
          <w:p>
            <w:pPr>
              <w:spacing w:after="0" w:line="247" w:lineRule="auto"/>
            </w:pPr>
            <w:r>
              <w:rPr>
                <w:b w:val="0"/>
                <w:color w:val="000000"/>
                <w:sz w:val="20"/>
              </w:rPr>
              <w:t>Guardias, detección, alarma y comportamiento de combate según alcance.</w:t>
            </w:r>
          </w:p>
        </w:tc>
      </w:tr>
      <w:tr>
        <w:trPr>
          <w:cantSplit/>
        </w:trPr>
        <w:tc>
          <w:tcPr>
            <w:tcW w:type="dxa" w:w="1134"/>
            <w:vAlign w:val="center"/>
            <w:tcMar>
              <w:top w:w="90" w:type="dxa"/>
              <w:bottom w:w="90" w:type="dxa"/>
              <w:left w:w="110" w:type="dxa"/>
              <w:right w:w="110" w:type="dxa"/>
            </w:tcMar>
            <w:tcBorders>
              <w:top w:val="single" w:sz="4" w:color="D9D9D9"/>
              <w:bottom w:val="single" w:sz="4" w:color="D9D9D9"/>
              <w:left w:val="single" w:sz="4" w:color="D9D9D9"/>
              <w:right w:val="single" w:sz="4" w:color="D9D9D9"/>
            </w:tcBorders>
            <w:shd w:fill="FFFFFF"/>
          </w:tcPr>
          <w:p>
            <w:pPr>
              <w:spacing w:after="0" w:line="247" w:lineRule="auto"/>
            </w:pPr>
            <w:r>
              <w:rPr>
                <w:b w:val="0"/>
                <w:color w:val="000000"/>
                <w:sz w:val="20"/>
              </w:rPr>
              <w:t>5</w:t>
            </w:r>
          </w:p>
        </w:tc>
        <w:tc>
          <w:tcPr>
            <w:tcW w:type="dxa" w:w="3175"/>
            <w:vAlign w:val="center"/>
            <w:tcMar>
              <w:top w:w="90" w:type="dxa"/>
              <w:bottom w:w="90" w:type="dxa"/>
              <w:left w:w="110" w:type="dxa"/>
              <w:right w:w="110" w:type="dxa"/>
            </w:tcMar>
            <w:tcBorders>
              <w:top w:val="single" w:sz="4" w:color="D9D9D9"/>
              <w:bottom w:val="single" w:sz="4" w:color="D9D9D9"/>
              <w:left w:val="single" w:sz="4" w:color="D9D9D9"/>
              <w:right w:val="single" w:sz="4" w:color="D9D9D9"/>
            </w:tcBorders>
            <w:shd w:fill="FFFFFF"/>
          </w:tcPr>
          <w:p>
            <w:pPr>
              <w:spacing w:after="0" w:line="247" w:lineRule="auto"/>
            </w:pPr>
            <w:r>
              <w:rPr>
                <w:b w:val="0"/>
                <w:color w:val="000000"/>
                <w:sz w:val="20"/>
              </w:rPr>
              <w:t>Jugador y progreso</w:t>
            </w:r>
          </w:p>
        </w:tc>
        <w:tc>
          <w:tcPr>
            <w:tcW w:type="dxa" w:w="5443"/>
            <w:vAlign w:val="center"/>
            <w:tcMar>
              <w:top w:w="90" w:type="dxa"/>
              <w:bottom w:w="90" w:type="dxa"/>
              <w:left w:w="110" w:type="dxa"/>
              <w:right w:w="110" w:type="dxa"/>
            </w:tcMar>
            <w:tcBorders>
              <w:top w:val="single" w:sz="4" w:color="D9D9D9"/>
              <w:bottom w:val="single" w:sz="4" w:color="D9D9D9"/>
              <w:left w:val="single" w:sz="4" w:color="D9D9D9"/>
              <w:right w:val="single" w:sz="4" w:color="D9D9D9"/>
            </w:tcBorders>
            <w:shd w:fill="FFFFFF"/>
          </w:tcPr>
          <w:p>
            <w:pPr>
              <w:spacing w:after="0" w:line="247" w:lineRule="auto"/>
            </w:pPr>
            <w:r>
              <w:rPr>
                <w:b w:val="0"/>
                <w:color w:val="000000"/>
                <w:sz w:val="20"/>
              </w:rPr>
              <w:t>Salud/reanimación, economía, mejoras y guardado versionado.</w:t>
            </w:r>
          </w:p>
        </w:tc>
      </w:tr>
      <w:tr>
        <w:trPr>
          <w:cantSplit/>
        </w:trPr>
        <w:tc>
          <w:tcPr>
            <w:tcW w:type="dxa" w:w="1134"/>
            <w:vAlign w:val="center"/>
            <w:tcMar>
              <w:top w:w="90" w:type="dxa"/>
              <w:bottom w:w="90" w:type="dxa"/>
              <w:left w:w="110" w:type="dxa"/>
              <w:right w:w="110" w:type="dxa"/>
            </w:tcMar>
            <w:tcBorders>
              <w:top w:val="single" w:sz="4" w:color="D9D9D9"/>
              <w:bottom w:val="single" w:sz="4" w:color="D9D9D9"/>
              <w:left w:val="single" w:sz="4" w:color="D9D9D9"/>
              <w:right w:val="single" w:sz="4" w:color="D9D9D9"/>
            </w:tcBorders>
            <w:shd w:fill="F3F6F8"/>
          </w:tcPr>
          <w:p>
            <w:pPr>
              <w:spacing w:after="0" w:line="247" w:lineRule="auto"/>
            </w:pPr>
            <w:r>
              <w:rPr>
                <w:b w:val="0"/>
                <w:color w:val="000000"/>
                <w:sz w:val="20"/>
              </w:rPr>
              <w:t>6</w:t>
            </w:r>
          </w:p>
        </w:tc>
        <w:tc>
          <w:tcPr>
            <w:tcW w:type="dxa" w:w="3175"/>
            <w:vAlign w:val="center"/>
            <w:tcMar>
              <w:top w:w="90" w:type="dxa"/>
              <w:bottom w:w="90" w:type="dxa"/>
              <w:left w:w="110" w:type="dxa"/>
              <w:right w:w="110" w:type="dxa"/>
            </w:tcMar>
            <w:tcBorders>
              <w:top w:val="single" w:sz="4" w:color="D9D9D9"/>
              <w:bottom w:val="single" w:sz="4" w:color="D9D9D9"/>
              <w:left w:val="single" w:sz="4" w:color="D9D9D9"/>
              <w:right w:val="single" w:sz="4" w:color="D9D9D9"/>
            </w:tcBorders>
            <w:shd w:fill="F3F6F8"/>
          </w:tcPr>
          <w:p>
            <w:pPr>
              <w:spacing w:after="0" w:line="247" w:lineRule="auto"/>
            </w:pPr>
            <w:r>
              <w:rPr>
                <w:b w:val="0"/>
                <w:color w:val="000000"/>
                <w:sz w:val="20"/>
              </w:rPr>
              <w:t>Contenido propio</w:t>
            </w:r>
          </w:p>
        </w:tc>
        <w:tc>
          <w:tcPr>
            <w:tcW w:type="dxa" w:w="5443"/>
            <w:vAlign w:val="center"/>
            <w:tcMar>
              <w:top w:w="90" w:type="dxa"/>
              <w:bottom w:w="90" w:type="dxa"/>
              <w:left w:w="110" w:type="dxa"/>
              <w:right w:w="110" w:type="dxa"/>
            </w:tcMar>
            <w:tcBorders>
              <w:top w:val="single" w:sz="4" w:color="D9D9D9"/>
              <w:bottom w:val="single" w:sz="4" w:color="D9D9D9"/>
              <w:left w:val="single" w:sz="4" w:color="D9D9D9"/>
              <w:right w:val="single" w:sz="4" w:color="D9D9D9"/>
            </w:tcBorders>
            <w:shd w:fill="F3F6F8"/>
          </w:tcPr>
          <w:p>
            <w:pPr>
              <w:spacing w:after="0" w:line="247" w:lineRule="auto"/>
            </w:pPr>
            <w:r>
              <w:rPr>
                <w:b w:val="0"/>
                <w:color w:val="000000"/>
                <w:sz w:val="20"/>
              </w:rPr>
              <w:t>Arte y audio originales, UI completa, animaciones y Hunyuan revisado.</w:t>
            </w:r>
          </w:p>
        </w:tc>
      </w:tr>
      <w:tr>
        <w:trPr>
          <w:cantSplit/>
        </w:trPr>
        <w:tc>
          <w:tcPr>
            <w:tcW w:type="dxa" w:w="1134"/>
            <w:vAlign w:val="center"/>
            <w:tcMar>
              <w:top w:w="90" w:type="dxa"/>
              <w:bottom w:w="90" w:type="dxa"/>
              <w:left w:w="110" w:type="dxa"/>
              <w:right w:w="110" w:type="dxa"/>
            </w:tcMar>
            <w:tcBorders>
              <w:top w:val="single" w:sz="4" w:color="D9D9D9"/>
              <w:bottom w:val="single" w:sz="4" w:color="D9D9D9"/>
              <w:left w:val="single" w:sz="4" w:color="D9D9D9"/>
              <w:right w:val="single" w:sz="4" w:color="D9D9D9"/>
            </w:tcBorders>
            <w:shd w:fill="FFFFFF"/>
          </w:tcPr>
          <w:p>
            <w:pPr>
              <w:spacing w:after="0" w:line="247" w:lineRule="auto"/>
            </w:pPr>
            <w:r>
              <w:rPr>
                <w:b w:val="0"/>
                <w:color w:val="000000"/>
                <w:sz w:val="20"/>
              </w:rPr>
              <w:t>7</w:t>
            </w:r>
          </w:p>
        </w:tc>
        <w:tc>
          <w:tcPr>
            <w:tcW w:type="dxa" w:w="3175"/>
            <w:vAlign w:val="center"/>
            <w:tcMar>
              <w:top w:w="90" w:type="dxa"/>
              <w:bottom w:w="90" w:type="dxa"/>
              <w:left w:w="110" w:type="dxa"/>
              <w:right w:w="110" w:type="dxa"/>
            </w:tcMar>
            <w:tcBorders>
              <w:top w:val="single" w:sz="4" w:color="D9D9D9"/>
              <w:bottom w:val="single" w:sz="4" w:color="D9D9D9"/>
              <w:left w:val="single" w:sz="4" w:color="D9D9D9"/>
              <w:right w:val="single" w:sz="4" w:color="D9D9D9"/>
            </w:tcBorders>
            <w:shd w:fill="FFFFFF"/>
          </w:tcPr>
          <w:p>
            <w:pPr>
              <w:spacing w:after="0" w:line="247" w:lineRule="auto"/>
            </w:pPr>
            <w:r>
              <w:rPr>
                <w:b w:val="0"/>
                <w:color w:val="000000"/>
                <w:sz w:val="20"/>
              </w:rPr>
              <w:t>Cierre de entrega</w:t>
            </w:r>
          </w:p>
        </w:tc>
        <w:tc>
          <w:tcPr>
            <w:tcW w:type="dxa" w:w="5443"/>
            <w:vAlign w:val="center"/>
            <w:tcMar>
              <w:top w:w="90" w:type="dxa"/>
              <w:bottom w:w="90" w:type="dxa"/>
              <w:left w:w="110" w:type="dxa"/>
              <w:right w:w="110" w:type="dxa"/>
            </w:tcMar>
            <w:tcBorders>
              <w:top w:val="single" w:sz="4" w:color="D9D9D9"/>
              <w:bottom w:val="single" w:sz="4" w:color="D9D9D9"/>
              <w:left w:val="single" w:sz="4" w:color="D9D9D9"/>
              <w:right w:val="single" w:sz="4" w:color="D9D9D9"/>
            </w:tcBorders>
            <w:shd w:fill="FFFFFF"/>
          </w:tcPr>
          <w:p>
            <w:pPr>
              <w:spacing w:after="0" w:line="247" w:lineRule="auto"/>
            </w:pPr>
            <w:r>
              <w:rPr>
                <w:b w:val="0"/>
                <w:color w:val="000000"/>
                <w:sz w:val="20"/>
              </w:rPr>
              <w:t>Una misión estable, build Windows, rendimiento y revisión de procedencia.</w:t>
            </w:r>
          </w:p>
        </w:tc>
      </w:tr>
    </w:tbl>
    <w:p>
      <w:pPr>
        <w:spacing w:after="0"/>
      </w:pPr>
    </w:p>
    <w:p>
      <w:r>
        <w:t>La tienda y el banco son el objetivo original del MVP. Completar primero un recorrido jugable de principio a fin antes de ampliar escenarios. Las prioridades posteriores al botín pueden ajustarse para integrar red antes de que crezcan los sistemas compartidos; registrar esa decisión en Architecture y Progress.</w:t>
      </w:r>
    </w:p>
    <w:p>
      <w:pPr>
        <w:pStyle w:val="Heading2"/>
      </w:pPr>
      <w:r>
        <w:t>Red y sistemas que todavía no existen</w:t>
      </w:r>
    </w:p>
    <w:p>
      <w:r>
        <w:t>Netcode for GameObjects y Multiplayer Services no están instalados. Multiplayer Center no sustituye esos paquetes. No hay lobby funcional, Relay, sincronización, guardado compartido ni validación del host. SetLocalControl es una puerta de control local, no una implementación de ownership de red.</w:t>
      </w:r>
    </w:p>
    <w:p>
      <w:r>
        <w:t>Tampoco existen misiones completas, enemigos, minijuegos de caja fuerte, combate, salud, reanimación, economía, guardado, HUD completo, menú de pausa ni audio propio. La caja fuerte es por ahora un modelo inspeccionable.</w:t>
      </w:r>
    </w:p>
    <w:p>
      <w:pPr>
        <w:pStyle w:val="Heading2"/>
      </w:pPr>
      <w:r>
        <w:t>Reparto recomendado al retomar</w:t>
      </w:r>
    </w:p>
    <w:p>
      <w:r>
        <w:t>Codex reserva runtime, integración y cualquier escena/prefab que necesite la entrega. Define el contrato público del botín antes de encargar pruebas. Cursor recibe exclusivamente las rutas de pruebas y notas de QA; no modifica contratos, modelos ni escenas asignadas a Codex.</w:t>
      </w:r>
    </w:p>
    <w:p>
      <w:r>
        <w:t>Después del resultado de Cursor, Codex revisa cobertura y código, comprueba que las pruebas usan los prefabs reales y ejecuta compilación y Play Mode. Debe registrar por separado resultados observados, verificaciones pendientes y límites del entorno. Repetir la auditoría de procedencia cuando cambien los recursos importables.</w:t>
      </w:r>
    </w:p>
    <w:p>
      <w:pPr>
        <w:pStyle w:val="Heading2"/>
      </w:pPr>
      <w:r>
        <w:t>Decisiones por resolver durante el desarrollo</w:t>
      </w:r>
    </w:p>
    <w:p>
      <w:pPr>
        <w:pStyle w:val="ListBullet"/>
      </w:pPr>
      <w:r>
        <w:t>Tecla y comportamiento exactos para soltar; interacción del depósito con E o con zona física.</w:t>
      </w:r>
    </w:p>
    <w:p>
      <w:pPr>
        <w:pStyle w:val="ListBullet"/>
      </w:pPr>
      <w:r>
        <w:t>Capacidad final de carga, penalización de movimiento y vínculo con el inventario del GDD.</w:t>
      </w:r>
    </w:p>
    <w:p>
      <w:pPr>
        <w:pStyle w:val="ListBullet"/>
      </w:pPr>
      <w:r>
        <w:t>Formato/importador de Hunyuan y presupuesto final de polígonos tras revisar el archivo.</w:t>
      </w:r>
    </w:p>
    <w:p>
      <w:pPr>
        <w:pStyle w:val="ListBullet"/>
      </w:pPr>
      <w:r>
        <w:t>Criterio institucional definitivo sobre fuentes integradas, configuración técnica y uso de IA.</w:t>
      </w:r>
    </w:p>
    <w:p>
      <w:r>
        <w:br w:type="page"/>
      </w:r>
    </w:p>
    <w:p>
      <w:pPr>
        <w:pStyle w:val="Heading1"/>
      </w:pPr>
      <w:r>
        <w:t>8 Guía para retomar en otra sesión</w:t>
      </w:r>
    </w:p>
    <w:p>
      <w:pPr>
        <w:pStyle w:val="Heading2"/>
      </w:pPr>
      <w:r>
        <w:t>Lectura mínima y arranque</w:t>
      </w:r>
    </w:p>
    <w:p>
      <w:pPr>
        <w:pStyle w:val="ListNumber"/>
      </w:pPr>
      <w:r>
        <w:t>Abrir D:\ae\Operation Heist y comprobar git status. No descartar cambios nuevos del usuario o de Cursor.</w:t>
      </w:r>
    </w:p>
    <w:p>
      <w:pPr>
        <w:pStyle w:val="ListNumber"/>
      </w:pPr>
      <w:r>
        <w:t>Leer AGENTS.md y Docs/Progress.md; después Coordination.md y Docs/Tasks para verificar reservas y tareas activas.</w:t>
      </w:r>
    </w:p>
    <w:p>
      <w:pPr>
        <w:pStyle w:val="ListNumber"/>
      </w:pPr>
      <w:r>
        <w:t>Cargar operation-heist-unity para botín; usar operation-heist-ui cuando se modifique el aviso o el HUD. Consultar Architecture y CodingGuidelines según la tarea.</w:t>
      </w:r>
    </w:p>
    <w:p>
      <w:pPr>
        <w:pStyle w:val="ListNumber"/>
      </w:pPr>
      <w:r>
        <w:t>Abrir Unity 6000.5.6f1 con FPSPrototype. Probar movimiento e inspección con entrada real antes de atribuir cualquier fallo nuevo al botín.</w:t>
      </w:r>
    </w:p>
    <w:p>
      <w:pPr>
        <w:pStyle w:val="ListNumber"/>
      </w:pPr>
      <w:r>
        <w:t>Reservar archivos y definir el contrato de botín. Asignar las pruebas a Cursor mediante Invoke-CursorTask.ps1; revisar su resultado antes de cerrar la tarea.</w:t>
      </w:r>
    </w:p>
    <w:p>
      <w:pPr>
        <w:pStyle w:val="ListNumber"/>
      </w:pPr>
      <w:r>
        <w:t>Ejecutar las pruebas necesarias, auditar los assets y actualizar Progress/Coordination con resultados reales y siguiente paso.</w:t>
      </w:r>
    </w:p>
    <w:p>
      <w:pPr>
        <w:pStyle w:val="Heading2"/>
      </w:pPr>
      <w:r>
        <w:t>Prompt de continuación listo para copiar</w:t>
      </w:r>
    </w:p>
    <w:p>
      <w:r>
        <w:t>Continúa Operation Heist desde Docs/Progress.md y el informe de contexto del 29/10/2026. Codex es el desarrollador principal; Cursor Agent CLI apoya con pruebas. Implementa recoger, cargar, soltar y depositar botín local, conservando identidad y evitando doble recompensa. Primero revisa AGENTS.md, Coordination y Docs/Tasks; reserva rutas sin superposición. Usa las skills Unity/UI cuando correspondan, los modelos propios y la estructura Assets/00_Scenes a 06_UI. Respeta GDD-AssetPolicy.md y registra procedencia. No presentes inspección como botín ni pruebas locales como multijugador. Revisa los tests de Cursor, ejecuta regresión y documenta los límites. Hunyuan sigue pendiente de generación/importación manual.</w:t>
      </w:r>
    </w:p>
    <w:p>
      <w:pPr>
        <w:pStyle w:val="Heading2"/>
      </w:pPr>
      <w:r>
        <w:t>Mapa de documentos y herramientas del proyecto</w:t>
      </w:r>
    </w:p>
    <w:tbl>
      <w:tblPr>
        <w:tblW w:type="auto" w:w="0"/>
        <w:tblLayout w:type="fixed"/>
        <w:tblLook w:firstColumn="1" w:firstRow="1" w:lastColumn="0" w:lastRow="0" w:noHBand="0" w:noVBand="1" w:val="04A0"/>
      </w:tblPr>
      <w:tblGrid>
        <w:gridCol w:w="3005"/>
        <w:gridCol w:w="6746"/>
      </w:tblGrid>
      <w:tr>
        <w:trPr>
          <w:cantSplit/>
          <w:tblHeader/>
        </w:trPr>
        <w:tc>
          <w:tcPr>
            <w:tcW w:type="dxa" w:w="3005"/>
            <w:vAlign w:val="center"/>
            <w:tcMar>
              <w:top w:w="90" w:type="dxa"/>
              <w:bottom w:w="90" w:type="dxa"/>
              <w:left w:w="110" w:type="dxa"/>
              <w:right w:w="110" w:type="dxa"/>
            </w:tcMar>
            <w:tcBorders>
              <w:top w:val="single" w:sz="4" w:color="D9D9D9"/>
              <w:bottom w:val="single" w:sz="4" w:color="D9D9D9"/>
              <w:left w:val="single" w:sz="4" w:color="D9D9D9"/>
              <w:right w:val="single" w:sz="4" w:color="D9D9D9"/>
            </w:tcBorders>
            <w:shd w:fill="223B4C"/>
          </w:tcPr>
          <w:p>
            <w:pPr>
              <w:spacing w:after="0" w:line="247" w:lineRule="auto"/>
            </w:pPr>
            <w:r>
              <w:rPr>
                <w:b/>
                <w:color w:val="FFFFFF"/>
                <w:sz w:val="20"/>
              </w:rPr>
              <w:t>Necesidad</w:t>
            </w:r>
          </w:p>
        </w:tc>
        <w:tc>
          <w:tcPr>
            <w:tcW w:type="dxa" w:w="6746"/>
            <w:vAlign w:val="center"/>
            <w:tcMar>
              <w:top w:w="90" w:type="dxa"/>
              <w:bottom w:w="90" w:type="dxa"/>
              <w:left w:w="110" w:type="dxa"/>
              <w:right w:w="110" w:type="dxa"/>
            </w:tcMar>
            <w:tcBorders>
              <w:top w:val="single" w:sz="4" w:color="D9D9D9"/>
              <w:bottom w:val="single" w:sz="4" w:color="D9D9D9"/>
              <w:left w:val="single" w:sz="4" w:color="D9D9D9"/>
              <w:right w:val="single" w:sz="4" w:color="D9D9D9"/>
            </w:tcBorders>
            <w:shd w:fill="223B4C"/>
          </w:tcPr>
          <w:p>
            <w:pPr>
              <w:spacing w:after="0" w:line="247" w:lineRule="auto"/>
            </w:pPr>
            <w:r>
              <w:rPr>
                <w:b/>
                <w:color w:val="FFFFFF"/>
                <w:sz w:val="20"/>
              </w:rPr>
              <w:t>Archivo o carpeta desde la raíz</w:t>
            </w:r>
          </w:p>
        </w:tc>
      </w:tr>
      <w:tr>
        <w:trPr>
          <w:cantSplit/>
        </w:trPr>
        <w:tc>
          <w:tcPr>
            <w:tcW w:type="dxa" w:w="3005"/>
            <w:vAlign w:val="center"/>
            <w:tcMar>
              <w:top w:w="90" w:type="dxa"/>
              <w:bottom w:w="90" w:type="dxa"/>
              <w:left w:w="110" w:type="dxa"/>
              <w:right w:w="110" w:type="dxa"/>
            </w:tcMar>
            <w:tcBorders>
              <w:top w:val="single" w:sz="4" w:color="D9D9D9"/>
              <w:bottom w:val="single" w:sz="4" w:color="D9D9D9"/>
              <w:left w:val="single" w:sz="4" w:color="D9D9D9"/>
              <w:right w:val="single" w:sz="4" w:color="D9D9D9"/>
            </w:tcBorders>
            <w:shd w:fill="FFFFFF"/>
          </w:tcPr>
          <w:p>
            <w:pPr>
              <w:spacing w:after="0" w:line="247" w:lineRule="auto"/>
            </w:pPr>
            <w:r>
              <w:rPr>
                <w:b w:val="0"/>
                <w:color w:val="000000"/>
                <w:sz w:val="20"/>
              </w:rPr>
              <w:t>Estado y arquitectura</w:t>
            </w:r>
          </w:p>
        </w:tc>
        <w:tc>
          <w:tcPr>
            <w:tcW w:type="dxa" w:w="6746"/>
            <w:vAlign w:val="center"/>
            <w:tcMar>
              <w:top w:w="90" w:type="dxa"/>
              <w:bottom w:w="90" w:type="dxa"/>
              <w:left w:w="110" w:type="dxa"/>
              <w:right w:w="110" w:type="dxa"/>
            </w:tcMar>
            <w:tcBorders>
              <w:top w:val="single" w:sz="4" w:color="D9D9D9"/>
              <w:bottom w:val="single" w:sz="4" w:color="D9D9D9"/>
              <w:left w:val="single" w:sz="4" w:color="D9D9D9"/>
              <w:right w:val="single" w:sz="4" w:color="D9D9D9"/>
            </w:tcBorders>
            <w:shd w:fill="FFFFFF"/>
          </w:tcPr>
          <w:p>
            <w:pPr>
              <w:spacing w:after="0" w:line="247" w:lineRule="auto"/>
            </w:pPr>
            <w:r>
              <w:rPr>
                <w:b w:val="0"/>
                <w:color w:val="000000"/>
                <w:sz w:val="20"/>
              </w:rPr>
              <w:t>Docs/Progress.md, Architecture.md, CodingGuidelines.md</w:t>
            </w:r>
          </w:p>
        </w:tc>
      </w:tr>
      <w:tr>
        <w:trPr>
          <w:cantSplit/>
        </w:trPr>
        <w:tc>
          <w:tcPr>
            <w:tcW w:type="dxa" w:w="3005"/>
            <w:vAlign w:val="center"/>
            <w:tcMar>
              <w:top w:w="90" w:type="dxa"/>
              <w:bottom w:w="90" w:type="dxa"/>
              <w:left w:w="110" w:type="dxa"/>
              <w:right w:w="110" w:type="dxa"/>
            </w:tcMar>
            <w:tcBorders>
              <w:top w:val="single" w:sz="4" w:color="D9D9D9"/>
              <w:bottom w:val="single" w:sz="4" w:color="D9D9D9"/>
              <w:left w:val="single" w:sz="4" w:color="D9D9D9"/>
              <w:right w:val="single" w:sz="4" w:color="D9D9D9"/>
            </w:tcBorders>
            <w:shd w:fill="F3F6F8"/>
          </w:tcPr>
          <w:p>
            <w:pPr>
              <w:spacing w:after="0" w:line="247" w:lineRule="auto"/>
            </w:pPr>
            <w:r>
              <w:rPr>
                <w:b w:val="0"/>
                <w:color w:val="000000"/>
                <w:sz w:val="20"/>
              </w:rPr>
              <w:t>Trabajo entre agentes</w:t>
            </w:r>
          </w:p>
        </w:tc>
        <w:tc>
          <w:tcPr>
            <w:tcW w:type="dxa" w:w="6746"/>
            <w:vAlign w:val="center"/>
            <w:tcMar>
              <w:top w:w="90" w:type="dxa"/>
              <w:bottom w:w="90" w:type="dxa"/>
              <w:left w:w="110" w:type="dxa"/>
              <w:right w:w="110" w:type="dxa"/>
            </w:tcMar>
            <w:tcBorders>
              <w:top w:val="single" w:sz="4" w:color="D9D9D9"/>
              <w:bottom w:val="single" w:sz="4" w:color="D9D9D9"/>
              <w:left w:val="single" w:sz="4" w:color="D9D9D9"/>
              <w:right w:val="single" w:sz="4" w:color="D9D9D9"/>
            </w:tcBorders>
            <w:shd w:fill="F3F6F8"/>
          </w:tcPr>
          <w:p>
            <w:pPr>
              <w:spacing w:after="0" w:line="247" w:lineRule="auto"/>
            </w:pPr>
            <w:r>
              <w:rPr>
                <w:b w:val="0"/>
                <w:color w:val="000000"/>
                <w:sz w:val="20"/>
              </w:rPr>
              <w:t>Docs/Coordination.md, CursorCLI.md, Tasks/</w:t>
            </w:r>
          </w:p>
        </w:tc>
      </w:tr>
      <w:tr>
        <w:trPr>
          <w:cantSplit/>
        </w:trPr>
        <w:tc>
          <w:tcPr>
            <w:tcW w:type="dxa" w:w="3005"/>
            <w:vAlign w:val="center"/>
            <w:tcMar>
              <w:top w:w="90" w:type="dxa"/>
              <w:bottom w:w="90" w:type="dxa"/>
              <w:left w:w="110" w:type="dxa"/>
              <w:right w:w="110" w:type="dxa"/>
            </w:tcMar>
            <w:tcBorders>
              <w:top w:val="single" w:sz="4" w:color="D9D9D9"/>
              <w:bottom w:val="single" w:sz="4" w:color="D9D9D9"/>
              <w:left w:val="single" w:sz="4" w:color="D9D9D9"/>
              <w:right w:val="single" w:sz="4" w:color="D9D9D9"/>
            </w:tcBorders>
            <w:shd w:fill="FFFFFF"/>
          </w:tcPr>
          <w:p>
            <w:pPr>
              <w:spacing w:after="0" w:line="247" w:lineRule="auto"/>
            </w:pPr>
            <w:r>
              <w:rPr>
                <w:b w:val="0"/>
                <w:color w:val="000000"/>
                <w:sz w:val="20"/>
              </w:rPr>
              <w:t>Política y procedencia</w:t>
            </w:r>
          </w:p>
        </w:tc>
        <w:tc>
          <w:tcPr>
            <w:tcW w:type="dxa" w:w="6746"/>
            <w:vAlign w:val="center"/>
            <w:tcMar>
              <w:top w:w="90" w:type="dxa"/>
              <w:bottom w:w="90" w:type="dxa"/>
              <w:left w:w="110" w:type="dxa"/>
              <w:right w:w="110" w:type="dxa"/>
            </w:tcMar>
            <w:tcBorders>
              <w:top w:val="single" w:sz="4" w:color="D9D9D9"/>
              <w:bottom w:val="single" w:sz="4" w:color="D9D9D9"/>
              <w:left w:val="single" w:sz="4" w:color="D9D9D9"/>
              <w:right w:val="single" w:sz="4" w:color="D9D9D9"/>
            </w:tcBorders>
            <w:shd w:fill="FFFFFF"/>
          </w:tcPr>
          <w:p>
            <w:pPr>
              <w:spacing w:after="0" w:line="247" w:lineRule="auto"/>
            </w:pPr>
            <w:r>
              <w:rPr>
                <w:b w:val="0"/>
                <w:color w:val="000000"/>
                <w:sz w:val="20"/>
              </w:rPr>
              <w:t>Docs/GDD-AssetPolicy.md, AssetManifest.csv</w:t>
            </w:r>
          </w:p>
        </w:tc>
      </w:tr>
      <w:tr>
        <w:trPr>
          <w:cantSplit/>
        </w:trPr>
        <w:tc>
          <w:tcPr>
            <w:tcW w:type="dxa" w:w="3005"/>
            <w:vAlign w:val="center"/>
            <w:tcMar>
              <w:top w:w="90" w:type="dxa"/>
              <w:bottom w:w="90" w:type="dxa"/>
              <w:left w:w="110" w:type="dxa"/>
              <w:right w:w="110" w:type="dxa"/>
            </w:tcMar>
            <w:tcBorders>
              <w:top w:val="single" w:sz="4" w:color="D9D9D9"/>
              <w:bottom w:val="single" w:sz="4" w:color="D9D9D9"/>
              <w:left w:val="single" w:sz="4" w:color="D9D9D9"/>
              <w:right w:val="single" w:sz="4" w:color="D9D9D9"/>
            </w:tcBorders>
            <w:shd w:fill="F3F6F8"/>
          </w:tcPr>
          <w:p>
            <w:pPr>
              <w:spacing w:after="0" w:line="247" w:lineRule="auto"/>
            </w:pPr>
            <w:r>
              <w:rPr>
                <w:b w:val="0"/>
                <w:color w:val="000000"/>
                <w:sz w:val="20"/>
              </w:rPr>
              <w:t>Arte y Hunyuan</w:t>
            </w:r>
          </w:p>
        </w:tc>
        <w:tc>
          <w:tcPr>
            <w:tcW w:type="dxa" w:w="6746"/>
            <w:vAlign w:val="center"/>
            <w:tcMar>
              <w:top w:w="90" w:type="dxa"/>
              <w:bottom w:w="90" w:type="dxa"/>
              <w:left w:w="110" w:type="dxa"/>
              <w:right w:w="110" w:type="dxa"/>
            </w:tcMar>
            <w:tcBorders>
              <w:top w:val="single" w:sz="4" w:color="D9D9D9"/>
              <w:bottom w:val="single" w:sz="4" w:color="D9D9D9"/>
              <w:left w:val="single" w:sz="4" w:color="D9D9D9"/>
              <w:right w:val="single" w:sz="4" w:color="D9D9D9"/>
            </w:tcBorders>
            <w:shd w:fill="F3F6F8"/>
          </w:tcPr>
          <w:p>
            <w:pPr>
              <w:spacing w:after="0" w:line="247" w:lineRule="auto"/>
            </w:pPr>
            <w:r>
              <w:rPr>
                <w:b w:val="0"/>
                <w:color w:val="000000"/>
                <w:sz w:val="20"/>
              </w:rPr>
              <w:t>Docs/OriginalModels.md, HunyuanPrompt.md, AssetProductionPlan.md</w:t>
            </w:r>
          </w:p>
        </w:tc>
      </w:tr>
      <w:tr>
        <w:trPr>
          <w:cantSplit/>
        </w:trPr>
        <w:tc>
          <w:tcPr>
            <w:tcW w:type="dxa" w:w="3005"/>
            <w:vAlign w:val="center"/>
            <w:tcMar>
              <w:top w:w="90" w:type="dxa"/>
              <w:bottom w:w="90" w:type="dxa"/>
              <w:left w:w="110" w:type="dxa"/>
              <w:right w:w="110" w:type="dxa"/>
            </w:tcMar>
            <w:tcBorders>
              <w:top w:val="single" w:sz="4" w:color="D9D9D9"/>
              <w:bottom w:val="single" w:sz="4" w:color="D9D9D9"/>
              <w:left w:val="single" w:sz="4" w:color="D9D9D9"/>
              <w:right w:val="single" w:sz="4" w:color="D9D9D9"/>
            </w:tcBorders>
            <w:shd w:fill="FFFFFF"/>
          </w:tcPr>
          <w:p>
            <w:pPr>
              <w:spacing w:after="0" w:line="247" w:lineRule="auto"/>
            </w:pPr>
            <w:r>
              <w:rPr>
                <w:b w:val="0"/>
                <w:color w:val="000000"/>
                <w:sz w:val="20"/>
              </w:rPr>
              <w:t>Gameplay actual</w:t>
            </w:r>
          </w:p>
        </w:tc>
        <w:tc>
          <w:tcPr>
            <w:tcW w:type="dxa" w:w="6746"/>
            <w:vAlign w:val="center"/>
            <w:tcMar>
              <w:top w:w="90" w:type="dxa"/>
              <w:bottom w:w="90" w:type="dxa"/>
              <w:left w:w="110" w:type="dxa"/>
              <w:right w:w="110" w:type="dxa"/>
            </w:tcMar>
            <w:tcBorders>
              <w:top w:val="single" w:sz="4" w:color="D9D9D9"/>
              <w:bottom w:val="single" w:sz="4" w:color="D9D9D9"/>
              <w:left w:val="single" w:sz="4" w:color="D9D9D9"/>
              <w:right w:val="single" w:sz="4" w:color="D9D9D9"/>
            </w:tcBorders>
            <w:shd w:fill="FFFFFF"/>
          </w:tcPr>
          <w:p>
            <w:pPr>
              <w:spacing w:after="0" w:line="247" w:lineRule="auto"/>
            </w:pPr>
            <w:r>
              <w:rPr>
                <w:b w:val="0"/>
                <w:color w:val="000000"/>
                <w:sz w:val="20"/>
              </w:rPr>
              <w:t>Docs/FPSController.md, Interaction.md, InteractionTestNotes.md</w:t>
            </w:r>
          </w:p>
        </w:tc>
      </w:tr>
      <w:tr>
        <w:trPr>
          <w:cantSplit/>
        </w:trPr>
        <w:tc>
          <w:tcPr>
            <w:tcW w:type="dxa" w:w="3005"/>
            <w:vAlign w:val="center"/>
            <w:tcMar>
              <w:top w:w="90" w:type="dxa"/>
              <w:bottom w:w="90" w:type="dxa"/>
              <w:left w:w="110" w:type="dxa"/>
              <w:right w:w="110" w:type="dxa"/>
            </w:tcMar>
            <w:tcBorders>
              <w:top w:val="single" w:sz="4" w:color="D9D9D9"/>
              <w:bottom w:val="single" w:sz="4" w:color="D9D9D9"/>
              <w:left w:val="single" w:sz="4" w:color="D9D9D9"/>
              <w:right w:val="single" w:sz="4" w:color="D9D9D9"/>
            </w:tcBorders>
            <w:shd w:fill="F3F6F8"/>
          </w:tcPr>
          <w:p>
            <w:pPr>
              <w:spacing w:after="0" w:line="247" w:lineRule="auto"/>
            </w:pPr>
            <w:r>
              <w:rPr>
                <w:b w:val="0"/>
                <w:color w:val="000000"/>
                <w:sz w:val="20"/>
              </w:rPr>
              <w:t>Entorno y evidencia</w:t>
            </w:r>
          </w:p>
        </w:tc>
        <w:tc>
          <w:tcPr>
            <w:tcW w:type="dxa" w:w="6746"/>
            <w:vAlign w:val="center"/>
            <w:tcMar>
              <w:top w:w="90" w:type="dxa"/>
              <w:bottom w:w="90" w:type="dxa"/>
              <w:left w:w="110" w:type="dxa"/>
              <w:right w:w="110" w:type="dxa"/>
            </w:tcMar>
            <w:tcBorders>
              <w:top w:val="single" w:sz="4" w:color="D9D9D9"/>
              <w:bottom w:val="single" w:sz="4" w:color="D9D9D9"/>
              <w:left w:val="single" w:sz="4" w:color="D9D9D9"/>
              <w:right w:val="single" w:sz="4" w:color="D9D9D9"/>
            </w:tcBorders>
            <w:shd w:fill="F3F6F8"/>
          </w:tcPr>
          <w:p>
            <w:pPr>
              <w:spacing w:after="0" w:line="247" w:lineRule="auto"/>
            </w:pPr>
            <w:r>
              <w:rPr>
                <w:b w:val="0"/>
                <w:color w:val="000000"/>
                <w:sz w:val="20"/>
              </w:rPr>
              <w:t>Docs/DevelopmentSetup.md y Docs/QA/</w:t>
            </w:r>
          </w:p>
        </w:tc>
      </w:tr>
      <w:tr>
        <w:trPr>
          <w:cantSplit/>
        </w:trPr>
        <w:tc>
          <w:tcPr>
            <w:tcW w:type="dxa" w:w="3005"/>
            <w:vAlign w:val="center"/>
            <w:tcMar>
              <w:top w:w="90" w:type="dxa"/>
              <w:bottom w:w="90" w:type="dxa"/>
              <w:left w:w="110" w:type="dxa"/>
              <w:right w:w="110" w:type="dxa"/>
            </w:tcMar>
            <w:tcBorders>
              <w:top w:val="single" w:sz="4" w:color="D9D9D9"/>
              <w:bottom w:val="single" w:sz="4" w:color="D9D9D9"/>
              <w:left w:val="single" w:sz="4" w:color="D9D9D9"/>
              <w:right w:val="single" w:sz="4" w:color="D9D9D9"/>
            </w:tcBorders>
            <w:shd w:fill="FFFFFF"/>
          </w:tcPr>
          <w:p>
            <w:pPr>
              <w:spacing w:after="0" w:line="247" w:lineRule="auto"/>
            </w:pPr>
            <w:r>
              <w:rPr>
                <w:b w:val="0"/>
                <w:color w:val="000000"/>
                <w:sz w:val="20"/>
              </w:rPr>
              <w:t>Ejecución y controles</w:t>
            </w:r>
          </w:p>
        </w:tc>
        <w:tc>
          <w:tcPr>
            <w:tcW w:type="dxa" w:w="6746"/>
            <w:vAlign w:val="center"/>
            <w:tcMar>
              <w:top w:w="90" w:type="dxa"/>
              <w:bottom w:w="90" w:type="dxa"/>
              <w:left w:w="110" w:type="dxa"/>
              <w:right w:w="110" w:type="dxa"/>
            </w:tcMar>
            <w:tcBorders>
              <w:top w:val="single" w:sz="4" w:color="D9D9D9"/>
              <w:bottom w:val="single" w:sz="4" w:color="D9D9D9"/>
              <w:left w:val="single" w:sz="4" w:color="D9D9D9"/>
              <w:right w:val="single" w:sz="4" w:color="D9D9D9"/>
            </w:tcBorders>
            <w:shd w:fill="FFFFFF"/>
          </w:tcPr>
          <w:p>
            <w:pPr>
              <w:spacing w:after="0" w:line="247" w:lineRule="auto"/>
            </w:pPr>
            <w:r>
              <w:rPr>
                <w:b w:val="0"/>
                <w:color w:val="000000"/>
                <w:sz w:val="20"/>
              </w:rPr>
              <w:t>Tools/Invoke-CursorTask.ps1, Audit-Assets.ps1, Check-DevelopmentSetup.ps1</w:t>
            </w:r>
          </w:p>
        </w:tc>
      </w:tr>
      <w:tr>
        <w:trPr>
          <w:cantSplit/>
        </w:trPr>
        <w:tc>
          <w:tcPr>
            <w:tcW w:type="dxa" w:w="3005"/>
            <w:vAlign w:val="center"/>
            <w:tcMar>
              <w:top w:w="90" w:type="dxa"/>
              <w:bottom w:w="90" w:type="dxa"/>
              <w:left w:w="110" w:type="dxa"/>
              <w:right w:w="110" w:type="dxa"/>
            </w:tcMar>
            <w:tcBorders>
              <w:top w:val="single" w:sz="4" w:color="D9D9D9"/>
              <w:bottom w:val="single" w:sz="4" w:color="D9D9D9"/>
              <w:left w:val="single" w:sz="4" w:color="D9D9D9"/>
              <w:right w:val="single" w:sz="4" w:color="D9D9D9"/>
            </w:tcBorders>
            <w:shd w:fill="F3F6F8"/>
          </w:tcPr>
          <w:p>
            <w:pPr>
              <w:spacing w:after="0" w:line="247" w:lineRule="auto"/>
            </w:pPr>
            <w:r>
              <w:rPr>
                <w:b w:val="0"/>
                <w:color w:val="000000"/>
                <w:sz w:val="20"/>
              </w:rPr>
              <w:t>Skills compartidas</w:t>
            </w:r>
          </w:p>
        </w:tc>
        <w:tc>
          <w:tcPr>
            <w:tcW w:type="dxa" w:w="6746"/>
            <w:vAlign w:val="center"/>
            <w:tcMar>
              <w:top w:w="90" w:type="dxa"/>
              <w:bottom w:w="90" w:type="dxa"/>
              <w:left w:w="110" w:type="dxa"/>
              <w:right w:w="110" w:type="dxa"/>
            </w:tcMar>
            <w:tcBorders>
              <w:top w:val="single" w:sz="4" w:color="D9D9D9"/>
              <w:bottom w:val="single" w:sz="4" w:color="D9D9D9"/>
              <w:left w:val="single" w:sz="4" w:color="D9D9D9"/>
              <w:right w:val="single" w:sz="4" w:color="D9D9D9"/>
            </w:tcBorders>
            <w:shd w:fill="F3F6F8"/>
          </w:tcPr>
          <w:p>
            <w:pPr>
              <w:spacing w:after="0" w:line="247" w:lineRule="auto"/>
            </w:pPr>
            <w:r>
              <w:rPr>
                <w:b w:val="0"/>
                <w:color w:val="000000"/>
                <w:sz w:val="20"/>
              </w:rPr>
              <w:t>.agents/skills/operation-heist-unity y operation-heist-ui</w:t>
            </w:r>
          </w:p>
        </w:tc>
      </w:tr>
    </w:tbl>
    <w:p>
      <w:pPr>
        <w:spacing w:after="0"/>
      </w:pPr>
    </w:p>
    <w:p>
      <w:r>
        <w:t>Este informe es una fotografía del estado, no sustituye los archivos vivos. Si el proyecto cambia después de esta fecha, Progress, los commits y la evidencia de pruebas deben actualizarse antes de reutilizar sus conclusiones.</w:t>
      </w:r>
    </w:p>
    <w:p>
      <w:r>
        <w:br w:type="page"/>
      </w:r>
    </w:p>
    <w:p>
      <w:pPr>
        <w:pStyle w:val="Heading1"/>
      </w:pPr>
      <w:r>
        <w:t>9 Hunyuan y producción de modelos pendiente</w:t>
      </w:r>
    </w:p>
    <w:p>
      <w:r>
        <w:t>No hay ningún modelo Hunyuan importado. El usuario decidió dejar la automatización de Hunyuan pendiente y generar manualmente. El primer recurso propuesto es una bolsa de botín original; no es una dependencia necesaria para comenzar el sistema local con el kit de Codex.</w:t>
      </w:r>
    </w:p>
    <w:p>
      <w:pPr>
        <w:pStyle w:val="Heading2"/>
      </w:pPr>
      <w:r>
        <w:t>Prompt manual</w:t>
      </w:r>
    </w:p>
    <w:p>
      <w:r>
        <w:t>Create one original stylized low-poly 3D game prop: a compact closed heist loot duffel bag. Dark muted olive canvas body, charcoal reinforced base, two thick short carrying handles, one clearly defined zipper along the top, small brass zipper pull. Slightly angular padded silhouette with broad clean surfaces and simplified seams. Readable from a first-person camera. Approximate dimensions: 0.65 m long, 0.32 m wide, 0.30 m high. Flat stable bottom, centered pivot at ground level, upright orientation, all parts attached to the bag. Restrained flat colors, matte materials, minimal texture detail. Target a lightweight mesh, preferably 1500-4000 triangles if supported, clean UVs, no hidden internal geometry. One isolated object only. No floor, background geometry, pedestal, people, hands, text, logos, brands, money, weapons, glow, smoke or floating accessories. Original design, not based on a franchise or existing product. Keep the bag closed; no visible contents. Export in FBX or OBJ if available.</w:t>
      </w:r>
    </w:p>
    <w:p>
      <w:pPr>
        <w:pStyle w:val="Heading2"/>
      </w:pPr>
      <w:r>
        <w:t>Ajustes y revisión del resultado</w:t>
      </w:r>
    </w:p>
    <w:p>
      <w:r>
        <w:t>Si la interfaz solo ofrece 1,5 millones, 1 millón, 500 mil o 50 mil caras, elegir 50 mil, la opción mínima mostrada. No significa que el archivo final ya esté optimizado. El objetivo de 1.500–4.000 triángulos del prompt es una aspiración que requiere comprobar y, si procede, simplificar el resultado.</w:t>
      </w:r>
    </w:p>
    <w:p>
      <w:pPr>
        <w:pStyle w:val="ListBullet"/>
      </w:pPr>
      <w:r>
        <w:t>Exportar FBX u OBJ si están disponibles y conservar MTL y texturas asociadas. Si solo se ofrece GLB, mantenerlo fuera de Assets hasta evaluar un importador; no instalar uno automáticamente.</w:t>
      </w:r>
    </w:p>
    <w:p>
      <w:pPr>
        <w:pStyle w:val="ListBullet"/>
      </w:pPr>
      <w:r>
        <w:t>Comprobar escala en metros, orientación, pivot, UV, materiales URP, normales, geometría oculta, número real de triángulos y colisiones. El prompt no garantiza esas propiedades.</w:t>
      </w:r>
    </w:p>
    <w:p>
      <w:pPr>
        <w:pStyle w:val="ListBullet"/>
      </w:pPr>
      <w:r>
        <w:t>Registrar herramienta/versión e identificador si aparecen, fecha, prompt exacto, archivo original y cambios. No descargar un modelo de una galería como sustituto de la generación original.</w:t>
      </w:r>
    </w:p>
    <w:p>
      <w:pPr>
        <w:pStyle w:val="Heading2"/>
      </w:pPr>
      <w:r>
        <w:t>Destinos después de aprobar el archivo</w:t>
      </w:r>
    </w:p>
    <w:tbl>
      <w:tblPr>
        <w:tblW w:type="auto" w:w="0"/>
        <w:tblLayout w:type="fixed"/>
        <w:tblLook w:firstColumn="1" w:firstRow="1" w:lastColumn="0" w:lastRow="0" w:noHBand="0" w:noVBand="1" w:val="04A0"/>
      </w:tblPr>
      <w:tblGrid>
        <w:gridCol w:w="2608"/>
        <w:gridCol w:w="7143"/>
      </w:tblGrid>
      <w:tr>
        <w:trPr>
          <w:cantSplit/>
          <w:tblHeader/>
        </w:trPr>
        <w:tc>
          <w:tcPr>
            <w:tcW w:type="dxa" w:w="2608"/>
            <w:vAlign w:val="center"/>
            <w:tcMar>
              <w:top w:w="90" w:type="dxa"/>
              <w:bottom w:w="90" w:type="dxa"/>
              <w:left w:w="110" w:type="dxa"/>
              <w:right w:w="110" w:type="dxa"/>
            </w:tcMar>
            <w:tcBorders>
              <w:top w:val="single" w:sz="4" w:color="D9D9D9"/>
              <w:bottom w:val="single" w:sz="4" w:color="D9D9D9"/>
              <w:left w:val="single" w:sz="4" w:color="D9D9D9"/>
              <w:right w:val="single" w:sz="4" w:color="D9D9D9"/>
            </w:tcBorders>
            <w:shd w:fill="223B4C"/>
          </w:tcPr>
          <w:p>
            <w:pPr>
              <w:spacing w:after="0" w:line="247" w:lineRule="auto"/>
            </w:pPr>
            <w:r>
              <w:rPr>
                <w:b/>
                <w:color w:val="FFFFFF"/>
                <w:sz w:val="20"/>
              </w:rPr>
              <w:t>Tipo</w:t>
            </w:r>
          </w:p>
        </w:tc>
        <w:tc>
          <w:tcPr>
            <w:tcW w:type="dxa" w:w="7143"/>
            <w:vAlign w:val="center"/>
            <w:tcMar>
              <w:top w:w="90" w:type="dxa"/>
              <w:bottom w:w="90" w:type="dxa"/>
              <w:left w:w="110" w:type="dxa"/>
              <w:right w:w="110" w:type="dxa"/>
            </w:tcMar>
            <w:tcBorders>
              <w:top w:val="single" w:sz="4" w:color="D9D9D9"/>
              <w:bottom w:val="single" w:sz="4" w:color="D9D9D9"/>
              <w:left w:val="single" w:sz="4" w:color="D9D9D9"/>
              <w:right w:val="single" w:sz="4" w:color="D9D9D9"/>
            </w:tcBorders>
            <w:shd w:fill="223B4C"/>
          </w:tcPr>
          <w:p>
            <w:pPr>
              <w:spacing w:after="0" w:line="247" w:lineRule="auto"/>
            </w:pPr>
            <w:r>
              <w:rPr>
                <w:b/>
                <w:color w:val="FFFFFF"/>
                <w:sz w:val="20"/>
              </w:rPr>
              <w:t>Destino previsto</w:t>
            </w:r>
          </w:p>
        </w:tc>
      </w:tr>
      <w:tr>
        <w:trPr>
          <w:cantSplit/>
        </w:trPr>
        <w:tc>
          <w:tcPr>
            <w:tcW w:type="dxa" w:w="2608"/>
            <w:vAlign w:val="center"/>
            <w:tcMar>
              <w:top w:w="90" w:type="dxa"/>
              <w:bottom w:w="90" w:type="dxa"/>
              <w:left w:w="110" w:type="dxa"/>
              <w:right w:w="110" w:type="dxa"/>
            </w:tcMar>
            <w:tcBorders>
              <w:top w:val="single" w:sz="4" w:color="D9D9D9"/>
              <w:bottom w:val="single" w:sz="4" w:color="D9D9D9"/>
              <w:left w:val="single" w:sz="4" w:color="D9D9D9"/>
              <w:right w:val="single" w:sz="4" w:color="D9D9D9"/>
            </w:tcBorders>
            <w:shd w:fill="FFFFFF"/>
          </w:tcPr>
          <w:p>
            <w:pPr>
              <w:spacing w:after="0" w:line="247" w:lineRule="auto"/>
            </w:pPr>
            <w:r>
              <w:rPr>
                <w:b w:val="0"/>
                <w:color w:val="000000"/>
                <w:sz w:val="20"/>
              </w:rPr>
              <w:t>Modelo</w:t>
            </w:r>
          </w:p>
        </w:tc>
        <w:tc>
          <w:tcPr>
            <w:tcW w:type="dxa" w:w="7143"/>
            <w:vAlign w:val="center"/>
            <w:tcMar>
              <w:top w:w="90" w:type="dxa"/>
              <w:bottom w:w="90" w:type="dxa"/>
              <w:left w:w="110" w:type="dxa"/>
              <w:right w:w="110" w:type="dxa"/>
            </w:tcMar>
            <w:tcBorders>
              <w:top w:val="single" w:sz="4" w:color="D9D9D9"/>
              <w:bottom w:val="single" w:sz="4" w:color="D9D9D9"/>
              <w:left w:val="single" w:sz="4" w:color="D9D9D9"/>
              <w:right w:val="single" w:sz="4" w:color="D9D9D9"/>
            </w:tcBorders>
            <w:shd w:fill="FFFFFF"/>
          </w:tcPr>
          <w:p>
            <w:pPr>
              <w:spacing w:after="0" w:line="247" w:lineRule="auto"/>
            </w:pPr>
            <w:r>
              <w:rPr>
                <w:b w:val="0"/>
                <w:color w:val="000000"/>
                <w:sz w:val="20"/>
              </w:rPr>
              <w:t>Assets/04_Models/Hunyuan/LootBag</w:t>
            </w:r>
          </w:p>
        </w:tc>
      </w:tr>
      <w:tr>
        <w:trPr>
          <w:cantSplit/>
        </w:trPr>
        <w:tc>
          <w:tcPr>
            <w:tcW w:type="dxa" w:w="2608"/>
            <w:vAlign w:val="center"/>
            <w:tcMar>
              <w:top w:w="90" w:type="dxa"/>
              <w:bottom w:w="90" w:type="dxa"/>
              <w:left w:w="110" w:type="dxa"/>
              <w:right w:w="110" w:type="dxa"/>
            </w:tcMar>
            <w:tcBorders>
              <w:top w:val="single" w:sz="4" w:color="D9D9D9"/>
              <w:bottom w:val="single" w:sz="4" w:color="D9D9D9"/>
              <w:left w:val="single" w:sz="4" w:color="D9D9D9"/>
              <w:right w:val="single" w:sz="4" w:color="D9D9D9"/>
            </w:tcBorders>
            <w:shd w:fill="F3F6F8"/>
          </w:tcPr>
          <w:p>
            <w:pPr>
              <w:spacing w:after="0" w:line="247" w:lineRule="auto"/>
            </w:pPr>
            <w:r>
              <w:rPr>
                <w:b w:val="0"/>
                <w:color w:val="000000"/>
                <w:sz w:val="20"/>
              </w:rPr>
              <w:t>Texturas generadas</w:t>
            </w:r>
          </w:p>
        </w:tc>
        <w:tc>
          <w:tcPr>
            <w:tcW w:type="dxa" w:w="7143"/>
            <w:vAlign w:val="center"/>
            <w:tcMar>
              <w:top w:w="90" w:type="dxa"/>
              <w:bottom w:w="90" w:type="dxa"/>
              <w:left w:w="110" w:type="dxa"/>
              <w:right w:w="110" w:type="dxa"/>
            </w:tcMar>
            <w:tcBorders>
              <w:top w:val="single" w:sz="4" w:color="D9D9D9"/>
              <w:bottom w:val="single" w:sz="4" w:color="D9D9D9"/>
              <w:left w:val="single" w:sz="4" w:color="D9D9D9"/>
              <w:right w:val="single" w:sz="4" w:color="D9D9D9"/>
            </w:tcBorders>
            <w:shd w:fill="F3F6F8"/>
          </w:tcPr>
          <w:p>
            <w:pPr>
              <w:spacing w:after="0" w:line="247" w:lineRule="auto"/>
            </w:pPr>
            <w:r>
              <w:rPr>
                <w:b w:val="0"/>
                <w:color w:val="000000"/>
                <w:sz w:val="20"/>
              </w:rPr>
              <w:t>Assets/05_Textures/Hunyuan/LootBag</w:t>
            </w:r>
          </w:p>
        </w:tc>
      </w:tr>
      <w:tr>
        <w:trPr>
          <w:cantSplit/>
        </w:trPr>
        <w:tc>
          <w:tcPr>
            <w:tcW w:type="dxa" w:w="2608"/>
            <w:vAlign w:val="center"/>
            <w:tcMar>
              <w:top w:w="90" w:type="dxa"/>
              <w:bottom w:w="90" w:type="dxa"/>
              <w:left w:w="110" w:type="dxa"/>
              <w:right w:w="110" w:type="dxa"/>
            </w:tcMar>
            <w:tcBorders>
              <w:top w:val="single" w:sz="4" w:color="D9D9D9"/>
              <w:bottom w:val="single" w:sz="4" w:color="D9D9D9"/>
              <w:left w:val="single" w:sz="4" w:color="D9D9D9"/>
              <w:right w:val="single" w:sz="4" w:color="D9D9D9"/>
            </w:tcBorders>
            <w:shd w:fill="FFFFFF"/>
          </w:tcPr>
          <w:p>
            <w:pPr>
              <w:spacing w:after="0" w:line="247" w:lineRule="auto"/>
            </w:pPr>
            <w:r>
              <w:rPr>
                <w:b w:val="0"/>
                <w:color w:val="000000"/>
                <w:sz w:val="20"/>
              </w:rPr>
              <w:t>Materiales y prefab</w:t>
            </w:r>
          </w:p>
        </w:tc>
        <w:tc>
          <w:tcPr>
            <w:tcW w:type="dxa" w:w="7143"/>
            <w:vAlign w:val="center"/>
            <w:tcMar>
              <w:top w:w="90" w:type="dxa"/>
              <w:bottom w:w="90" w:type="dxa"/>
              <w:left w:w="110" w:type="dxa"/>
              <w:right w:w="110" w:type="dxa"/>
            </w:tcMar>
            <w:tcBorders>
              <w:top w:val="single" w:sz="4" w:color="D9D9D9"/>
              <w:bottom w:val="single" w:sz="4" w:color="D9D9D9"/>
              <w:left w:val="single" w:sz="4" w:color="D9D9D9"/>
              <w:right w:val="single" w:sz="4" w:color="D9D9D9"/>
            </w:tcBorders>
            <w:shd w:fill="FFFFFF"/>
          </w:tcPr>
          <w:p>
            <w:pPr>
              <w:spacing w:after="0" w:line="247" w:lineRule="auto"/>
            </w:pPr>
            <w:r>
              <w:rPr>
                <w:b w:val="0"/>
                <w:color w:val="000000"/>
                <w:sz w:val="20"/>
              </w:rPr>
              <w:t>Assets/03_Materials y Assets/02_Prefabs/Props</w:t>
            </w:r>
          </w:p>
        </w:tc>
      </w:tr>
      <w:tr>
        <w:trPr>
          <w:cantSplit/>
        </w:trPr>
        <w:tc>
          <w:tcPr>
            <w:tcW w:type="dxa" w:w="2608"/>
            <w:vAlign w:val="center"/>
            <w:tcMar>
              <w:top w:w="90" w:type="dxa"/>
              <w:bottom w:w="90" w:type="dxa"/>
              <w:left w:w="110" w:type="dxa"/>
              <w:right w:w="110" w:type="dxa"/>
            </w:tcMar>
            <w:tcBorders>
              <w:top w:val="single" w:sz="4" w:color="D9D9D9"/>
              <w:bottom w:val="single" w:sz="4" w:color="D9D9D9"/>
              <w:left w:val="single" w:sz="4" w:color="D9D9D9"/>
              <w:right w:val="single" w:sz="4" w:color="D9D9D9"/>
            </w:tcBorders>
            <w:shd w:fill="F3F6F8"/>
          </w:tcPr>
          <w:p>
            <w:pPr>
              <w:spacing w:after="0" w:line="247" w:lineRule="auto"/>
            </w:pPr>
            <w:r>
              <w:rPr>
                <w:b w:val="0"/>
                <w:color w:val="000000"/>
                <w:sz w:val="20"/>
              </w:rPr>
              <w:t>Registro</w:t>
            </w:r>
          </w:p>
        </w:tc>
        <w:tc>
          <w:tcPr>
            <w:tcW w:type="dxa" w:w="7143"/>
            <w:vAlign w:val="center"/>
            <w:tcMar>
              <w:top w:w="90" w:type="dxa"/>
              <w:bottom w:w="90" w:type="dxa"/>
              <w:left w:w="110" w:type="dxa"/>
              <w:right w:w="110" w:type="dxa"/>
            </w:tcMar>
            <w:tcBorders>
              <w:top w:val="single" w:sz="4" w:color="D9D9D9"/>
              <w:bottom w:val="single" w:sz="4" w:color="D9D9D9"/>
              <w:left w:val="single" w:sz="4" w:color="D9D9D9"/>
              <w:right w:val="single" w:sz="4" w:color="D9D9D9"/>
            </w:tcBorders>
            <w:shd w:fill="F3F6F8"/>
          </w:tcPr>
          <w:p>
            <w:pPr>
              <w:spacing w:after="0" w:line="247" w:lineRule="auto"/>
            </w:pPr>
            <w:r>
              <w:rPr>
                <w:b w:val="0"/>
                <w:color w:val="000000"/>
                <w:sz w:val="20"/>
              </w:rPr>
              <w:t>Docs/AssetManifest.csv y Docs/HunyuanPrompt.md</w:t>
            </w:r>
          </w:p>
        </w:tc>
      </w:tr>
    </w:tbl>
    <w:p>
      <w:pPr>
        <w:spacing w:after="0"/>
      </w:pPr>
    </w:p>
    <w:p>
      <w:r>
        <w:t>Se permite generación original con Hunyuan y Codex por autorización del usuario. Sigue pendiente documentar el criterio institucional definitivo; este informe no certifica aprobación académica de la herramienta ni de cada recurso.</w:t>
      </w:r>
    </w:p>
    <w:sectPr w:rsidR="00FC693F" w:rsidRPr="0006063C" w:rsidSect="00034616">
      <w:footerReference w:type="default" r:id="rId9"/>
      <w:pgSz w:w="11906" w:h="16838"/>
      <w:pgMar w:top="964" w:right="1077" w:bottom="907" w:left="1077" w:header="720" w:footer="425"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Operation Heist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4"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200" w:line="254" w:lineRule="auto"/>
      <w:outlineLvl w:val="0"/>
    </w:pPr>
    <w:rPr>
      <w:rFonts w:asciiTheme="majorHAnsi" w:eastAsiaTheme="majorEastAsia" w:hAnsiTheme="majorHAnsi" w:cstheme="majorBidi" w:ascii="Calibri" w:hAnsi="Calibri"/>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180" w:after="100" w:line="254" w:lineRule="auto"/>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54" w:lineRule="auto"/>
      <w:contextualSpacing/>
    </w:pPr>
    <w:rPr>
      <w:rFonts w:asciiTheme="majorHAnsi" w:eastAsiaTheme="majorEastAsia" w:hAnsiTheme="majorHAnsi" w:cstheme="majorBidi" w:ascii="Calibri" w:hAnsi="Calibri"/>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20" w:line="254" w:lineRule="auto"/>
    </w:pPr>
    <w:rPr>
      <w:rFonts w:asciiTheme="majorHAnsi" w:eastAsiaTheme="majorEastAsia" w:hAnsiTheme="majorHAnsi" w:cstheme="majorBidi" w:ascii="Calibri" w:hAnsi="Calibri"/>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20" w:line="254" w:lineRule="auto"/>
      <w:contextualSpacing/>
    </w:pPr>
    <w:rPr>
      <w:rFonts w:ascii="Calibri" w:hAnsi="Calibri"/>
      <w:color w:val="00000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20" w:line="254" w:lineRule="auto"/>
      <w:contextualSpacing/>
    </w:pPr>
    <w:rPr>
      <w:rFonts w:ascii="Calibri" w:hAnsi="Calibri"/>
      <w:color w:val="00000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Operation Heist contexto y avance</dc:title>
  <dc:subject>Traspaso del proyecto y guía para continuar el desarrollo</dc:subject>
  <dc:creator>Operation Heist · preparado con Codex</dc:creator>
  <cp:keywords>Unity, FPS, contexto, avance, Cursor, Codex</cp:keywords>
  <dc:description>generated by python-docx</dc:description>
  <cp:lastModifiedBy/>
  <cp:revision>1</cp:revision>
  <dcterms:created xsi:type="dcterms:W3CDTF">2013-12-23T23:15:00Z</dcterms:created>
  <dcterms:modified xsi:type="dcterms:W3CDTF">2013-12-23T23:15:00Z</dcterms:modified>
  <cp:category/>
</cp:coreProperties>
</file>