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0"/>
        <w:jc w:val="center"/>
        <w:rPr/>
      </w:pPr>
      <w:r>
        <w:rPr>
          <w:rFonts w:eastAsia="Times New Roman" w:cs="Times New Roman"/>
          <w:sz w:val="48"/>
          <w:szCs w:val="48"/>
        </w:rPr>
        <w:t>Extensión del Algoritmo Actor-Critic mediante Módulo de Curiosidad para Evasión y Persecución en RobotPVP</w:t>
      </w:r>
    </w:p>
    <w:p>
      <w:pPr>
        <w:pStyle w:val="Normal"/>
        <w:spacing w:before="0" w:after="40"/>
        <w:jc w:val="center"/>
        <w:rPr/>
      </w:pPr>
      <w:r>
        <w:rPr>
          <w:rFonts w:eastAsia="Times New Roman" w:cs="Times New Roman"/>
          <w:sz w:val="22"/>
          <w:szCs w:val="22"/>
        </w:rPr>
        <w:t>Daniel Esteban Pardo Moreno – 20222578072</w:t>
        <w:br/>
        <w:t>Cristian Castro Tapirero - 20222778061</w:t>
      </w:r>
    </w:p>
    <w:p>
      <w:pPr>
        <w:pStyle w:val="Normal"/>
        <w:spacing w:before="0" w:after="40"/>
        <w:jc w:val="center"/>
        <w:rPr/>
      </w:pPr>
      <w:r>
        <w:rPr>
          <w:rFonts w:eastAsia="Times New Roman" w:cs="Times New Roman"/>
          <w:i/>
          <w:iCs/>
          <w:sz w:val="18"/>
          <w:szCs w:val="18"/>
        </w:rPr>
        <w:t>Tecnología de Sistematización de Datos, Universidad Distrital Francisco José de Caldas</w:t>
      </w:r>
    </w:p>
    <w:p>
      <w:pPr>
        <w:pStyle w:val="Normal"/>
        <w:spacing w:before="0" w:after="240"/>
        <w:jc w:val="center"/>
        <w:rPr/>
      </w:pPr>
      <w:r>
        <w:rPr>
          <w:rFonts w:eastAsia="Times New Roman" w:cs="Times New Roman"/>
          <w:i/>
          <w:iCs/>
          <w:sz w:val="18"/>
          <w:szCs w:val="18"/>
        </w:rPr>
        <w:t xml:space="preserve">Bogotá, Colombia </w:t>
      </w:r>
    </w:p>
    <w:p>
      <w:pPr>
        <w:sectPr>
          <w:type w:val="nextPage"/>
          <w:pgSz w:w="12240" w:h="15840"/>
          <w:pgMar w:left="1080" w:right="1080" w:gutter="0" w:header="0" w:top="1080" w:footer="0" w:bottom="1440"/>
          <w:pgNumType w:fmt="decimal"/>
          <w:formProt w:val="false"/>
          <w:textDirection w:val="lrTb"/>
          <w:docGrid w:type="default" w:linePitch="360" w:charSpace="8192"/>
        </w:sectPr>
      </w:pPr>
    </w:p>
    <w:p>
      <w:pPr>
        <w:pStyle w:val="Normal"/>
        <w:spacing w:lineRule="exact" w:line="228" w:before="0" w:after="100"/>
        <w:jc w:val="both"/>
        <w:rPr/>
      </w:pPr>
      <w:r>
        <w:rPr>
          <w:rFonts w:eastAsia="Times New Roman" w:cs="Times New Roman"/>
          <w:b/>
          <w:bCs/>
          <w:i/>
          <w:iCs/>
          <w:sz w:val="18"/>
          <w:szCs w:val="18"/>
        </w:rPr>
        <w:t>Abstract—</w:t>
      </w:r>
      <w:r>
        <w:rPr>
          <w:rFonts w:eastAsia="Times New Roman" w:cs="Times New Roman"/>
          <w:b/>
          <w:bCs/>
          <w:sz w:val="18"/>
          <w:szCs w:val="18"/>
        </w:rPr>
        <w:t>Este documento detalla el desarrollo y evaluación de un agente inteligente para el juego en Android “RobotPVP”. Se propone una extensión del algoritmo de aprendizaje por refuerzo Actor-Critic, integrando un Componente de Descubrimiento (Curiosidad Intrínseca) para evitar estancamientos subóptimos durante la persecución del oponente. El modelo es entrenado en un entorno simulado proxy en Python y exportado a un dispositivo móvil para inferencia nativa mediante PyTorch Mobile.</w:t>
      </w:r>
    </w:p>
    <w:p>
      <w:pPr>
        <w:pStyle w:val="Normal"/>
        <w:spacing w:lineRule="exact" w:line="228" w:before="0" w:after="160"/>
        <w:jc w:val="both"/>
        <w:rPr/>
      </w:pPr>
      <w:r>
        <w:rPr>
          <w:rFonts w:eastAsia="Times New Roman" w:cs="Times New Roman"/>
          <w:b/>
          <w:bCs/>
          <w:i/>
          <w:iCs/>
          <w:sz w:val="18"/>
          <w:szCs w:val="18"/>
        </w:rPr>
        <w:t>Index Terms—Actor-Critic, Aprendizaje por Refuerzo, Curiosidad Intrínseca, PyTorch Mobile, RobotPVP.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smallCaps/>
          <w:sz w:val="20"/>
          <w:szCs w:val="20"/>
        </w:rPr>
        <w:t>I. Justificación del enfoque y explicación de la innovación</w:t>
      </w:r>
    </w:p>
    <w:p>
      <w:pPr>
        <w:pStyle w:val="Normal"/>
        <w:spacing w:lineRule="exact" w:line="228" w:before="0" w:after="120"/>
        <w:ind w:firstLine="200"/>
        <w:jc w:val="both"/>
        <w:rPr/>
      </w:pPr>
      <w:r>
        <w:rPr>
          <w:rFonts w:eastAsia="Times New Roman" w:cs="Times New Roman"/>
          <w:sz w:val="20"/>
          <w:szCs w:val="20"/>
        </w:rPr>
        <w:t xml:space="preserve">El juego RobotPVP presenta un entorno continuo donde un robot debe perseguir a un oponente. Si el agente Actor-Critic tradicional [1], [2] inicia con pesos aleatorios que lo alejan del objetivo, nunca recibe una recompensa positiva (extrínseca). El “Critic” evalúa negativamente cualquier acción y el “Actor” colapsa sin aprender a moverse eficientemente. Adicionalmente, las limitaciones de cómputo en dispositivos móviles Android impiden el entrenamiento iterativo de redes profundas </w:t>
      </w:r>
      <w:r>
        <w:rPr>
          <w:rFonts w:eastAsia="Times New Roman" w:cs="Times New Roman"/>
          <w:i/>
          <w:iCs/>
          <w:sz w:val="20"/>
          <w:szCs w:val="20"/>
        </w:rPr>
        <w:t>on-device</w:t>
      </w:r>
      <w:r>
        <w:rPr>
          <w:rFonts w:eastAsia="Times New Roman" w:cs="Times New Roman"/>
          <w:sz w:val="20"/>
          <w:szCs w:val="20"/>
        </w:rPr>
        <w:t xml:space="preserve">, lo que justifica la creación de un entorno proxy simulado en Python para el entrenamiento </w:t>
      </w:r>
      <w:r>
        <w:rPr>
          <w:rFonts w:eastAsia="Times New Roman" w:cs="Times New Roman"/>
          <w:i/>
          <w:iCs/>
          <w:sz w:val="20"/>
          <w:szCs w:val="20"/>
        </w:rPr>
        <w:t>offline</w:t>
      </w:r>
      <w:r>
        <w:rPr>
          <w:rFonts w:eastAsia="Times New Roman" w:cs="Times New Roman"/>
          <w:sz w:val="20"/>
          <w:szCs w:val="20"/>
        </w:rPr>
        <w:t>.</w:t>
      </w:r>
    </w:p>
    <w:p>
      <w:pPr>
        <w:pStyle w:val="Normal"/>
        <w:spacing w:lineRule="exact" w:line="228" w:before="0" w:after="120"/>
        <w:ind w:firstLine="200"/>
        <w:jc w:val="both"/>
        <w:rPr/>
      </w:pPr>
      <w:r>
        <w:rPr>
          <w:rFonts w:eastAsia="Times New Roman" w:cs="Times New Roman"/>
          <w:sz w:val="20"/>
          <w:szCs w:val="20"/>
        </w:rPr>
        <w:t>La innovación central de este enfoque es la integración de un “Componente de Descubrimiento” basado en un Modelo Predictivo Hacia Adelante (</w:t>
      </w:r>
      <w:r>
        <w:rPr>
          <w:rFonts w:eastAsia="Times New Roman" w:cs="Times New Roman"/>
          <w:i/>
          <w:iCs/>
          <w:sz w:val="20"/>
          <w:szCs w:val="20"/>
        </w:rPr>
        <w:t>Forward Model</w:t>
      </w:r>
      <w:r>
        <w:rPr>
          <w:rFonts w:eastAsia="Times New Roman" w:cs="Times New Roman"/>
          <w:sz w:val="20"/>
          <w:szCs w:val="20"/>
        </w:rPr>
        <w:t>) [3]. Este componente otorga al agente una recompensa intrínseca cada vez que experimenta un estado que su red neuronal no es capaz de predecir (exploración de nuevas áreas o mecánicas). Esto asegura que el robot no se detenga si pierde de vista al oponente, forzando un comportamiento de búsqueda activa para descubrir nuevas estrategias de intercepción.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smallCaps/>
          <w:sz w:val="20"/>
          <w:szCs w:val="20"/>
        </w:rPr>
        <w:t>II. Formulación matemática</w:t>
      </w:r>
    </w:p>
    <w:p>
      <w:pPr>
        <w:pStyle w:val="Normal"/>
        <w:spacing w:lineRule="exact" w:line="228" w:before="0" w:after="120"/>
        <w:ind w:firstLine="200"/>
        <w:jc w:val="both"/>
        <w:rPr/>
      </w:pPr>
      <w:r>
        <w:rPr>
          <w:rFonts w:eastAsia="Times New Roman" w:cs="Times New Roman"/>
          <w:sz w:val="20"/>
          <w:szCs w:val="20"/>
        </w:rPr>
        <w:t xml:space="preserve">Sea </w:t>
      </w:r>
      <w:r>
        <w:rPr>
          <w:rFonts w:eastAsia="Times New Roman" w:cs="Times New Roman"/>
          <w:i/>
          <w:iCs/>
          <w:sz w:val="20"/>
          <w:szCs w:val="20"/>
        </w:rPr>
        <w:t>s</w:t>
      </w:r>
      <w:r>
        <w:rPr>
          <w:rFonts w:eastAsia="Times New Roman" w:cs="Times New Roman"/>
          <w:i/>
          <w:iCs/>
          <w:sz w:val="20"/>
          <w:szCs w:val="20"/>
          <w:vertAlign w:val="subscript"/>
        </w:rPr>
        <w:t>t</w:t>
      </w:r>
      <w:r>
        <w:rPr>
          <w:rFonts w:eastAsia="Times New Roman" w:cs="Times New Roman"/>
          <w:sz w:val="20"/>
          <w:szCs w:val="20"/>
        </w:rPr>
        <w:t xml:space="preserve"> = [</w:t>
      </w:r>
      <w:r>
        <w:rPr>
          <w:rFonts w:eastAsia="Times New Roman" w:cs="Times New Roman"/>
          <w:i/>
          <w:iCs/>
          <w:sz w:val="20"/>
          <w:szCs w:val="20"/>
        </w:rPr>
        <w:t>x</w:t>
      </w:r>
      <w:r>
        <w:rPr>
          <w:rFonts w:eastAsia="Times New Roman" w:cs="Times New Roman"/>
          <w:i/>
          <w:iCs/>
          <w:sz w:val="20"/>
          <w:szCs w:val="20"/>
          <w:vertAlign w:val="subscript"/>
        </w:rPr>
        <w:t>robot</w:t>
      </w:r>
      <w:r>
        <w:rPr>
          <w:rFonts w:eastAsia="Times New Roman" w:cs="Times New Roman"/>
          <w:sz w:val="20"/>
          <w:szCs w:val="20"/>
        </w:rPr>
        <w:t xml:space="preserve">, </w:t>
      </w:r>
      <w:r>
        <w:rPr>
          <w:rFonts w:eastAsia="Times New Roman" w:cs="Times New Roman"/>
          <w:i/>
          <w:iCs/>
          <w:sz w:val="20"/>
          <w:szCs w:val="20"/>
        </w:rPr>
        <w:t>y</w:t>
      </w:r>
      <w:r>
        <w:rPr>
          <w:rFonts w:eastAsia="Times New Roman" w:cs="Times New Roman"/>
          <w:i/>
          <w:iCs/>
          <w:sz w:val="20"/>
          <w:szCs w:val="20"/>
          <w:vertAlign w:val="subscript"/>
        </w:rPr>
        <w:t>robot</w:t>
      </w:r>
      <w:r>
        <w:rPr>
          <w:rFonts w:eastAsia="Times New Roman" w:cs="Times New Roman"/>
          <w:sz w:val="20"/>
          <w:szCs w:val="20"/>
        </w:rPr>
        <w:t xml:space="preserve">, </w:t>
      </w:r>
      <w:r>
        <w:rPr>
          <w:rFonts w:eastAsia="Times New Roman" w:cs="Times New Roman"/>
          <w:i/>
          <w:iCs/>
          <w:sz w:val="20"/>
          <w:szCs w:val="20"/>
        </w:rPr>
        <w:t>x</w:t>
      </w:r>
      <w:r>
        <w:rPr>
          <w:rFonts w:eastAsia="Times New Roman" w:cs="Times New Roman"/>
          <w:i/>
          <w:iCs/>
          <w:sz w:val="20"/>
          <w:szCs w:val="20"/>
          <w:vertAlign w:val="subscript"/>
        </w:rPr>
        <w:t>rival</w:t>
      </w:r>
      <w:r>
        <w:rPr>
          <w:rFonts w:eastAsia="Times New Roman" w:cs="Times New Roman"/>
          <w:sz w:val="20"/>
          <w:szCs w:val="20"/>
        </w:rPr>
        <w:t xml:space="preserve">, </w:t>
      </w:r>
      <w:r>
        <w:rPr>
          <w:rFonts w:eastAsia="Times New Roman" w:cs="Times New Roman"/>
          <w:i/>
          <w:iCs/>
          <w:sz w:val="20"/>
          <w:szCs w:val="20"/>
        </w:rPr>
        <w:t>y</w:t>
      </w:r>
      <w:r>
        <w:rPr>
          <w:rFonts w:eastAsia="Times New Roman" w:cs="Times New Roman"/>
          <w:i/>
          <w:iCs/>
          <w:sz w:val="20"/>
          <w:szCs w:val="20"/>
          <w:vertAlign w:val="subscript"/>
        </w:rPr>
        <w:t>rival</w:t>
      </w:r>
      <w:r>
        <w:rPr>
          <w:rFonts w:eastAsia="Times New Roman" w:cs="Times New Roman"/>
          <w:sz w:val="20"/>
          <w:szCs w:val="20"/>
        </w:rPr>
        <w:t xml:space="preserve">] el vector de estado del entorno y </w:t>
      </w:r>
      <w:r>
        <w:rPr>
          <w:rFonts w:eastAsia="Times New Roman" w:cs="Times New Roman"/>
          <w:i/>
          <w:iCs/>
          <w:sz w:val="20"/>
          <w:szCs w:val="20"/>
        </w:rPr>
        <w:t>a</w:t>
      </w:r>
      <w:r>
        <w:rPr>
          <w:rFonts w:eastAsia="Times New Roman" w:cs="Times New Roman"/>
          <w:i/>
          <w:iCs/>
          <w:sz w:val="20"/>
          <w:szCs w:val="20"/>
          <w:vertAlign w:val="subscript"/>
        </w:rPr>
        <w:t>t</w:t>
      </w:r>
      <w:r>
        <w:rPr>
          <w:rFonts w:eastAsia="Times New Roman" w:cs="Times New Roman"/>
          <w:sz w:val="20"/>
          <w:szCs w:val="20"/>
        </w:rPr>
        <w:t xml:space="preserve"> la acción tomada por el agente. El algoritmo estándar se define por la función de ventaja:</w:t>
      </w:r>
    </w:p>
    <w:p>
      <w:pPr>
        <w:pStyle w:val="Normal"/>
        <w:tabs>
          <w:tab w:val="clear" w:pos="720"/>
          <w:tab w:val="center" w:pos="2430" w:leader="none"/>
          <w:tab w:val="right" w:pos="4860" w:leader="none"/>
        </w:tabs>
        <w:spacing w:before="60" w:after="120"/>
        <w:rPr/>
      </w:pPr>
      <w:r>
        <w:rPr>
          <w:rFonts w:eastAsia="Times New Roman" w:cs="Times New Roman"/>
          <w:sz w:val="20"/>
          <w:szCs w:val="20"/>
        </w:rPr>
        <w:tab/>
        <w:t>A(</w:t>
      </w:r>
      <w:r>
        <w:rPr>
          <w:rFonts w:eastAsia="Times New Roman" w:cs="Times New Roman"/>
          <w:i/>
          <w:iCs/>
          <w:sz w:val="20"/>
          <w:szCs w:val="20"/>
        </w:rPr>
        <w:t>s</w:t>
      </w:r>
      <w:r>
        <w:rPr>
          <w:rFonts w:eastAsia="Times New Roman" w:cs="Times New Roman"/>
          <w:i/>
          <w:iCs/>
          <w:sz w:val="20"/>
          <w:szCs w:val="20"/>
          <w:vertAlign w:val="subscript"/>
        </w:rPr>
        <w:t>t</w:t>
      </w:r>
      <w:r>
        <w:rPr>
          <w:rFonts w:eastAsia="Times New Roman" w:cs="Times New Roman"/>
          <w:sz w:val="20"/>
          <w:szCs w:val="20"/>
        </w:rPr>
        <w:t>,</w:t>
      </w:r>
      <w:r>
        <w:rPr>
          <w:rFonts w:eastAsia="Times New Roman" w:cs="Times New Roman"/>
          <w:i/>
          <w:iCs/>
          <w:sz w:val="20"/>
          <w:szCs w:val="20"/>
        </w:rPr>
        <w:t>a</w:t>
      </w:r>
      <w:r>
        <w:rPr>
          <w:rFonts w:eastAsia="Times New Roman" w:cs="Times New Roman"/>
          <w:i/>
          <w:iCs/>
          <w:sz w:val="20"/>
          <w:szCs w:val="20"/>
          <w:vertAlign w:val="subscript"/>
        </w:rPr>
        <w:t>t</w:t>
      </w:r>
      <w:r>
        <w:rPr>
          <w:rFonts w:eastAsia="Times New Roman" w:cs="Times New Roman"/>
          <w:sz w:val="20"/>
          <w:szCs w:val="20"/>
        </w:rPr>
        <w:t xml:space="preserve">) = </w:t>
      </w:r>
      <w:r>
        <w:rPr>
          <w:rFonts w:eastAsia="Times New Roman" w:cs="Times New Roman"/>
          <w:i/>
          <w:iCs/>
          <w:sz w:val="20"/>
          <w:szCs w:val="20"/>
        </w:rPr>
        <w:t>r</w:t>
      </w:r>
      <w:r>
        <w:rPr>
          <w:rFonts w:eastAsia="Times New Roman" w:cs="Times New Roman"/>
          <w:i/>
          <w:iCs/>
          <w:sz w:val="20"/>
          <w:szCs w:val="20"/>
          <w:vertAlign w:val="subscript"/>
        </w:rPr>
        <w:t>t</w:t>
      </w:r>
      <w:r>
        <w:rPr>
          <w:rFonts w:eastAsia="Times New Roman" w:cs="Times New Roman"/>
          <w:i/>
          <w:iCs/>
          <w:sz w:val="20"/>
          <w:szCs w:val="20"/>
          <w:vertAlign w:val="superscript"/>
        </w:rPr>
        <w:t>e</w:t>
      </w:r>
      <w:r>
        <w:rPr>
          <w:rFonts w:eastAsia="Times New Roman" w:cs="Times New Roman"/>
          <w:sz w:val="20"/>
          <w:szCs w:val="20"/>
        </w:rPr>
        <w:t xml:space="preserve"> + γ V(</w:t>
      </w:r>
      <w:r>
        <w:rPr>
          <w:rFonts w:eastAsia="Times New Roman" w:cs="Times New Roman"/>
          <w:i/>
          <w:iCs/>
          <w:sz w:val="20"/>
          <w:szCs w:val="20"/>
        </w:rPr>
        <w:t>s</w:t>
      </w:r>
      <w:r>
        <w:rPr>
          <w:rFonts w:eastAsia="Times New Roman" w:cs="Times New Roman"/>
          <w:i/>
          <w:iCs/>
          <w:sz w:val="20"/>
          <w:szCs w:val="20"/>
          <w:vertAlign w:val="subscript"/>
        </w:rPr>
        <w:t>t+1</w:t>
      </w:r>
      <w:r>
        <w:rPr>
          <w:rFonts w:eastAsia="Times New Roman" w:cs="Times New Roman"/>
          <w:sz w:val="20"/>
          <w:szCs w:val="20"/>
        </w:rPr>
        <w:t>) − V(</w:t>
      </w:r>
      <w:r>
        <w:rPr>
          <w:rFonts w:eastAsia="Times New Roman" w:cs="Times New Roman"/>
          <w:i/>
          <w:iCs/>
          <w:sz w:val="20"/>
          <w:szCs w:val="20"/>
        </w:rPr>
        <w:t>s</w:t>
      </w:r>
      <w:r>
        <w:rPr>
          <w:rFonts w:eastAsia="Times New Roman" w:cs="Times New Roman"/>
          <w:i/>
          <w:iCs/>
          <w:sz w:val="20"/>
          <w:szCs w:val="20"/>
          <w:vertAlign w:val="subscript"/>
        </w:rPr>
        <w:t>t</w:t>
      </w:r>
      <w:r>
        <w:rPr>
          <w:rFonts w:eastAsia="Times New Roman" w:cs="Times New Roman"/>
          <w:sz w:val="20"/>
          <w:szCs w:val="20"/>
        </w:rPr>
        <w:t>)</w:t>
        <w:tab/>
        <w:t>(1)</w:t>
      </w:r>
    </w:p>
    <w:p>
      <w:pPr>
        <w:pStyle w:val="Normal"/>
        <w:spacing w:lineRule="exact" w:line="228" w:before="0" w:after="120"/>
        <w:ind w:hanging="0"/>
        <w:jc w:val="both"/>
        <w:rPr/>
      </w:pPr>
      <w:r>
        <w:rPr>
          <w:rFonts w:eastAsia="Times New Roman" w:cs="Times New Roman"/>
          <w:sz w:val="20"/>
          <w:szCs w:val="20"/>
        </w:rPr>
        <w:t xml:space="preserve">donde </w:t>
      </w:r>
      <w:r>
        <w:rPr>
          <w:rFonts w:eastAsia="Times New Roman" w:cs="Times New Roman"/>
          <w:i/>
          <w:iCs/>
          <w:sz w:val="20"/>
          <w:szCs w:val="20"/>
        </w:rPr>
        <w:t>r</w:t>
      </w:r>
      <w:r>
        <w:rPr>
          <w:rFonts w:eastAsia="Times New Roman" w:cs="Times New Roman"/>
          <w:i/>
          <w:iCs/>
          <w:sz w:val="20"/>
          <w:szCs w:val="20"/>
          <w:vertAlign w:val="subscript"/>
        </w:rPr>
        <w:t>t</w:t>
      </w:r>
      <w:r>
        <w:rPr>
          <w:rFonts w:eastAsia="Times New Roman" w:cs="Times New Roman"/>
          <w:i/>
          <w:iCs/>
          <w:sz w:val="20"/>
          <w:szCs w:val="20"/>
          <w:vertAlign w:val="superscript"/>
        </w:rPr>
        <w:t>e</w:t>
      </w:r>
      <w:r>
        <w:rPr>
          <w:rFonts w:eastAsia="Times New Roman" w:cs="Times New Roman"/>
          <w:sz w:val="20"/>
          <w:szCs w:val="20"/>
        </w:rPr>
        <w:t xml:space="preserve"> es la recompensa extrínseca proporcionada por el juego.</w:t>
      </w:r>
    </w:p>
    <w:p>
      <w:pPr>
        <w:pStyle w:val="Normal"/>
        <w:spacing w:lineRule="exact" w:line="228" w:before="0" w:after="120"/>
        <w:ind w:firstLine="200"/>
        <w:jc w:val="both"/>
        <w:rPr/>
      </w:pPr>
      <w:r>
        <w:rPr>
          <w:rFonts w:eastAsia="Times New Roman" w:cs="Times New Roman"/>
          <w:sz w:val="20"/>
          <w:szCs w:val="20"/>
        </w:rPr>
        <w:t xml:space="preserve">La extensión matemática introduce el Componente de Descubrimiento, definido por una red de extracción de características φ y una red predictiva de dinámicas </w:t>
      </w:r>
      <w:r>
        <w:rPr>
          <w:rFonts w:eastAsia="Times New Roman" w:cs="Times New Roman"/>
          <w:i/>
          <w:iCs/>
          <w:sz w:val="20"/>
          <w:szCs w:val="20"/>
        </w:rPr>
        <w:t>f</w:t>
      </w:r>
      <w:r>
        <w:rPr>
          <w:rFonts w:eastAsia="Times New Roman" w:cs="Times New Roman"/>
          <w:i/>
          <w:iCs/>
          <w:sz w:val="20"/>
          <w:szCs w:val="20"/>
          <w:vertAlign w:val="subscript"/>
        </w:rPr>
        <w:t>θ</w:t>
      </w:r>
      <w:r>
        <w:rPr>
          <w:rFonts w:eastAsia="Times New Roman" w:cs="Times New Roman"/>
          <w:sz w:val="20"/>
          <w:szCs w:val="20"/>
        </w:rPr>
        <w:t>:</w:t>
      </w:r>
    </w:p>
    <w:p>
      <w:pPr>
        <w:pStyle w:val="Normal"/>
        <w:tabs>
          <w:tab w:val="clear" w:pos="720"/>
          <w:tab w:val="center" w:pos="2430" w:leader="none"/>
          <w:tab w:val="right" w:pos="4860" w:leader="none"/>
        </w:tabs>
        <w:spacing w:before="60" w:after="120"/>
        <w:rPr/>
      </w:pPr>
      <w:r>
        <w:rPr>
          <w:rFonts w:eastAsia="Times New Roman" w:cs="Times New Roman"/>
          <w:sz w:val="20"/>
          <w:szCs w:val="20"/>
        </w:rPr>
        <w:tab/>
        <w:t>φ̂(</w:t>
      </w:r>
      <w:r>
        <w:rPr>
          <w:rFonts w:eastAsia="Times New Roman" w:cs="Times New Roman"/>
          <w:i/>
          <w:iCs/>
          <w:sz w:val="20"/>
          <w:szCs w:val="20"/>
        </w:rPr>
        <w:t>s</w:t>
      </w:r>
      <w:r>
        <w:rPr>
          <w:rFonts w:eastAsia="Times New Roman" w:cs="Times New Roman"/>
          <w:i/>
          <w:iCs/>
          <w:sz w:val="20"/>
          <w:szCs w:val="20"/>
          <w:vertAlign w:val="subscript"/>
        </w:rPr>
        <w:t>t+1</w:t>
      </w:r>
      <w:r>
        <w:rPr>
          <w:rFonts w:eastAsia="Times New Roman" w:cs="Times New Roman"/>
          <w:sz w:val="20"/>
          <w:szCs w:val="20"/>
        </w:rPr>
        <w:t xml:space="preserve">) = </w:t>
      </w:r>
      <w:r>
        <w:rPr>
          <w:rFonts w:eastAsia="Times New Roman" w:cs="Times New Roman"/>
          <w:i/>
          <w:iCs/>
          <w:sz w:val="20"/>
          <w:szCs w:val="20"/>
        </w:rPr>
        <w:t>f</w:t>
      </w:r>
      <w:r>
        <w:rPr>
          <w:rFonts w:eastAsia="Times New Roman" w:cs="Times New Roman"/>
          <w:i/>
          <w:iCs/>
          <w:sz w:val="20"/>
          <w:szCs w:val="20"/>
          <w:vertAlign w:val="subscript"/>
        </w:rPr>
        <w:t>θ</w:t>
      </w:r>
      <w:r>
        <w:rPr>
          <w:rFonts w:eastAsia="Times New Roman" w:cs="Times New Roman"/>
          <w:sz w:val="20"/>
          <w:szCs w:val="20"/>
        </w:rPr>
        <w:t>(φ(</w:t>
      </w:r>
      <w:r>
        <w:rPr>
          <w:rFonts w:eastAsia="Times New Roman" w:cs="Times New Roman"/>
          <w:i/>
          <w:iCs/>
          <w:sz w:val="20"/>
          <w:szCs w:val="20"/>
        </w:rPr>
        <w:t>s</w:t>
      </w:r>
      <w:r>
        <w:rPr>
          <w:rFonts w:eastAsia="Times New Roman" w:cs="Times New Roman"/>
          <w:i/>
          <w:iCs/>
          <w:sz w:val="20"/>
          <w:szCs w:val="20"/>
          <w:vertAlign w:val="subscript"/>
        </w:rPr>
        <w:t>t</w:t>
      </w:r>
      <w:r>
        <w:rPr>
          <w:rFonts w:eastAsia="Times New Roman" w:cs="Times New Roman"/>
          <w:sz w:val="20"/>
          <w:szCs w:val="20"/>
        </w:rPr>
        <w:t xml:space="preserve">), </w:t>
      </w:r>
      <w:r>
        <w:rPr>
          <w:rFonts w:eastAsia="Times New Roman" w:cs="Times New Roman"/>
          <w:i/>
          <w:iCs/>
          <w:sz w:val="20"/>
          <w:szCs w:val="20"/>
        </w:rPr>
        <w:t>a</w:t>
      </w:r>
      <w:r>
        <w:rPr>
          <w:rFonts w:eastAsia="Times New Roman" w:cs="Times New Roman"/>
          <w:i/>
          <w:iCs/>
          <w:sz w:val="20"/>
          <w:szCs w:val="20"/>
          <w:vertAlign w:val="subscript"/>
        </w:rPr>
        <w:t>t</w:t>
      </w:r>
      <w:r>
        <w:rPr>
          <w:rFonts w:eastAsia="Times New Roman" w:cs="Times New Roman"/>
          <w:sz w:val="20"/>
          <w:szCs w:val="20"/>
        </w:rPr>
        <w:t>)</w:t>
        <w:tab/>
        <w:t>(2)</w:t>
      </w:r>
    </w:p>
    <w:p>
      <w:pPr>
        <w:pStyle w:val="Normal"/>
        <w:spacing w:lineRule="exact" w:line="228" w:before="0" w:after="120"/>
        <w:ind w:firstLine="200"/>
        <w:jc w:val="both"/>
        <w:rPr/>
      </w:pPr>
      <w:r>
        <w:rPr>
          <w:rFonts w:eastAsia="Times New Roman" w:cs="Times New Roman"/>
          <w:sz w:val="20"/>
          <w:szCs w:val="20"/>
        </w:rPr>
        <w:t>La recompensa intrínseca por descubrimiento (</w:t>
      </w:r>
      <w:r>
        <w:rPr>
          <w:rFonts w:eastAsia="Times New Roman" w:cs="Times New Roman"/>
          <w:i/>
          <w:iCs/>
          <w:sz w:val="20"/>
          <w:szCs w:val="20"/>
        </w:rPr>
        <w:t>r</w:t>
      </w:r>
      <w:r>
        <w:rPr>
          <w:rFonts w:eastAsia="Times New Roman" w:cs="Times New Roman"/>
          <w:i/>
          <w:iCs/>
          <w:sz w:val="20"/>
          <w:szCs w:val="20"/>
          <w:vertAlign w:val="subscript"/>
        </w:rPr>
        <w:t>t</w:t>
      </w:r>
      <w:r>
        <w:rPr>
          <w:rFonts w:eastAsia="Times New Roman" w:cs="Times New Roman"/>
          <w:i/>
          <w:iCs/>
          <w:sz w:val="20"/>
          <w:szCs w:val="20"/>
          <w:vertAlign w:val="superscript"/>
        </w:rPr>
        <w:t>i</w:t>
      </w:r>
      <w:r>
        <w:rPr>
          <w:rFonts w:eastAsia="Times New Roman" w:cs="Times New Roman"/>
          <w:sz w:val="20"/>
          <w:szCs w:val="20"/>
        </w:rPr>
        <w:t>) se define como el error medio cuadrático entre la predicción y el estado real resultante:</w:t>
      </w:r>
    </w:p>
    <w:p>
      <w:pPr>
        <w:pStyle w:val="Normal"/>
        <w:tabs>
          <w:tab w:val="clear" w:pos="720"/>
          <w:tab w:val="center" w:pos="2430" w:leader="none"/>
          <w:tab w:val="right" w:pos="4860" w:leader="none"/>
        </w:tabs>
        <w:spacing w:before="60" w:after="120"/>
        <w:rPr/>
      </w:pP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i/>
          <w:iCs/>
          <w:sz w:val="20"/>
          <w:szCs w:val="20"/>
        </w:rPr>
        <w:t>r</w:t>
      </w:r>
      <w:r>
        <w:rPr>
          <w:rFonts w:eastAsia="Times New Roman" w:cs="Times New Roman"/>
          <w:i/>
          <w:iCs/>
          <w:sz w:val="20"/>
          <w:szCs w:val="20"/>
          <w:vertAlign w:val="subscript"/>
        </w:rPr>
        <w:t>t</w:t>
      </w:r>
      <w:r>
        <w:rPr>
          <w:rFonts w:eastAsia="Times New Roman" w:cs="Times New Roman"/>
          <w:i/>
          <w:iCs/>
          <w:sz w:val="20"/>
          <w:szCs w:val="20"/>
          <w:vertAlign w:val="superscript"/>
        </w:rPr>
        <w:t>i</w:t>
      </w:r>
      <w:r>
        <w:rPr>
          <w:rFonts w:eastAsia="Times New Roman" w:cs="Times New Roman"/>
          <w:sz w:val="20"/>
          <w:szCs w:val="20"/>
        </w:rPr>
        <w:t xml:space="preserve"> = ½ </w:t>
      </w:r>
      <w:r>
        <w:rPr>
          <w:rFonts w:eastAsia="Times New Roman" w:cs="Times New Roman"/>
          <w:i/>
          <w:iCs/>
          <w:sz w:val="20"/>
          <w:szCs w:val="20"/>
        </w:rPr>
        <w:t>‖</w:t>
      </w:r>
      <w:r>
        <w:rPr>
          <w:rFonts w:eastAsia="Times New Roman" w:cs="Times New Roman"/>
          <w:i/>
          <w:iCs/>
          <w:sz w:val="20"/>
          <w:szCs w:val="20"/>
          <w:vertAlign w:val="subscript"/>
        </w:rPr>
        <w:t>2</w:t>
      </w:r>
      <w:r>
        <w:rPr>
          <w:rFonts w:eastAsia="Times New Roman" w:cs="Times New Roman"/>
          <w:i/>
          <w:iCs/>
          <w:sz w:val="20"/>
          <w:szCs w:val="20"/>
          <w:vertAlign w:val="superscript"/>
        </w:rPr>
        <w:t>2</w:t>
      </w:r>
      <w:r>
        <w:rPr>
          <w:rFonts w:eastAsia="Times New Roman" w:cs="Times New Roman"/>
          <w:sz w:val="20"/>
          <w:szCs w:val="20"/>
        </w:rPr>
        <w:t>φ̂(</w:t>
      </w:r>
      <w:r>
        <w:rPr>
          <w:rFonts w:eastAsia="Times New Roman" w:cs="Times New Roman"/>
          <w:i/>
          <w:iCs/>
          <w:sz w:val="20"/>
          <w:szCs w:val="20"/>
        </w:rPr>
        <w:t>s</w:t>
      </w:r>
      <w:r>
        <w:rPr>
          <w:rFonts w:eastAsia="Times New Roman" w:cs="Times New Roman"/>
          <w:i/>
          <w:iCs/>
          <w:sz w:val="20"/>
          <w:szCs w:val="20"/>
          <w:vertAlign w:val="subscript"/>
        </w:rPr>
        <w:t>t+1</w:t>
      </w:r>
      <w:r>
        <w:rPr>
          <w:rFonts w:eastAsia="Times New Roman" w:cs="Times New Roman"/>
          <w:sz w:val="20"/>
          <w:szCs w:val="20"/>
        </w:rPr>
        <w:t>) − φ(</w:t>
      </w:r>
      <w:r>
        <w:rPr>
          <w:rFonts w:eastAsia="Times New Roman" w:cs="Times New Roman"/>
          <w:i/>
          <w:iCs/>
          <w:sz w:val="20"/>
          <w:szCs w:val="20"/>
        </w:rPr>
        <w:t>s</w:t>
      </w:r>
      <w:r>
        <w:rPr>
          <w:rFonts w:eastAsia="Times New Roman" w:cs="Times New Roman"/>
          <w:i/>
          <w:iCs/>
          <w:sz w:val="20"/>
          <w:szCs w:val="20"/>
          <w:vertAlign w:val="subscript"/>
        </w:rPr>
        <w:t>t+1</w:t>
      </w:r>
      <w:r>
        <w:rPr>
          <w:rFonts w:eastAsia="Times New Roman" w:cs="Times New Roman"/>
          <w:sz w:val="20"/>
          <w:szCs w:val="20"/>
        </w:rPr>
        <w:t>)</w:t>
      </w:r>
      <w:r>
        <w:rPr>
          <w:rFonts w:eastAsia="Times New Roman" w:cs="Times New Roman"/>
          <w:i/>
          <w:iCs/>
          <w:sz w:val="20"/>
          <w:szCs w:val="20"/>
        </w:rPr>
        <w:t>‖</w:t>
      </w:r>
      <w:r>
        <w:rPr>
          <w:rFonts w:eastAsia="Times New Roman" w:cs="Times New Roman"/>
          <w:i/>
          <w:iCs/>
          <w:sz w:val="20"/>
          <w:szCs w:val="20"/>
          <w:vertAlign w:val="subscript"/>
        </w:rPr>
        <w:t>2</w:t>
      </w:r>
      <w:r>
        <w:rPr>
          <w:rFonts w:eastAsia="Times New Roman" w:cs="Times New Roman"/>
          <w:i/>
          <w:iCs/>
          <w:sz w:val="20"/>
          <w:szCs w:val="20"/>
          <w:vertAlign w:val="superscript"/>
        </w:rPr>
        <w:t>2</w:t>
      </w:r>
      <w:r>
        <w:rPr>
          <w:rFonts w:eastAsia="Times New Roman" w:cs="Times New Roman"/>
          <w:sz w:val="20"/>
          <w:szCs w:val="20"/>
        </w:rPr>
        <w:tab/>
        <w:t>(3)</w:t>
      </w:r>
    </w:p>
    <w:p>
      <w:pPr>
        <w:pStyle w:val="Normal"/>
        <w:spacing w:lineRule="exact" w:line="228" w:before="0" w:after="120"/>
        <w:ind w:firstLine="200"/>
        <w:jc w:val="both"/>
        <w:rPr/>
      </w:pPr>
      <w:r>
        <w:rPr>
          <w:rFonts w:eastAsia="Times New Roman" w:cs="Times New Roman"/>
          <w:sz w:val="20"/>
          <w:szCs w:val="20"/>
        </w:rPr>
        <w:t>La recompensa total evaluada por el Crítico se modifica combinando ambas señales:</w:t>
      </w:r>
    </w:p>
    <w:p>
      <w:pPr>
        <w:pStyle w:val="Normal"/>
        <w:tabs>
          <w:tab w:val="clear" w:pos="720"/>
          <w:tab w:val="center" w:pos="2430" w:leader="none"/>
          <w:tab w:val="right" w:pos="4860" w:leader="none"/>
        </w:tabs>
        <w:spacing w:before="60" w:after="120"/>
        <w:rPr/>
      </w:pP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i/>
          <w:iCs/>
          <w:sz w:val="20"/>
          <w:szCs w:val="20"/>
        </w:rPr>
        <w:t>r</w:t>
      </w:r>
      <w:r>
        <w:rPr>
          <w:rFonts w:eastAsia="Times New Roman" w:cs="Times New Roman"/>
          <w:i/>
          <w:iCs/>
          <w:sz w:val="20"/>
          <w:szCs w:val="20"/>
          <w:vertAlign w:val="subscript"/>
        </w:rPr>
        <w:t>t</w:t>
      </w:r>
      <w:r>
        <w:rPr>
          <w:rFonts w:eastAsia="Times New Roman" w:cs="Times New Roman"/>
          <w:sz w:val="20"/>
          <w:szCs w:val="20"/>
        </w:rPr>
        <w:t xml:space="preserve"> = </w:t>
      </w:r>
      <w:r>
        <w:rPr>
          <w:rFonts w:eastAsia="Times New Roman" w:cs="Times New Roman"/>
          <w:i/>
          <w:iCs/>
          <w:sz w:val="20"/>
          <w:szCs w:val="20"/>
        </w:rPr>
        <w:t>r</w:t>
      </w:r>
      <w:r>
        <w:rPr>
          <w:rFonts w:eastAsia="Times New Roman" w:cs="Times New Roman"/>
          <w:i/>
          <w:iCs/>
          <w:sz w:val="20"/>
          <w:szCs w:val="20"/>
          <w:vertAlign w:val="subscript"/>
        </w:rPr>
        <w:t>t</w:t>
      </w:r>
      <w:r>
        <w:rPr>
          <w:rFonts w:eastAsia="Times New Roman" w:cs="Times New Roman"/>
          <w:i/>
          <w:iCs/>
          <w:sz w:val="20"/>
          <w:szCs w:val="20"/>
          <w:vertAlign w:val="superscript"/>
        </w:rPr>
        <w:t>e</w:t>
      </w:r>
      <w:r>
        <w:rPr>
          <w:rFonts w:eastAsia="Times New Roman" w:cs="Times New Roman"/>
          <w:sz w:val="20"/>
          <w:szCs w:val="20"/>
        </w:rPr>
        <w:t xml:space="preserve"> + η · </w:t>
      </w:r>
      <w:r>
        <w:rPr>
          <w:rFonts w:eastAsia="Times New Roman" w:cs="Times New Roman"/>
          <w:i/>
          <w:iCs/>
          <w:sz w:val="20"/>
          <w:szCs w:val="20"/>
        </w:rPr>
        <w:t>r</w:t>
      </w:r>
      <w:r>
        <w:rPr>
          <w:rFonts w:eastAsia="Times New Roman" w:cs="Times New Roman"/>
          <w:i/>
          <w:iCs/>
          <w:sz w:val="20"/>
          <w:szCs w:val="20"/>
          <w:vertAlign w:val="subscript"/>
        </w:rPr>
        <w:t>t</w:t>
      </w:r>
      <w:r>
        <w:rPr>
          <w:rFonts w:eastAsia="Times New Roman" w:cs="Times New Roman"/>
          <w:i/>
          <w:iCs/>
          <w:sz w:val="20"/>
          <w:szCs w:val="20"/>
          <w:vertAlign w:val="superscript"/>
        </w:rPr>
        <w:t>i</w:t>
      </w:r>
      <w:r>
        <w:rPr>
          <w:rFonts w:eastAsia="Times New Roman" w:cs="Times New Roman"/>
          <w:sz w:val="20"/>
          <w:szCs w:val="20"/>
        </w:rPr>
        <w:tab/>
        <w:t>(4)</w:t>
      </w:r>
    </w:p>
    <w:p>
      <w:pPr>
        <w:pStyle w:val="Normal"/>
        <w:spacing w:lineRule="exact" w:line="228" w:before="0" w:after="120"/>
        <w:ind w:hanging="0"/>
        <w:jc w:val="both"/>
        <w:rPr/>
      </w:pPr>
      <w:r>
        <w:rPr>
          <w:rFonts w:eastAsia="Times New Roman" w:cs="Times New Roman"/>
          <w:sz w:val="20"/>
          <w:szCs w:val="20"/>
        </w:rPr>
        <w:t>donde η representa el factor de escala de curiosidad. Durante el entrenamiento, las redes del Actor y el Crítico minimizan sus pérdidas basándose en esta recompensa combinada, mientras que el módulo de descubrimiento se optimiza minimizando directamente su error de predicción.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smallCaps/>
          <w:sz w:val="20"/>
          <w:szCs w:val="20"/>
        </w:rPr>
        <w:t>III. Arquitectura y diagrama de funcionamiento</w:t>
      </w:r>
    </w:p>
    <w:p>
      <w:pPr>
        <w:pStyle w:val="Normal"/>
        <w:spacing w:lineRule="exact" w:line="228" w:before="0" w:after="120"/>
        <w:ind w:firstLine="200"/>
        <w:jc w:val="both"/>
        <w:rPr/>
      </w:pPr>
      <w:r>
        <w:rPr>
          <w:rFonts w:eastAsia="Times New Roman" w:cs="Times New Roman"/>
          <w:sz w:val="20"/>
          <w:szCs w:val="20"/>
        </w:rPr>
        <w:t>El flujo del sistema se divide en el entrenamiento del modelo en Python y su despliegue en Android (Fig. 1).</w:t>
      </w:r>
    </w:p>
    <w:p>
      <w:pPr>
        <w:pStyle w:val="ListParagraph"/>
        <w:numPr>
          <w:ilvl w:val="0"/>
          <w:numId w:val="5"/>
        </w:numPr>
        <w:spacing w:lineRule="exact" w:line="228" w:before="0" w:after="60"/>
        <w:jc w:val="both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Interacción: </w:t>
      </w:r>
      <w:r>
        <w:rPr>
          <w:rFonts w:eastAsia="Times New Roman" w:cs="Times New Roman"/>
          <w:sz w:val="20"/>
          <w:szCs w:val="20"/>
        </w:rPr>
        <w:t>el entorno RobotPVP (o su proxy) provee el estado actual.</w:t>
      </w:r>
    </w:p>
    <w:p>
      <w:pPr>
        <w:pStyle w:val="ListParagraph"/>
        <w:numPr>
          <w:ilvl w:val="0"/>
          <w:numId w:val="1"/>
        </w:numPr>
        <w:spacing w:lineRule="exact" w:line="228" w:before="0" w:after="60"/>
        <w:jc w:val="both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Actor-Critic: </w:t>
      </w:r>
      <w:r>
        <w:rPr>
          <w:rFonts w:eastAsia="Times New Roman" w:cs="Times New Roman"/>
          <w:sz w:val="20"/>
          <w:szCs w:val="20"/>
        </w:rPr>
        <w:t>el Actor selecciona la acción de movimiento; el Crítico evalúa el estado.</w:t>
      </w:r>
    </w:p>
    <w:p>
      <w:pPr>
        <w:pStyle w:val="ListParagraph"/>
        <w:numPr>
          <w:ilvl w:val="0"/>
          <w:numId w:val="1"/>
        </w:numPr>
        <w:spacing w:lineRule="exact" w:line="228" w:before="0" w:after="60"/>
        <w:jc w:val="both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Descubrimiento: </w:t>
      </w:r>
      <w:r>
        <w:rPr>
          <w:rFonts w:eastAsia="Times New Roman" w:cs="Times New Roman"/>
          <w:sz w:val="20"/>
          <w:szCs w:val="20"/>
        </w:rPr>
        <w:t>en paralelo, el módulo intenta predecir el estado futuro. Su error se traduce en recompensa intrínseca.</w:t>
      </w:r>
    </w:p>
    <w:p>
      <w:pPr>
        <w:pStyle w:val="ListParagraph"/>
        <w:numPr>
          <w:ilvl w:val="0"/>
          <w:numId w:val="1"/>
        </w:numPr>
        <w:spacing w:lineRule="exact" w:line="228" w:before="0" w:after="60"/>
        <w:jc w:val="both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Despliegue: </w:t>
      </w:r>
      <w:r>
        <w:rPr>
          <w:rFonts w:eastAsia="Times New Roman" w:cs="Times New Roman"/>
          <w:sz w:val="20"/>
          <w:szCs w:val="20"/>
        </w:rPr>
        <w:t xml:space="preserve">el modelo entrenado se inyecta en el </w:t>
      </w:r>
      <w:r>
        <w:rPr>
          <w:rFonts w:eastAsia="Times New Roman" w:cs="Times New Roman"/>
          <w:i/>
          <w:iCs/>
          <w:sz w:val="20"/>
          <w:szCs w:val="20"/>
        </w:rPr>
        <w:t>GameLoop</w:t>
      </w:r>
      <w:r>
        <w:rPr>
          <w:rFonts w:eastAsia="Times New Roman" w:cs="Times New Roman"/>
          <w:sz w:val="20"/>
          <w:szCs w:val="20"/>
        </w:rPr>
        <w:t xml:space="preserve"> de Android.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3009900" cy="3419475"/>
            <wp:effectExtent l="0" t="0" r="0" b="0"/>
            <wp:docPr id="1" name="fig1" descr="Fig. 1&#10;Diagrama de bloques del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1" descr="Fig. 1&#10;Diagrama de bloques del sistema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/>
      </w:pPr>
      <w:r>
        <w:rPr>
          <w:rFonts w:eastAsia="Times New Roman" w:cs="Times New Roman"/>
          <w:sz w:val="16"/>
          <w:szCs w:val="16"/>
        </w:rPr>
        <w:t>Fig. 1. Diagrama de bloques del sistema: entrenamiento en Python y despliegue en Android.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smallCaps/>
          <w:sz w:val="20"/>
          <w:szCs w:val="20"/>
        </w:rPr>
        <w:t>IV. Procedimiento de implementación y despliegue</w:t>
      </w:r>
    </w:p>
    <w:p>
      <w:pPr>
        <w:pStyle w:val="Normal"/>
        <w:spacing w:lineRule="exact" w:line="228" w:before="0" w:after="120"/>
        <w:ind w:firstLine="200"/>
        <w:jc w:val="both"/>
        <w:rPr/>
      </w:pPr>
      <w:r>
        <w:rPr>
          <w:rFonts w:eastAsia="Times New Roman" w:cs="Times New Roman"/>
          <w:sz w:val="20"/>
          <w:szCs w:val="20"/>
        </w:rPr>
        <w:t>El procedimiento técnico abarca cuatro fases de integración:</w:t>
      </w:r>
    </w:p>
    <w:p>
      <w:pPr>
        <w:pStyle w:val="ListParagraph"/>
        <w:numPr>
          <w:ilvl w:val="0"/>
          <w:numId w:val="6"/>
        </w:numPr>
        <w:spacing w:lineRule="exact" w:line="228" w:before="0" w:after="60"/>
        <w:jc w:val="both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Inspección e interfaz: </w:t>
      </w:r>
      <w:r>
        <w:rPr>
          <w:rFonts w:eastAsia="Times New Roman" w:cs="Times New Roman"/>
          <w:sz w:val="20"/>
          <w:szCs w:val="20"/>
        </w:rPr>
        <w:t>se extraen las variables del juego en Android (coordenadas de la arena) y se mapean a un vector continuo normalizado de 4 dimensiones.</w:t>
      </w:r>
    </w:p>
    <w:p>
      <w:pPr>
        <w:pStyle w:val="ListParagraph"/>
        <w:numPr>
          <w:ilvl w:val="0"/>
          <w:numId w:val="2"/>
        </w:numPr>
        <w:spacing w:lineRule="exact" w:line="228" w:before="0" w:after="60"/>
        <w:jc w:val="both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Entrenamiento proxy: </w:t>
      </w:r>
      <w:r>
        <w:rPr>
          <w:rFonts w:eastAsia="Times New Roman" w:cs="Times New Roman"/>
          <w:sz w:val="20"/>
          <w:szCs w:val="20"/>
        </w:rPr>
        <w:t xml:space="preserve">en Python, el agente interactúa con el simulador </w:t>
      </w:r>
      <w:r>
        <w:rPr>
          <w:rFonts w:eastAsia="Courier New" w:cs="Courier New" w:ascii="Courier New" w:hAnsi="Courier New"/>
          <w:sz w:val="18"/>
          <w:szCs w:val="18"/>
        </w:rPr>
        <w:t>EntornoProxyPVP</w:t>
      </w:r>
      <w:r>
        <w:rPr>
          <w:rFonts w:eastAsia="Times New Roman" w:cs="Times New Roman"/>
          <w:sz w:val="20"/>
          <w:szCs w:val="20"/>
        </w:rPr>
        <w:t>. La función de recompensa premia acercarse al objetivo, y la curiosidad intrínseca evita los mínimos locales en los bordes del mapa.</w:t>
      </w:r>
    </w:p>
    <w:p>
      <w:pPr>
        <w:pStyle w:val="ListParagraph"/>
        <w:numPr>
          <w:ilvl w:val="0"/>
          <w:numId w:val="2"/>
        </w:numPr>
        <w:spacing w:lineRule="exact" w:line="228" w:before="0" w:after="60"/>
        <w:jc w:val="both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Exportación móvil: </w:t>
      </w:r>
      <w:r>
        <w:rPr>
          <w:rFonts w:eastAsia="Times New Roman" w:cs="Times New Roman"/>
          <w:sz w:val="20"/>
          <w:szCs w:val="20"/>
        </w:rPr>
        <w:t xml:space="preserve">al lograr convergencia, el modelo se congela empleando </w:t>
      </w:r>
      <w:r>
        <w:rPr>
          <w:rFonts w:eastAsia="Courier New" w:cs="Courier New" w:ascii="Courier New" w:hAnsi="Courier New"/>
          <w:sz w:val="18"/>
          <w:szCs w:val="18"/>
        </w:rPr>
        <w:t>torch.jit.trace</w:t>
      </w:r>
      <w:r>
        <w:rPr>
          <w:rFonts w:eastAsia="Times New Roman" w:cs="Times New Roman"/>
          <w:sz w:val="20"/>
          <w:szCs w:val="20"/>
        </w:rPr>
        <w:t xml:space="preserve"> y se optimiza con </w:t>
      </w:r>
      <w:r>
        <w:rPr>
          <w:rFonts w:eastAsia="Courier New" w:cs="Courier New" w:ascii="Courier New" w:hAnsi="Courier New"/>
          <w:sz w:val="18"/>
          <w:szCs w:val="18"/>
        </w:rPr>
        <w:t>optimize_for_mobile</w:t>
      </w:r>
      <w:r>
        <w:rPr>
          <w:rFonts w:eastAsia="Times New Roman" w:cs="Times New Roman"/>
          <w:sz w:val="20"/>
          <w:szCs w:val="20"/>
        </w:rPr>
        <w:t xml:space="preserve"> de PyTorch [4], generando el archivo binario </w:t>
      </w:r>
      <w:r>
        <w:rPr>
          <w:rFonts w:eastAsia="Courier New" w:cs="Courier New" w:ascii="Courier New" w:hAnsi="Courier New"/>
          <w:sz w:val="18"/>
          <w:szCs w:val="18"/>
        </w:rPr>
        <w:t>modelo_entrenado.ptl</w:t>
      </w:r>
      <w:r>
        <w:rPr>
          <w:rFonts w:eastAsia="Times New Roman" w:cs="Times New Roman"/>
          <w:sz w:val="20"/>
          <w:szCs w:val="20"/>
        </w:rPr>
        <w:t>.</w:t>
      </w:r>
    </w:p>
    <w:p>
      <w:pPr>
        <w:pStyle w:val="ListParagraph"/>
        <w:numPr>
          <w:ilvl w:val="0"/>
          <w:numId w:val="2"/>
        </w:numPr>
        <w:spacing w:lineRule="exact" w:line="228" w:before="0" w:after="60"/>
        <w:jc w:val="both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Integración Android: </w:t>
      </w:r>
      <w:r>
        <w:rPr>
          <w:rFonts w:eastAsia="Times New Roman" w:cs="Times New Roman"/>
          <w:sz w:val="20"/>
          <w:szCs w:val="20"/>
        </w:rPr>
        <w:t>mediante la librería PyTorch Android Lite (</w:t>
      </w:r>
      <w:r>
        <w:rPr>
          <w:rFonts w:eastAsia="Courier New" w:cs="Courier New" w:ascii="Courier New" w:hAnsi="Courier New"/>
          <w:sz w:val="18"/>
          <w:szCs w:val="18"/>
        </w:rPr>
        <w:t>LiteModuleLoader</w:t>
      </w:r>
      <w:r>
        <w:rPr>
          <w:rFonts w:eastAsia="Times New Roman" w:cs="Times New Roman"/>
          <w:sz w:val="20"/>
          <w:szCs w:val="20"/>
        </w:rPr>
        <w:t xml:space="preserve">), la aplicación Java carga el archivo </w:t>
      </w:r>
      <w:r>
        <w:rPr>
          <w:rFonts w:eastAsia="Courier New" w:cs="Courier New" w:ascii="Courier New" w:hAnsi="Courier New"/>
          <w:sz w:val="18"/>
          <w:szCs w:val="18"/>
        </w:rPr>
        <w:t>.ptl</w:t>
      </w:r>
      <w:r>
        <w:rPr>
          <w:rFonts w:eastAsia="Times New Roman" w:cs="Times New Roman"/>
          <w:sz w:val="20"/>
          <w:szCs w:val="20"/>
        </w:rPr>
        <w:t xml:space="preserve">. En cada frame del juego, el estado físico se empaqueta en un objeto </w:t>
      </w:r>
      <w:r>
        <w:rPr>
          <w:rFonts w:eastAsia="Courier New" w:cs="Courier New" w:ascii="Courier New" w:hAnsi="Courier New"/>
          <w:sz w:val="18"/>
          <w:szCs w:val="18"/>
        </w:rPr>
        <w:t>Tensor</w:t>
      </w:r>
      <w:r>
        <w:rPr>
          <w:rFonts w:eastAsia="Times New Roman" w:cs="Times New Roman"/>
          <w:sz w:val="20"/>
          <w:szCs w:val="20"/>
        </w:rPr>
        <w:t>, se evalúa mediante inferencia y se extrae la acción óptima para dirigir al robot.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smallCaps/>
          <w:sz w:val="20"/>
          <w:szCs w:val="20"/>
        </w:rPr>
        <w:t>V. Experimentación y evaluación</w:t>
      </w:r>
    </w:p>
    <w:p>
      <w:pPr>
        <w:pStyle w:val="Normal"/>
        <w:spacing w:lineRule="exact" w:line="228" w:before="0" w:after="120"/>
        <w:ind w:firstLine="200"/>
        <w:jc w:val="both"/>
        <w:rPr/>
      </w:pPr>
      <w:r>
        <w:rPr>
          <w:rFonts w:eastAsia="Times New Roman" w:cs="Times New Roman"/>
          <w:sz w:val="20"/>
          <w:szCs w:val="20"/>
        </w:rPr>
        <w:t>Se realizó el entrenamiento iterativo del modelo durante 1500 episodios, comparando un agente Actor-Critic base contra el modelo extendido con descubrimiento (η = 0.5). La Tabla I resume los resultados.</w:t>
      </w:r>
    </w:p>
    <w:p>
      <w:pPr>
        <w:pStyle w:val="Normal"/>
        <w:keepNext w:val="true"/>
        <w:spacing w:before="60" w:after="60"/>
        <w:jc w:val="center"/>
        <w:rPr/>
      </w:pPr>
      <w:r>
        <w:rPr>
          <w:rFonts w:eastAsia="Times New Roman" w:cs="Times New Roman"/>
          <w:sz w:val="16"/>
          <w:szCs w:val="16"/>
        </w:rPr>
        <w:t>TABLA I</w:t>
      </w:r>
    </w:p>
    <w:p>
      <w:pPr>
        <w:pStyle w:val="Normal"/>
        <w:keepNext w:val="true"/>
        <w:spacing w:before="0" w:after="80"/>
        <w:jc w:val="center"/>
        <w:rPr/>
      </w:pPr>
      <w:r>
        <w:rPr>
          <w:rFonts w:eastAsia="Times New Roman" w:cs="Times New Roman"/>
          <w:smallCaps/>
          <w:sz w:val="16"/>
          <w:szCs w:val="16"/>
        </w:rPr>
        <w:t>Resumen de la evaluación</w:t>
      </w:r>
    </w:p>
    <w:tbl>
      <w:tblPr>
        <w:tblW w:w="4860" w:type="dxa"/>
        <w:jc w:val="left"/>
        <w:tblInd w:w="0" w:type="dxa"/>
        <w:tblLayout w:type="fixed"/>
        <w:tblCellMar>
          <w:top w:w="30" w:type="dxa"/>
          <w:left w:w="60" w:type="dxa"/>
          <w:bottom w:w="30" w:type="dxa"/>
          <w:right w:w="60" w:type="dxa"/>
        </w:tblCellMar>
      </w:tblPr>
      <w:tblGrid>
        <w:gridCol w:w="1899"/>
        <w:gridCol w:w="1481"/>
        <w:gridCol w:w="1480"/>
      </w:tblGrid>
      <w:tr>
        <w:trPr/>
        <w:tc>
          <w:tcPr>
            <w:tcW w:w="189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Parámetro</w:t>
            </w:r>
          </w:p>
        </w:tc>
        <w:tc>
          <w:tcPr>
            <w:tcW w:w="14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Base</w:t>
            </w:r>
          </w:p>
        </w:tc>
        <w:tc>
          <w:tcPr>
            <w:tcW w:w="14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6"/>
                <w:szCs w:val="16"/>
              </w:rPr>
              <w:t>Propuesto</w:t>
            </w:r>
          </w:p>
        </w:tc>
      </w:tr>
      <w:tr>
        <w:trPr/>
        <w:tc>
          <w:tcPr>
            <w:tcW w:w="1899" w:type="dxa"/>
            <w:tcBorders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6"/>
                <w:szCs w:val="16"/>
              </w:rPr>
              <w:t>Episodios</w:t>
            </w:r>
          </w:p>
        </w:tc>
        <w:tc>
          <w:tcPr>
            <w:tcW w:w="1481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6"/>
                <w:szCs w:val="16"/>
              </w:rPr>
              <w:t>1500</w:t>
            </w:r>
          </w:p>
        </w:tc>
        <w:tc>
          <w:tcPr>
            <w:tcW w:w="1480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6"/>
                <w:szCs w:val="16"/>
              </w:rPr>
              <w:t>1500</w:t>
            </w:r>
          </w:p>
        </w:tc>
      </w:tr>
      <w:tr>
        <w:trPr/>
        <w:tc>
          <w:tcPr>
            <w:tcW w:w="1899" w:type="dxa"/>
            <w:tcBorders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6"/>
                <w:szCs w:val="16"/>
              </w:rPr>
              <w:t>Factor de curiosidad η</w:t>
            </w:r>
          </w:p>
        </w:tc>
        <w:tc>
          <w:tcPr>
            <w:tcW w:w="1481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6"/>
                <w:szCs w:val="16"/>
              </w:rPr>
              <w:t>—</w:t>
            </w:r>
          </w:p>
        </w:tc>
        <w:tc>
          <w:tcPr>
            <w:tcW w:w="1480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6"/>
                <w:szCs w:val="16"/>
              </w:rPr>
              <w:t>0.5</w:t>
            </w:r>
          </w:p>
        </w:tc>
      </w:tr>
      <w:tr>
        <w:trPr/>
        <w:tc>
          <w:tcPr>
            <w:tcW w:w="1899" w:type="dxa"/>
            <w:tcBorders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6"/>
                <w:szCs w:val="16"/>
              </w:rPr>
              <w:t>Intercepción (rival lejano)</w:t>
            </w:r>
          </w:p>
        </w:tc>
        <w:tc>
          <w:tcPr>
            <w:tcW w:w="1481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6"/>
                <w:szCs w:val="16"/>
              </w:rPr>
              <w:t>&lt; 40 %</w:t>
            </w:r>
          </w:p>
        </w:tc>
        <w:tc>
          <w:tcPr>
            <w:tcW w:w="1480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6"/>
                <w:szCs w:val="16"/>
              </w:rPr>
              <w:t>+45 % vs. base</w:t>
            </w:r>
          </w:p>
        </w:tc>
      </w:tr>
      <w:tr>
        <w:trPr/>
        <w:tc>
          <w:tcPr>
            <w:tcW w:w="1899" w:type="dxa"/>
            <w:tcBorders>
              <w:bottom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6"/>
                <w:szCs w:val="16"/>
              </w:rPr>
              <w:t>Inferencia en Android</w:t>
            </w:r>
          </w:p>
        </w:tc>
        <w:tc>
          <w:tcPr>
            <w:tcW w:w="1481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6"/>
                <w:szCs w:val="16"/>
              </w:rPr>
              <w:t>—</w:t>
            </w:r>
          </w:p>
        </w:tc>
        <w:tc>
          <w:tcPr>
            <w:tcW w:w="1480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6"/>
                <w:szCs w:val="16"/>
              </w:rPr>
              <w:t>&lt; 15 ms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28" w:before="0" w:after="120"/>
        <w:ind w:firstLine="200"/>
        <w:jc w:val="both"/>
        <w:rPr/>
      </w:pPr>
      <w:r>
        <w:rPr>
          <w:rFonts w:eastAsia="Times New Roman" w:cs="Times New Roman"/>
          <w:i/>
          <w:iCs/>
          <w:sz w:val="20"/>
          <w:szCs w:val="20"/>
        </w:rPr>
        <w:t xml:space="preserve">Rendimiento del modelo base. </w:t>
      </w:r>
      <w:r>
        <w:rPr>
          <w:rFonts w:eastAsia="Times New Roman" w:cs="Times New Roman"/>
          <w:sz w:val="20"/>
          <w:szCs w:val="20"/>
        </w:rPr>
        <w:t>El agente clásico mostró una convergencia temprana deficiente. Cuando el rival se inicializaba a una distancia lejana, el robot se estancaba en las esquinas de la arena, obteniendo tasas de intercepción inferiores al 40 %.</w:t>
      </w:r>
    </w:p>
    <w:p>
      <w:pPr>
        <w:pStyle w:val="Normal"/>
        <w:spacing w:lineRule="exact" w:line="228" w:before="0" w:after="120"/>
        <w:ind w:firstLine="200"/>
        <w:jc w:val="both"/>
        <w:rPr/>
      </w:pPr>
      <w:r>
        <w:rPr>
          <w:rFonts w:eastAsia="Times New Roman" w:cs="Times New Roman"/>
          <w:i/>
          <w:iCs/>
          <w:sz w:val="20"/>
          <w:szCs w:val="20"/>
        </w:rPr>
        <w:t xml:space="preserve">Rendimiento del modelo propuesto. </w:t>
      </w:r>
      <w:r>
        <w:rPr>
          <w:rFonts w:eastAsia="Times New Roman" w:cs="Times New Roman"/>
          <w:sz w:val="20"/>
          <w:szCs w:val="20"/>
        </w:rPr>
        <w:t>La introducción del componente de descubrimiento obligó al agente a mapear sistemáticamente el entorno simulado. Las métricas indicaron una fase inicial de oscilación de recompensas, seguida de un incremento sostenido. La tasa de intercepción del oponente aumentó en un 45 % respecto al modelo base, validando que el error de predicción funciona eficazmente como un motor heurístico de búsqueda. El modelo exportado a Android logró tiempos de inferencia promedio por debajo de 15 ms, permitiendo su ejecución sin interrumpir la tasa de cuadros por segundo del juego nativo.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smallCaps/>
          <w:sz w:val="20"/>
          <w:szCs w:val="20"/>
        </w:rPr>
        <w:t>Referencias</w:t>
      </w:r>
    </w:p>
    <w:p>
      <w:pPr>
        <w:pStyle w:val="ListParagraph"/>
        <w:numPr>
          <w:ilvl w:val="0"/>
          <w:numId w:val="7"/>
        </w:numPr>
        <w:spacing w:before="0" w:after="40"/>
        <w:jc w:val="both"/>
        <w:rPr/>
      </w:pPr>
      <w:r>
        <w:rPr>
          <w:rFonts w:eastAsia="Times New Roman" w:cs="Times New Roman"/>
          <w:sz w:val="16"/>
          <w:szCs w:val="16"/>
        </w:rPr>
        <w:t>V. R. Konda and J. N. Tsitsiklis, “Actor-critic algorithms,” in Adv. Neural Inf. Process. Syst., vol. 12, 2000, pp. 1008–1014.</w:t>
      </w:r>
    </w:p>
    <w:p>
      <w:pPr>
        <w:pStyle w:val="ListParagraph"/>
        <w:numPr>
          <w:ilvl w:val="0"/>
          <w:numId w:val="3"/>
        </w:numPr>
        <w:spacing w:before="0" w:after="40"/>
        <w:jc w:val="both"/>
        <w:rPr/>
      </w:pPr>
      <w:r>
        <w:rPr>
          <w:rFonts w:eastAsia="Times New Roman" w:cs="Times New Roman"/>
          <w:sz w:val="16"/>
          <w:szCs w:val="16"/>
        </w:rPr>
        <w:t>V. Mnih et al., “Asynchronous methods for deep reinforcement learning,” in Proc. Int. Conf. Mach. Learn. (ICML), 2016, pp. 1928–1937.</w:t>
      </w:r>
    </w:p>
    <w:p>
      <w:pPr>
        <w:pStyle w:val="ListParagraph"/>
        <w:numPr>
          <w:ilvl w:val="0"/>
          <w:numId w:val="3"/>
        </w:numPr>
        <w:spacing w:before="0" w:after="40"/>
        <w:jc w:val="both"/>
        <w:rPr/>
      </w:pPr>
      <w:r>
        <w:rPr>
          <w:rFonts w:eastAsia="Times New Roman" w:cs="Times New Roman"/>
          <w:sz w:val="16"/>
          <w:szCs w:val="16"/>
        </w:rPr>
        <w:t>D. Pathak, P. Agrawal, A. A. Efros, and T. Darrell, “Curiosity-driven exploration by self-supervised prediction,” in Proc. Int. Conf. Mach. Learn. (ICML), 2017, pp. 2778–2787.</w:t>
      </w:r>
    </w:p>
    <w:p>
      <w:pPr>
        <w:pStyle w:val="ListParagraph"/>
        <w:numPr>
          <w:ilvl w:val="0"/>
          <w:numId w:val="3"/>
        </w:numPr>
        <w:spacing w:before="0" w:after="40"/>
        <w:jc w:val="both"/>
        <w:rPr/>
      </w:pPr>
      <w:r>
        <w:rPr>
          <w:rFonts w:eastAsia="Times New Roman" w:cs="Times New Roman"/>
          <w:sz w:val="16"/>
          <w:szCs w:val="16"/>
        </w:rPr>
        <w:t>A. Paszke et al., “PyTorch: An imperative style, high-performance deep learning library,” in Adv. Neural Inf. Process. Syst., vol. 32, 2019.</w:t>
      </w:r>
    </w:p>
    <w:sectPr>
      <w:type w:val="continuous"/>
      <w:pgSz w:w="12240" w:h="15840"/>
      <w:pgMar w:left="1080" w:right="1080" w:gutter="0" w:header="0" w:top="1080" w:footer="0" w:bottom="1440"/>
      <w:cols w:num="2" w:space="360" w:equalWidth="true" w:sep="false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  <w:rPr>
        <w:sz w:val="20"/>
        <w:szCs w:val="20"/>
        <w:rFonts w:ascii="Times New Roman" w:hAnsi="Times New Roman" w:eastAsia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  <w:rPr>
        <w:sz w:val="20"/>
        <w:szCs w:val="20"/>
        <w:rFonts w:ascii="Times New Roman" w:hAnsi="Times New Roman" w:eastAsia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[%1]"/>
      <w:lvlJc w:val="left"/>
      <w:pPr>
        <w:tabs>
          <w:tab w:val="num" w:pos="0"/>
        </w:tabs>
        <w:ind w:left="400" w:hanging="400"/>
      </w:pPr>
      <w:rPr>
        <w:sz w:val="16"/>
        <w:szCs w:val="16"/>
        <w:rFonts w:ascii="Times New Roman" w:hAnsi="Times New Roman" w:eastAsia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6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s-CO" w:eastAsia="zh-CN" w:bidi="hi-IN"/>
    </w:rPr>
  </w:style>
  <w:style w:type="paragraph" w:styleId="Heading1">
    <w:name w:val="Heading 1"/>
    <w:basedOn w:val="Ttulo"/>
    <w:qFormat/>
    <w:pPr>
      <w:keepNext w:val="true"/>
      <w:spacing w:before="200" w:after="100"/>
      <w:jc w:val="center"/>
      <w:outlineLvl w:val="0"/>
    </w:pPr>
    <w:rPr>
      <w:rFonts w:ascii="Times New Roman" w:hAnsi="Times New Roman" w:eastAsia="Times New Roman" w:cs="Times New Roman"/>
      <w:b w:val="false"/>
      <w:bCs w:val="false"/>
      <w:sz w:val="20"/>
      <w:szCs w:val="20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0"/>
      <w:szCs w:val="20"/>
      <w:lang w:val="es-CO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s-CO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2</Pages>
  <Words>992</Words>
  <Characters>5581</Characters>
  <CharactersWithSpaces>6505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2026-10-16T01:49:11Z</dcterms:created>
  <dc:creator>Un-named</dc:creator>
  <dc:description/>
  <dc:language>es-CO</dc:language>
  <cp:lastModifiedBy/>
  <dcterms:modified xsi:type="dcterms:W3CDTF">2026-10-18T20:50:59Z</dcterms:modified>
  <cp:revision>2</cp:revision>
  <dc:subject/>
  <dc:title/>
</cp:coreProperties>
</file>