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>Bogotá D.C., September 22, 2026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Professor Jorge Eduardo Hernández Rodríguez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Component-Based Programming 2026-3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>Universidad Distrital Francisco José de Caldas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AI use statement – Midterm 1, “Casos Periodista” app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Dear Professor,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To build the “Casos Periodista” app (Kotlin, Compose and Room) we used </w:t>
      </w:r>
      <w:r>
        <w:rPr>
          <w:rFonts w:ascii="Arial" w:cs="Arial" w:eastAsia="Arial" w:hAnsi="Arial"/>
          <w:sz w:val="22"/>
          <w:szCs w:val="22"/>
        </w:rPr>
        <w:t xml:space="preserve">Claude (Anthropic)</w:t>
      </w:r>
      <w:r>
        <w:rPr>
          <w:rFonts w:ascii="Arial" w:cs="Arial" w:eastAsia="Arial" w:hAnsi="Arial"/>
          <w:sz w:val="22"/>
          <w:szCs w:val="22"/>
        </w:rPr>
        <w:t xml:space="preserve"> as support for some parts of the project. We defined the features, built the app, tested it on the emulator and reviewed all the code before submitting it.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It was most useful in these areas:</w:t>
      </w:r>
    </w:p>
    <w:p>
      <w:pPr>
        <w:pStyle w:val="ListParagraph"/>
        <w:numPr>
          <w:ilvl w:val="0"/>
          <w:numId w:val="2"/>
        </w:numPr>
        <w:spacing w:after="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the calendar showed one day earlier because of the UTC time difference; it helped us find the issue and keep all conversions in one file</w:t>
      </w:r>
      <w:r>
        <w:rPr>
          <w:rFonts w:ascii="Arial" w:cs="Arial" w:eastAsia="Arial" w:hAnsi="Arial"/>
          <w:sz w:val="22"/>
          <w:szCs w:val="22"/>
        </w:rPr>
        <w:t xml:space="preserve"> (in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util/Fechas.kt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the Room migration that adds the closing date without losing saved cases, and cascade deletion of interviews</w:t>
      </w:r>
      <w:r>
        <w:rPr>
          <w:rFonts w:ascii="Arial" w:cs="Arial" w:eastAsia="Arial" w:hAnsi="Arial"/>
          <w:sz w:val="22"/>
          <w:szCs w:val="22"/>
        </w:rPr>
        <w:t xml:space="preserve"> (in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AppDatabase.kt (MIGRACION_1_2)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EntrevistaEntity.kt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Closing rules: </w:t>
      </w:r>
      <w:r>
        <w:rPr>
          <w:rFonts w:ascii="Arial" w:cs="Arial" w:eastAsia="Arial" w:hAnsi="Arial"/>
          <w:sz w:val="22"/>
          <w:szCs w:val="22"/>
        </w:rPr>
        <w:t xml:space="preserve">the conclusion and closing-date validations, and the option to reopen a case</w:t>
      </w:r>
      <w:r>
        <w:rPr>
          <w:rFonts w:ascii="Arial" w:cs="Arial" w:eastAsia="Arial" w:hAnsi="Arial"/>
          <w:sz w:val="22"/>
          <w:szCs w:val="22"/>
        </w:rPr>
        <w:t xml:space="preserve"> (in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CasoRules.kt (validarFechaCierre, cerrar, reabrir)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CasoFormViewModel.kt (onEstadoChange, guardar)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Architecture: </w:t>
      </w:r>
      <w:r>
        <w:rPr>
          <w:rFonts w:ascii="Arial" w:cs="Arial" w:eastAsia="Arial" w:hAnsi="Arial"/>
          <w:sz w:val="22"/>
          <w:szCs w:val="22"/>
        </w:rPr>
        <w:t xml:space="preserve">separating logic, data and UI, and connecting the ViewModels to the repository</w:t>
      </w:r>
      <w:r>
        <w:rPr>
          <w:rFonts w:ascii="Arial" w:cs="Arial" w:eastAsia="Arial" w:hAnsi="Arial"/>
          <w:sz w:val="22"/>
          <w:szCs w:val="22"/>
        </w:rPr>
        <w:t xml:space="preserve"> (in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AppContainer.kt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AppViewModelProvider.kt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CasoRepositoryRoom.kt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Testing: </w:t>
      </w:r>
      <w:r>
        <w:rPr>
          <w:rFonts w:ascii="Arial" w:cs="Arial" w:eastAsia="Arial" w:hAnsi="Arial"/>
          <w:sz w:val="22"/>
          <w:szCs w:val="22"/>
        </w:rPr>
        <w:t xml:space="preserve">setting up the unit tests for the business rules</w:t>
      </w:r>
      <w:r>
        <w:rPr>
          <w:rFonts w:ascii="Arial" w:cs="Arial" w:eastAsia="Arial" w:hAnsi="Arial"/>
          <w:sz w:val="22"/>
          <w:szCs w:val="22"/>
        </w:rPr>
        <w:t xml:space="preserve"> (in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CasoRulesTest.kt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BusquedaYResumenTest.kt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0" w:before="120"/>
        <w:jc w:val="left"/>
      </w:pPr>
      <w:r>
        <w:rPr>
          <w:rFonts w:ascii="Arial" w:cs="Arial" w:eastAsia="Arial" w:hAnsi="Arial"/>
          <w:sz w:val="22"/>
          <w:szCs w:val="22"/>
        </w:rPr>
        <w:t xml:space="preserve">Sincerely,</w:t>
      </w:r>
    </w:p>
    <w:p>
      <w:pPr>
        <w:spacing w:after="0" w:before="200"/>
      </w:pP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Cristian Castro Tapiero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ID: 20222578114</w:t>
      </w:r>
    </w:p>
    <w:p>
      <w:pPr>
        <w:spacing w:after="0" w:before="200"/>
      </w:pP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Daniel Esteban Pardo Moreno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ID: 20222578072</w:t>
      </w:r>
    </w:p>
    <w:p>
      <w:pPr>
        <w:spacing w:after="0" w:before="200"/>
      </w:pP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Fidel Esteban Beltrán Cobos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ID: 20222578061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2026-09-23T02:12:16.433Z</dcterms:created>
  <dcterms:modified xsi:type="dcterms:W3CDTF">2026-09-23T02:12:16.433Z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