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546" w:type="dxa"/>
        <w:jc w:val="center"/>
        <w:tblLayout w:type="fixed"/>
        <w:tblCellMar>
          <w:top w:w="100" w:type="dxa"/>
          <w:left w:w="150" w:type="dxa"/>
          <w:bottom w:w="100" w:type="dxa"/>
          <w:right w:w="150" w:type="dxa"/>
        </w:tblCellMar>
        <w:tblLook w:val="04A0" w:firstRow="1" w:lastRow="0" w:firstColumn="1" w:lastColumn="0" w:noHBand="0" w:noVBand="1"/>
      </w:tblPr>
      <w:tblGrid>
        <w:gridCol w:w="11546"/>
      </w:tblGrid>
      <w:tr w:rsidR="00274EB8" w14:paraId="50902AB7" w14:textId="77777777" w:rsidTr="002D1E77">
        <w:trPr>
          <w:trHeight w:val="557"/>
          <w:jc w:val="center"/>
        </w:trPr>
        <w:tc>
          <w:tcPr>
            <w:tcW w:w="11546" w:type="dxa"/>
            <w:tcBorders>
              <w:left w:val="single" w:sz="24" w:space="0" w:color="002060"/>
            </w:tcBorders>
            <w:shd w:val="clear" w:color="auto" w:fill="F2F4F7"/>
          </w:tcPr>
          <w:p w14:paraId="7C57D4EB" w14:textId="742A5E70" w:rsidR="00AA3329" w:rsidRDefault="00320B7F">
            <w:pPr>
              <w:spacing w:before="40" w:after="40"/>
            </w:pPr>
            <w:r>
              <w:rPr>
                <w:b/>
                <w:color w:val="002060"/>
              </w:rPr>
              <w:t xml:space="preserve">BLUF: </w:t>
            </w:r>
            <w:r w:rsidR="00AA3329" w:rsidRPr="00DC5AE5">
              <w:t xml:space="preserve">AEW 2.0 represents a major evolution in how the Air Force </w:t>
            </w:r>
            <w:r w:rsidR="00FB7B3B" w:rsidRPr="00DC5AE5">
              <w:t>organizes</w:t>
            </w:r>
            <w:r w:rsidR="00FB7B3B">
              <w:t>,</w:t>
            </w:r>
            <w:r w:rsidR="00AA3329" w:rsidRPr="00DC5AE5">
              <w:t xml:space="preserve"> trains, and deploys airpower. By emphasizing cohesion, readiness, and modular force design, it ensures Airmen arrive in theater prepared to fight as a unified, lethal, and adaptable force.</w:t>
            </w:r>
          </w:p>
        </w:tc>
      </w:tr>
    </w:tbl>
    <w:p w14:paraId="7A4393F9" w14:textId="357D1AFD" w:rsidR="00436978" w:rsidRPr="00A67253" w:rsidRDefault="00436978" w:rsidP="004B4ADB">
      <w:pPr>
        <w:pStyle w:val="Heading1"/>
        <w:spacing w:after="0"/>
        <w:rPr>
          <w:sz w:val="24"/>
          <w:szCs w:val="24"/>
        </w:rPr>
      </w:pPr>
      <w:r w:rsidRPr="00A67253">
        <w:rPr>
          <w:sz w:val="24"/>
          <w:szCs w:val="24"/>
        </w:rPr>
        <w:t>Purpose</w:t>
      </w:r>
    </w:p>
    <w:p w14:paraId="5C6D6F47" w14:textId="5448BD99" w:rsidR="0037652E" w:rsidRPr="00DC5AE5" w:rsidRDefault="0037652E" w:rsidP="004B4ADB">
      <w:pPr>
        <w:spacing w:after="0" w:line="240" w:lineRule="auto"/>
      </w:pPr>
      <w:r>
        <w:t xml:space="preserve">The </w:t>
      </w:r>
      <w:r w:rsidRPr="00DC5AE5">
        <w:t>A</w:t>
      </w:r>
      <w:r>
        <w:t xml:space="preserve">EW </w:t>
      </w:r>
      <w:r w:rsidRPr="00DC5AE5">
        <w:t>2.0 is the U</w:t>
      </w:r>
      <w:r>
        <w:t>SAF</w:t>
      </w:r>
      <w:r w:rsidRPr="00DC5AE5">
        <w:t>’s next-generation deployment and force presentation model designed to improve readiness, cohesion, and operational effectiveness in high-end conflict environments. Implemented beginning in fiscal year 2027, AEW 2.0 refines earlier expeditionary models to better align with modern global threats and mission demands.</w:t>
      </w:r>
    </w:p>
    <w:p w14:paraId="0433703F" w14:textId="77777777" w:rsidR="0037652E" w:rsidRPr="00A67253" w:rsidRDefault="0037652E" w:rsidP="004B4ADB">
      <w:pPr>
        <w:pStyle w:val="Heading1"/>
        <w:spacing w:after="0"/>
        <w:rPr>
          <w:sz w:val="24"/>
          <w:szCs w:val="24"/>
        </w:rPr>
      </w:pPr>
      <w:r w:rsidRPr="00A67253">
        <w:rPr>
          <w:sz w:val="24"/>
          <w:szCs w:val="24"/>
        </w:rPr>
        <w:t xml:space="preserve">Why </w:t>
      </w:r>
    </w:p>
    <w:p w14:paraId="02F12B02" w14:textId="5340C20D" w:rsidR="00436978" w:rsidRPr="00DC5AE5" w:rsidRDefault="00436978" w:rsidP="004B4ADB">
      <w:pPr>
        <w:spacing w:after="0" w:line="240" w:lineRule="auto"/>
      </w:pPr>
      <w:r w:rsidRPr="00DC5AE5">
        <w:t>The global security environment has become increasingly complex, requiring faster, more adaptable, and more lethal airpower. Previous deployment constructs—including the Expeditionary Air Base (XAB), Air Task Force (ATF), and Deployable Combat Wing (</w:t>
      </w:r>
      <w:proofErr w:type="gramStart"/>
      <w:r w:rsidRPr="00DC5AE5">
        <w:t>DCW)—</w:t>
      </w:r>
      <w:proofErr w:type="gramEnd"/>
      <w:r w:rsidRPr="00DC5AE5">
        <w:t>highlighted the need for improved unit cohesion, training alignment, and deployment readiness.</w:t>
      </w:r>
      <w:r w:rsidR="005042EB">
        <w:t xml:space="preserve"> </w:t>
      </w:r>
    </w:p>
    <w:p w14:paraId="790BA69E" w14:textId="77777777" w:rsidR="00436978" w:rsidRPr="00DC5AE5" w:rsidRDefault="00436978" w:rsidP="004B4ADB">
      <w:pPr>
        <w:numPr>
          <w:ilvl w:val="0"/>
          <w:numId w:val="10"/>
        </w:numPr>
        <w:spacing w:after="0" w:line="240" w:lineRule="auto"/>
      </w:pPr>
      <w:r w:rsidRPr="00DC5AE5">
        <w:t xml:space="preserve">Fragmented deployment structures </w:t>
      </w:r>
    </w:p>
    <w:p w14:paraId="4F03F2C3" w14:textId="77777777" w:rsidR="00436978" w:rsidRPr="00DC5AE5" w:rsidRDefault="00436978" w:rsidP="004B4ADB">
      <w:pPr>
        <w:numPr>
          <w:ilvl w:val="0"/>
          <w:numId w:val="10"/>
        </w:numPr>
        <w:spacing w:after="0" w:line="240" w:lineRule="auto"/>
      </w:pPr>
      <w:r w:rsidRPr="00DC5AE5">
        <w:t xml:space="preserve">Limited pre-deployment unit cohesion </w:t>
      </w:r>
    </w:p>
    <w:p w14:paraId="6584FAE1" w14:textId="77777777" w:rsidR="00436978" w:rsidRPr="00DC5AE5" w:rsidRDefault="00436978" w:rsidP="004B4ADB">
      <w:pPr>
        <w:numPr>
          <w:ilvl w:val="0"/>
          <w:numId w:val="10"/>
        </w:numPr>
        <w:spacing w:after="0" w:line="240" w:lineRule="auto"/>
      </w:pPr>
      <w:r w:rsidRPr="00DC5AE5">
        <w:t xml:space="preserve">Inefficiencies in personnel “crowdsourcing” </w:t>
      </w:r>
    </w:p>
    <w:p w14:paraId="399973FD" w14:textId="77777777" w:rsidR="00436978" w:rsidRPr="00DC5AE5" w:rsidRDefault="00436978" w:rsidP="004B4ADB">
      <w:pPr>
        <w:numPr>
          <w:ilvl w:val="0"/>
          <w:numId w:val="10"/>
        </w:numPr>
        <w:spacing w:after="0" w:line="240" w:lineRule="auto"/>
      </w:pPr>
      <w:r w:rsidRPr="00DC5AE5">
        <w:t xml:space="preserve">Delayed integration in theater operations </w:t>
      </w:r>
    </w:p>
    <w:p w14:paraId="53709622" w14:textId="7799A201" w:rsidR="00436978" w:rsidRPr="00A67253" w:rsidRDefault="00436978" w:rsidP="004B4ADB">
      <w:pPr>
        <w:pStyle w:val="Heading1"/>
        <w:spacing w:after="0"/>
        <w:rPr>
          <w:sz w:val="24"/>
          <w:szCs w:val="24"/>
        </w:rPr>
      </w:pPr>
      <w:r w:rsidRPr="00A67253">
        <w:rPr>
          <w:sz w:val="24"/>
          <w:szCs w:val="24"/>
        </w:rPr>
        <w:t>What AEW 2.0 Changes</w:t>
      </w:r>
    </w:p>
    <w:p w14:paraId="25B76457" w14:textId="39EAB578" w:rsidR="00436978" w:rsidRPr="00DC5AE5" w:rsidRDefault="00436978" w:rsidP="004B4ADB">
      <w:pPr>
        <w:spacing w:after="0" w:line="240" w:lineRule="auto"/>
      </w:pPr>
      <w:r w:rsidRPr="00DC5AE5">
        <w:t xml:space="preserve">AEW 2.0 </w:t>
      </w:r>
      <w:r w:rsidRPr="002E25FB">
        <w:t>introduces a modular, scalable wing-level unit of action designed</w:t>
      </w:r>
      <w:r w:rsidRPr="00DC5AE5">
        <w:t xml:space="preserve"> to deploy as a fully integrated combat-ready team</w:t>
      </w:r>
      <w:r w:rsidR="00AB6717">
        <w:t>:</w:t>
      </w:r>
    </w:p>
    <w:p w14:paraId="07911189" w14:textId="77777777" w:rsidR="00436978" w:rsidRPr="00DC5AE5" w:rsidRDefault="00436978" w:rsidP="004B4ADB">
      <w:pPr>
        <w:numPr>
          <w:ilvl w:val="0"/>
          <w:numId w:val="11"/>
        </w:numPr>
        <w:spacing w:after="0" w:line="240" w:lineRule="auto"/>
      </w:pPr>
      <w:r w:rsidRPr="00DC5AE5">
        <w:t xml:space="preserve">Formation approximately 18 months prior to deployment </w:t>
      </w:r>
    </w:p>
    <w:p w14:paraId="635A6386" w14:textId="77777777" w:rsidR="00436978" w:rsidRPr="00DC5AE5" w:rsidRDefault="00436978" w:rsidP="004B4ADB">
      <w:pPr>
        <w:numPr>
          <w:ilvl w:val="0"/>
          <w:numId w:val="11"/>
        </w:numPr>
        <w:spacing w:after="0" w:line="240" w:lineRule="auto"/>
      </w:pPr>
      <w:r w:rsidRPr="00DC5AE5">
        <w:t xml:space="preserve">Team-based training and certification as a unified wing </w:t>
      </w:r>
    </w:p>
    <w:p w14:paraId="1DA8F2B5" w14:textId="77777777" w:rsidR="00436978" w:rsidRPr="00DC5AE5" w:rsidRDefault="00436978" w:rsidP="004B4ADB">
      <w:pPr>
        <w:numPr>
          <w:ilvl w:val="0"/>
          <w:numId w:val="11"/>
        </w:numPr>
        <w:spacing w:after="0" w:line="240" w:lineRule="auto"/>
      </w:pPr>
      <w:r w:rsidRPr="00DC5AE5">
        <w:t xml:space="preserve">Standardized, right-sized force packages tailored to mission needs </w:t>
      </w:r>
    </w:p>
    <w:p w14:paraId="7573DA39" w14:textId="77777777" w:rsidR="00436978" w:rsidRPr="00DC5AE5" w:rsidRDefault="00436978" w:rsidP="004B4ADB">
      <w:pPr>
        <w:numPr>
          <w:ilvl w:val="0"/>
          <w:numId w:val="11"/>
        </w:numPr>
        <w:spacing w:after="0" w:line="240" w:lineRule="auto"/>
      </w:pPr>
      <w:r w:rsidRPr="00DC5AE5">
        <w:t xml:space="preserve">Improved ability to project platform-agnostic airpower across theaters </w:t>
      </w:r>
    </w:p>
    <w:p w14:paraId="0ADFC2F7" w14:textId="77777777" w:rsidR="00436978" w:rsidRPr="00A67253" w:rsidRDefault="00436978" w:rsidP="004B4ADB">
      <w:pPr>
        <w:pStyle w:val="Heading1"/>
        <w:spacing w:after="0"/>
        <w:rPr>
          <w:sz w:val="24"/>
          <w:szCs w:val="24"/>
        </w:rPr>
      </w:pPr>
      <w:r w:rsidRPr="00A67253">
        <w:rPr>
          <w:sz w:val="24"/>
          <w:szCs w:val="24"/>
        </w:rPr>
        <w:t>Operational Improvements</w:t>
      </w:r>
    </w:p>
    <w:p w14:paraId="4547242B" w14:textId="77777777" w:rsidR="00436978" w:rsidRPr="00DC5AE5" w:rsidRDefault="00436978" w:rsidP="004B4ADB">
      <w:pPr>
        <w:spacing w:after="0" w:line="240" w:lineRule="auto"/>
      </w:pPr>
      <w:r w:rsidRPr="00DC5AE5">
        <w:t>AEW 2.0 enhances Air Force deployment capability through:</w:t>
      </w:r>
    </w:p>
    <w:p w14:paraId="5543666D" w14:textId="77777777" w:rsidR="00436978" w:rsidRPr="00DC5AE5" w:rsidRDefault="00436978" w:rsidP="004B4ADB">
      <w:pPr>
        <w:numPr>
          <w:ilvl w:val="0"/>
          <w:numId w:val="12"/>
        </w:numPr>
        <w:spacing w:after="0" w:line="240" w:lineRule="auto"/>
      </w:pPr>
      <w:r w:rsidRPr="00DC5AE5">
        <w:t xml:space="preserve">Increased readiness and speed of deployment </w:t>
      </w:r>
    </w:p>
    <w:p w14:paraId="15BD5784" w14:textId="77777777" w:rsidR="00436978" w:rsidRPr="00DC5AE5" w:rsidRDefault="00436978" w:rsidP="004B4ADB">
      <w:pPr>
        <w:numPr>
          <w:ilvl w:val="0"/>
          <w:numId w:val="12"/>
        </w:numPr>
        <w:spacing w:after="0" w:line="240" w:lineRule="auto"/>
      </w:pPr>
      <w:r w:rsidRPr="00DC5AE5">
        <w:t xml:space="preserve">Stronger unit cohesion and mission integration </w:t>
      </w:r>
    </w:p>
    <w:p w14:paraId="1BD3165B" w14:textId="77777777" w:rsidR="00436978" w:rsidRPr="00DC5AE5" w:rsidRDefault="00436978" w:rsidP="004B4ADB">
      <w:pPr>
        <w:numPr>
          <w:ilvl w:val="0"/>
          <w:numId w:val="12"/>
        </w:numPr>
        <w:spacing w:after="0" w:line="240" w:lineRule="auto"/>
      </w:pPr>
      <w:r w:rsidRPr="00DC5AE5">
        <w:t xml:space="preserve">Improved command and control structures </w:t>
      </w:r>
    </w:p>
    <w:p w14:paraId="0C0D6BC4" w14:textId="77777777" w:rsidR="00436978" w:rsidRPr="00DC5AE5" w:rsidRDefault="00436978" w:rsidP="004B4ADB">
      <w:pPr>
        <w:numPr>
          <w:ilvl w:val="0"/>
          <w:numId w:val="12"/>
        </w:numPr>
        <w:spacing w:after="0" w:line="240" w:lineRule="auto"/>
      </w:pPr>
      <w:r w:rsidRPr="00DC5AE5">
        <w:t xml:space="preserve">Greater flexibility for combatant commanders </w:t>
      </w:r>
    </w:p>
    <w:p w14:paraId="79EBF559" w14:textId="77777777" w:rsidR="00436978" w:rsidRPr="00DC5AE5" w:rsidRDefault="00436978" w:rsidP="004B4ADB">
      <w:pPr>
        <w:numPr>
          <w:ilvl w:val="0"/>
          <w:numId w:val="12"/>
        </w:numPr>
        <w:spacing w:after="0" w:line="240" w:lineRule="auto"/>
      </w:pPr>
      <w:r w:rsidRPr="00DC5AE5">
        <w:t xml:space="preserve">Preservation of home-station mission capability during deployments </w:t>
      </w:r>
    </w:p>
    <w:p w14:paraId="13CF0936" w14:textId="77777777" w:rsidR="00436978" w:rsidRPr="00A67253" w:rsidRDefault="00436978" w:rsidP="004B4ADB">
      <w:pPr>
        <w:pStyle w:val="Heading1"/>
        <w:spacing w:after="0"/>
        <w:rPr>
          <w:sz w:val="24"/>
          <w:szCs w:val="24"/>
        </w:rPr>
      </w:pPr>
      <w:r w:rsidRPr="00A67253">
        <w:rPr>
          <w:sz w:val="24"/>
          <w:szCs w:val="24"/>
        </w:rPr>
        <w:t>Command and Structure Updates</w:t>
      </w:r>
    </w:p>
    <w:p w14:paraId="08A11DE2" w14:textId="77777777" w:rsidR="00436978" w:rsidRPr="00DC5AE5" w:rsidRDefault="00436978" w:rsidP="004B4ADB">
      <w:pPr>
        <w:numPr>
          <w:ilvl w:val="0"/>
          <w:numId w:val="13"/>
        </w:numPr>
        <w:spacing w:after="0" w:line="240" w:lineRule="auto"/>
      </w:pPr>
      <w:r w:rsidRPr="002E25FB">
        <w:t>Implementation of Wing Operations Centers (WOC) in deployed</w:t>
      </w:r>
      <w:r w:rsidRPr="00DC5AE5">
        <w:t xml:space="preserve"> environments </w:t>
      </w:r>
    </w:p>
    <w:p w14:paraId="28042299" w14:textId="77777777" w:rsidR="00436978" w:rsidRPr="00DC5AE5" w:rsidRDefault="00436978" w:rsidP="004B4ADB">
      <w:pPr>
        <w:numPr>
          <w:ilvl w:val="0"/>
          <w:numId w:val="13"/>
        </w:numPr>
        <w:spacing w:after="0" w:line="240" w:lineRule="auto"/>
      </w:pPr>
      <w:r w:rsidRPr="00DC5AE5">
        <w:t xml:space="preserve">Continued use of group-level command structures forward </w:t>
      </w:r>
    </w:p>
    <w:p w14:paraId="41B0039A" w14:textId="77777777" w:rsidR="00436978" w:rsidRPr="00DC5AE5" w:rsidRDefault="00436978" w:rsidP="004B4ADB">
      <w:pPr>
        <w:numPr>
          <w:ilvl w:val="0"/>
          <w:numId w:val="13"/>
        </w:numPr>
        <w:spacing w:after="0" w:line="240" w:lineRule="auto"/>
      </w:pPr>
      <w:r w:rsidRPr="00DC5AE5">
        <w:t xml:space="preserve">Reduced reliance on traditional A-Staff models in expeditionary settings </w:t>
      </w:r>
    </w:p>
    <w:p w14:paraId="1886F161" w14:textId="77777777" w:rsidR="00436978" w:rsidRPr="00DC5AE5" w:rsidRDefault="00436978" w:rsidP="004B4ADB">
      <w:pPr>
        <w:numPr>
          <w:ilvl w:val="0"/>
          <w:numId w:val="13"/>
        </w:numPr>
        <w:spacing w:after="0" w:line="240" w:lineRule="auto"/>
      </w:pPr>
      <w:r w:rsidRPr="00DC5AE5">
        <w:t xml:space="preserve">More agile, decentralized execution with unified operational control </w:t>
      </w:r>
    </w:p>
    <w:p w14:paraId="34199202" w14:textId="77777777" w:rsidR="00436978" w:rsidRPr="00A67253" w:rsidRDefault="00436978" w:rsidP="004B4ADB">
      <w:pPr>
        <w:pStyle w:val="Heading1"/>
        <w:spacing w:after="0"/>
        <w:rPr>
          <w:sz w:val="24"/>
          <w:szCs w:val="24"/>
        </w:rPr>
      </w:pPr>
      <w:r w:rsidRPr="00A67253">
        <w:rPr>
          <w:sz w:val="24"/>
          <w:szCs w:val="24"/>
        </w:rPr>
        <w:t>Strategic Impact</w:t>
      </w:r>
    </w:p>
    <w:p w14:paraId="54033702" w14:textId="77777777" w:rsidR="00436978" w:rsidRPr="00DC5AE5" w:rsidRDefault="00436978" w:rsidP="004B4ADB">
      <w:pPr>
        <w:spacing w:after="0" w:line="240" w:lineRule="auto"/>
      </w:pPr>
      <w:r w:rsidRPr="00DC5AE5">
        <w:t>AEW 2.0 strengthens the Air Force’s ability to:</w:t>
      </w:r>
    </w:p>
    <w:p w14:paraId="1A62313A" w14:textId="77777777" w:rsidR="00436978" w:rsidRPr="00DC5AE5" w:rsidRDefault="00436978" w:rsidP="004B4ADB">
      <w:pPr>
        <w:numPr>
          <w:ilvl w:val="0"/>
          <w:numId w:val="14"/>
        </w:numPr>
        <w:spacing w:after="0" w:line="240" w:lineRule="auto"/>
      </w:pPr>
      <w:r w:rsidRPr="00DC5AE5">
        <w:t xml:space="preserve">Deter and win in high-end conflict </w:t>
      </w:r>
    </w:p>
    <w:p w14:paraId="44074E52" w14:textId="77777777" w:rsidR="00436978" w:rsidRPr="00DC5AE5" w:rsidRDefault="00436978" w:rsidP="004B4ADB">
      <w:pPr>
        <w:numPr>
          <w:ilvl w:val="0"/>
          <w:numId w:val="14"/>
        </w:numPr>
        <w:spacing w:after="0" w:line="240" w:lineRule="auto"/>
      </w:pPr>
      <w:r w:rsidRPr="00DC5AE5">
        <w:t xml:space="preserve">Rapidly generate combat-ready airpower </w:t>
      </w:r>
    </w:p>
    <w:p w14:paraId="675467DE" w14:textId="77777777" w:rsidR="00436978" w:rsidRPr="00DC5AE5" w:rsidRDefault="00436978" w:rsidP="004B4ADB">
      <w:pPr>
        <w:numPr>
          <w:ilvl w:val="0"/>
          <w:numId w:val="14"/>
        </w:numPr>
        <w:spacing w:after="0" w:line="240" w:lineRule="auto"/>
      </w:pPr>
      <w:r w:rsidRPr="00DC5AE5">
        <w:t xml:space="preserve">Improve total-force integration and readiness </w:t>
      </w:r>
    </w:p>
    <w:p w14:paraId="2C21A5D0" w14:textId="77777777" w:rsidR="00436978" w:rsidRPr="00DC5AE5" w:rsidRDefault="00436978" w:rsidP="004B4ADB">
      <w:pPr>
        <w:numPr>
          <w:ilvl w:val="0"/>
          <w:numId w:val="14"/>
        </w:numPr>
        <w:spacing w:after="0" w:line="240" w:lineRule="auto"/>
      </w:pPr>
      <w:r w:rsidRPr="00DC5AE5">
        <w:t xml:space="preserve">Maintain operational advantage in dynamic global environments </w:t>
      </w:r>
    </w:p>
    <w:p w14:paraId="3389A87D" w14:textId="2AF0D1FD" w:rsidR="00274EB8" w:rsidRPr="00A67253" w:rsidRDefault="00320B7F" w:rsidP="004B4ADB">
      <w:pPr>
        <w:pStyle w:val="Heading1"/>
        <w:spacing w:after="0"/>
        <w:rPr>
          <w:sz w:val="24"/>
          <w:szCs w:val="24"/>
        </w:rPr>
      </w:pPr>
      <w:r w:rsidRPr="00A67253">
        <w:rPr>
          <w:sz w:val="24"/>
          <w:szCs w:val="24"/>
        </w:rPr>
        <w:t xml:space="preserve">Reference </w:t>
      </w:r>
    </w:p>
    <w:p w14:paraId="43118592" w14:textId="00B02FC3" w:rsidR="00274EB8" w:rsidRDefault="00217739" w:rsidP="004B4ADB">
      <w:pPr>
        <w:spacing w:after="0" w:line="240" w:lineRule="auto"/>
        <w:rPr>
          <w:rStyle w:val="Hyperlink"/>
        </w:rPr>
      </w:pPr>
      <w:r>
        <w:rPr>
          <w:b/>
        </w:rPr>
        <w:t>L</w:t>
      </w:r>
      <w:r w:rsidR="00320B7F">
        <w:rPr>
          <w:b/>
        </w:rPr>
        <w:t xml:space="preserve">ink: </w:t>
      </w:r>
      <w:hyperlink r:id="rId8" w:history="1">
        <w:r w:rsidRPr="00BD15EC">
          <w:rPr>
            <w:rStyle w:val="Hyperlink"/>
          </w:rPr>
          <w:t>https://www.af.mil/News/Article-Display/Article/4387429/usaf-to-introduce-air-expeditionary-wing-20/</w:t>
        </w:r>
      </w:hyperlink>
    </w:p>
    <w:p w14:paraId="62B0B617" w14:textId="30466B52" w:rsidR="003D5E35" w:rsidRPr="003D5E35" w:rsidRDefault="003D5E35" w:rsidP="003D5E35">
      <w:pPr>
        <w:tabs>
          <w:tab w:val="left" w:pos="2448"/>
        </w:tabs>
      </w:pPr>
      <w:r>
        <w:tab/>
      </w:r>
    </w:p>
    <w:sectPr w:rsidR="003D5E35" w:rsidRPr="003D5E35" w:rsidSect="000F27EF">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C68C6" w14:textId="77777777" w:rsidR="00D61E31" w:rsidRDefault="00D61E31">
      <w:pPr>
        <w:spacing w:after="0" w:line="240" w:lineRule="auto"/>
      </w:pPr>
      <w:r>
        <w:separator/>
      </w:r>
    </w:p>
  </w:endnote>
  <w:endnote w:type="continuationSeparator" w:id="0">
    <w:p w14:paraId="05ACEFBE" w14:textId="77777777" w:rsidR="00D61E31" w:rsidRDefault="00D61E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7BE0D" w14:textId="77777777" w:rsidR="003D5E35" w:rsidRDefault="003D5E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701D9" w14:textId="395EE8CE" w:rsidR="008B49A5" w:rsidRDefault="008B49A5">
    <w:pPr>
      <w:pStyle w:val="Footer"/>
    </w:pPr>
    <w:r>
      <w:t>DAFCGOC/PD</w:t>
    </w:r>
    <w:r w:rsidR="00FB2D4C">
      <w:t>/</w:t>
    </w:r>
    <w:r w:rsidR="00331230">
      <w:t>1-Pager/2026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134D7" w14:textId="77777777" w:rsidR="003D5E35" w:rsidRDefault="003D5E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1142D" w14:textId="77777777" w:rsidR="00D61E31" w:rsidRDefault="00D61E31">
      <w:pPr>
        <w:spacing w:after="0" w:line="240" w:lineRule="auto"/>
      </w:pPr>
      <w:r>
        <w:separator/>
      </w:r>
    </w:p>
  </w:footnote>
  <w:footnote w:type="continuationSeparator" w:id="0">
    <w:p w14:paraId="36214C87" w14:textId="77777777" w:rsidR="00D61E31" w:rsidRDefault="00D61E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30C7D" w14:textId="77777777" w:rsidR="003D5E35" w:rsidRDefault="003D5E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DFF01" w14:textId="0EC6B7E7" w:rsidR="00C572B4" w:rsidRDefault="00C572B4" w:rsidP="00896508">
    <w:pPr>
      <w:tabs>
        <w:tab w:val="left" w:pos="3150"/>
        <w:tab w:val="left" w:pos="3870"/>
      </w:tabs>
      <w:spacing w:after="40"/>
      <w:jc w:val="center"/>
    </w:pPr>
    <w:r w:rsidRPr="00C572B4">
      <w:rPr>
        <w:b/>
        <w:noProof/>
        <w:color w:val="002060"/>
        <w:sz w:val="30"/>
      </w:rPr>
      <w:drawing>
        <wp:anchor distT="0" distB="0" distL="114300" distR="114300" simplePos="0" relativeHeight="251658240" behindDoc="0" locked="0" layoutInCell="1" allowOverlap="1" wp14:anchorId="2F26BC22" wp14:editId="25BAA891">
          <wp:simplePos x="0" y="0"/>
          <wp:positionH relativeFrom="column">
            <wp:posOffset>-246380</wp:posOffset>
          </wp:positionH>
          <wp:positionV relativeFrom="paragraph">
            <wp:posOffset>-399415</wp:posOffset>
          </wp:positionV>
          <wp:extent cx="1330960" cy="1005205"/>
          <wp:effectExtent l="0" t="0" r="2540" b="4445"/>
          <wp:wrapThrough wrapText="bothSides">
            <wp:wrapPolygon edited="0">
              <wp:start x="0" y="0"/>
              <wp:lineTo x="0" y="21286"/>
              <wp:lineTo x="21332" y="21286"/>
              <wp:lineTo x="21332" y="0"/>
              <wp:lineTo x="0" y="0"/>
            </wp:wrapPolygon>
          </wp:wrapThrough>
          <wp:docPr id="3" name="Picture 2" descr="Logo, company name&#10;&#10;AI-generated content may be incorrect.">
            <a:extLst xmlns:a="http://schemas.openxmlformats.org/drawingml/2006/main">
              <a:ext uri="{FF2B5EF4-FFF2-40B4-BE49-F238E27FC236}">
                <a16:creationId xmlns:a16="http://schemas.microsoft.com/office/drawing/2014/main" id="{904CCB89-6BC0-490E-31D5-25DEAE13C0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Logo, company name&#10;&#10;AI-generated content may be incorrect.">
                    <a:extLst>
                      <a:ext uri="{FF2B5EF4-FFF2-40B4-BE49-F238E27FC236}">
                        <a16:creationId xmlns:a16="http://schemas.microsoft.com/office/drawing/2014/main" id="{904CCB89-6BC0-490E-31D5-25DEAE13C0A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30960" cy="1005205"/>
                  </a:xfrm>
                  <a:prstGeom prst="rect">
                    <a:avLst/>
                  </a:prstGeom>
                </pic:spPr>
              </pic:pic>
            </a:graphicData>
          </a:graphic>
          <wp14:sizeRelH relativeFrom="page">
            <wp14:pctWidth>0</wp14:pctWidth>
          </wp14:sizeRelH>
          <wp14:sizeRelV relativeFrom="page">
            <wp14:pctHeight>0</wp14:pctHeight>
          </wp14:sizeRelV>
        </wp:anchor>
      </w:drawing>
    </w:r>
    <w:r w:rsidR="00F90574">
      <w:rPr>
        <w:b/>
        <w:color w:val="002060"/>
        <w:sz w:val="30"/>
      </w:rPr>
      <w:t>A</w:t>
    </w:r>
    <w:r w:rsidR="0002396D">
      <w:rPr>
        <w:b/>
        <w:color w:val="002060"/>
        <w:sz w:val="30"/>
      </w:rPr>
      <w:t>IR EXPEDITIONARY WING 2.0 (AEW 2.0)</w:t>
    </w:r>
  </w:p>
  <w:p w14:paraId="759CC405" w14:textId="52A660E3" w:rsidR="00C572B4" w:rsidRDefault="0002396D" w:rsidP="00896508">
    <w:pPr>
      <w:tabs>
        <w:tab w:val="left" w:pos="3150"/>
      </w:tabs>
      <w:spacing w:after="120"/>
      <w:jc w:val="center"/>
    </w:pPr>
    <w:r>
      <w:rPr>
        <w:i/>
        <w:color w:val="595959"/>
        <w:sz w:val="22"/>
      </w:rPr>
      <w:t>USA</w:t>
    </w:r>
    <w:r w:rsidR="00FB7B3B">
      <w:rPr>
        <w:i/>
        <w:color w:val="595959"/>
        <w:sz w:val="22"/>
      </w:rPr>
      <w:t>F Force Presentation Modernization</w:t>
    </w:r>
  </w:p>
  <w:p w14:paraId="15C23A89" w14:textId="6AC870B7" w:rsidR="00C572B4" w:rsidRDefault="00C572B4">
    <w:pPr>
      <w:pStyle w:val="Header"/>
    </w:pPr>
    <w:r w:rsidRPr="00C572B4">
      <w:rPr>
        <w:i/>
        <w:noProof/>
        <w:color w:val="595959"/>
        <w:sz w:val="22"/>
      </w:rPr>
      <w:drawing>
        <wp:anchor distT="0" distB="0" distL="114300" distR="114300" simplePos="0" relativeHeight="251658241" behindDoc="0" locked="0" layoutInCell="1" allowOverlap="1" wp14:anchorId="79317427" wp14:editId="2F190826">
          <wp:simplePos x="0" y="0"/>
          <wp:positionH relativeFrom="column">
            <wp:posOffset>5181600</wp:posOffset>
          </wp:positionH>
          <wp:positionV relativeFrom="paragraph">
            <wp:posOffset>-1965960</wp:posOffset>
          </wp:positionV>
          <wp:extent cx="742950" cy="733425"/>
          <wp:effectExtent l="0" t="0" r="0" b="9525"/>
          <wp:wrapNone/>
          <wp:docPr id="23894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41960" name=""/>
                  <pic:cNvPicPr/>
                </pic:nvPicPr>
                <pic:blipFill>
                  <a:blip r:embed="rId2"/>
                  <a:stretch>
                    <a:fillRect/>
                  </a:stretch>
                </pic:blipFill>
                <pic:spPr>
                  <a:xfrm>
                    <a:off x="0" y="0"/>
                    <a:ext cx="742950" cy="73342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D4972" w14:textId="77777777" w:rsidR="003D5E35" w:rsidRDefault="003D5E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987CB4"/>
    <w:multiLevelType w:val="multilevel"/>
    <w:tmpl w:val="A654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570D6"/>
    <w:multiLevelType w:val="multilevel"/>
    <w:tmpl w:val="10F6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D6257"/>
    <w:multiLevelType w:val="hybridMultilevel"/>
    <w:tmpl w:val="B8366066"/>
    <w:lvl w:ilvl="0" w:tplc="53B6BC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F007D2"/>
    <w:multiLevelType w:val="multilevel"/>
    <w:tmpl w:val="6A3A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16096C"/>
    <w:multiLevelType w:val="multilevel"/>
    <w:tmpl w:val="6238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E14869"/>
    <w:multiLevelType w:val="multilevel"/>
    <w:tmpl w:val="347C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736745">
    <w:abstractNumId w:val="8"/>
  </w:num>
  <w:num w:numId="2" w16cid:durableId="1692486366">
    <w:abstractNumId w:val="6"/>
  </w:num>
  <w:num w:numId="3" w16cid:durableId="1674255864">
    <w:abstractNumId w:val="5"/>
  </w:num>
  <w:num w:numId="4" w16cid:durableId="1814789850">
    <w:abstractNumId w:val="4"/>
  </w:num>
  <w:num w:numId="5" w16cid:durableId="471754926">
    <w:abstractNumId w:val="7"/>
  </w:num>
  <w:num w:numId="6" w16cid:durableId="405307024">
    <w:abstractNumId w:val="3"/>
  </w:num>
  <w:num w:numId="7" w16cid:durableId="1181745160">
    <w:abstractNumId w:val="2"/>
  </w:num>
  <w:num w:numId="8" w16cid:durableId="1933928178">
    <w:abstractNumId w:val="1"/>
  </w:num>
  <w:num w:numId="9" w16cid:durableId="2146072183">
    <w:abstractNumId w:val="0"/>
  </w:num>
  <w:num w:numId="10" w16cid:durableId="564342539">
    <w:abstractNumId w:val="10"/>
  </w:num>
  <w:num w:numId="11" w16cid:durableId="1791706075">
    <w:abstractNumId w:val="12"/>
  </w:num>
  <w:num w:numId="12" w16cid:durableId="1035930097">
    <w:abstractNumId w:val="13"/>
  </w:num>
  <w:num w:numId="13" w16cid:durableId="1250771724">
    <w:abstractNumId w:val="9"/>
  </w:num>
  <w:num w:numId="14" w16cid:durableId="1759864604">
    <w:abstractNumId w:val="14"/>
  </w:num>
  <w:num w:numId="15" w16cid:durableId="3774395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96D"/>
    <w:rsid w:val="00030575"/>
    <w:rsid w:val="00034616"/>
    <w:rsid w:val="0006063C"/>
    <w:rsid w:val="000F27EF"/>
    <w:rsid w:val="0015074B"/>
    <w:rsid w:val="001575E4"/>
    <w:rsid w:val="00217739"/>
    <w:rsid w:val="00274EB8"/>
    <w:rsid w:val="0029639D"/>
    <w:rsid w:val="002D1E77"/>
    <w:rsid w:val="002E25FB"/>
    <w:rsid w:val="0031319C"/>
    <w:rsid w:val="00320B7F"/>
    <w:rsid w:val="00326F90"/>
    <w:rsid w:val="00331230"/>
    <w:rsid w:val="0035394E"/>
    <w:rsid w:val="0037652E"/>
    <w:rsid w:val="003D5E35"/>
    <w:rsid w:val="00410020"/>
    <w:rsid w:val="00436978"/>
    <w:rsid w:val="004B4ADB"/>
    <w:rsid w:val="004B6D44"/>
    <w:rsid w:val="005042EB"/>
    <w:rsid w:val="00527247"/>
    <w:rsid w:val="00596860"/>
    <w:rsid w:val="00681385"/>
    <w:rsid w:val="00715F44"/>
    <w:rsid w:val="00842059"/>
    <w:rsid w:val="008558BB"/>
    <w:rsid w:val="00896508"/>
    <w:rsid w:val="008B1D26"/>
    <w:rsid w:val="008B49A5"/>
    <w:rsid w:val="00966197"/>
    <w:rsid w:val="0099603C"/>
    <w:rsid w:val="00A604C6"/>
    <w:rsid w:val="00A67253"/>
    <w:rsid w:val="00A735BA"/>
    <w:rsid w:val="00AA1D8D"/>
    <w:rsid w:val="00AA3329"/>
    <w:rsid w:val="00AB6717"/>
    <w:rsid w:val="00B22972"/>
    <w:rsid w:val="00B40587"/>
    <w:rsid w:val="00B47730"/>
    <w:rsid w:val="00C26A8A"/>
    <w:rsid w:val="00C572B4"/>
    <w:rsid w:val="00CB0664"/>
    <w:rsid w:val="00D57B78"/>
    <w:rsid w:val="00D61E31"/>
    <w:rsid w:val="00DC0C95"/>
    <w:rsid w:val="00E10378"/>
    <w:rsid w:val="00F42BC8"/>
    <w:rsid w:val="00F90574"/>
    <w:rsid w:val="00F93089"/>
    <w:rsid w:val="00FB2D4C"/>
    <w:rsid w:val="00FB7B3B"/>
    <w:rsid w:val="00FC693F"/>
    <w:rsid w:val="00FE2D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BA1F21"/>
  <w14:defaultImageDpi w14:val="300"/>
  <w15:docId w15:val="{28638350-247E-42BA-AD78-38CD6CAD0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Calibri" w:eastAsia="Calibri" w:hAnsi="Calibri"/>
      <w:color w:val="1F1F1F"/>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206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1773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f.mil/News/Article-Display/Article/4387429/usaf-to-introduce-air-expeditionary-wing-20/"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149</TotalTime>
  <Pages>1</Pages>
  <Words>395</Words>
  <Characters>2255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CHOPRA, HIMANSHU Capt USAF AMC 305 MXG/LXK</cp:lastModifiedBy>
  <cp:revision>36</cp:revision>
  <dcterms:created xsi:type="dcterms:W3CDTF">2026-06-18T12:44:00Z</dcterms:created>
  <dcterms:modified xsi:type="dcterms:W3CDTF">2026-10-15T13:58:00Z</dcterms:modified>
  <cp:category/>
</cp:coreProperties>
</file>