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Convert MPS to LP type (this can be skipped of PCx subroutine is invoked without the </w:t>
      </w:r>
      <w:r w:rsidDel="00000000" w:rsidR="00000000" w:rsidRPr="00000000">
        <w:rPr>
          <w:rtl w:val="0"/>
        </w:rPr>
        <w:t xml:space="preserve">main function)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Current version of PCX does not support free variables. As a result, they must be </w:t>
      </w:r>
      <w:r w:rsidDel="00000000" w:rsidR="00000000" w:rsidRPr="00000000">
        <w:rPr>
          <w:rtl w:val="0"/>
        </w:rPr>
        <w:t xml:space="preserve">converted to the form x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and x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vertAlign w:val="superscript"/>
          <w:rtl w:val="0"/>
        </w:rPr>
        <w:t xml:space="preserve">-</w:t>
      </w:r>
      <w:r w:rsidDel="00000000" w:rsidR="00000000" w:rsidRPr="00000000">
        <w:rPr>
          <w:rtl w:val="0"/>
        </w:rPr>
        <w:t xml:space="preserve">, where a normal free variable x</w:t>
      </w:r>
      <w:r w:rsidDel="00000000" w:rsidR="00000000" w:rsidRPr="00000000">
        <w:rPr>
          <w:vertAlign w:val="subscript"/>
          <w:rtl w:val="0"/>
        </w:rPr>
        <w:t xml:space="preserve">i </w:t>
      </w:r>
      <w:r w:rsidDel="00000000" w:rsidR="00000000" w:rsidRPr="00000000">
        <w:rPr>
          <w:rtl w:val="0"/>
        </w:rPr>
        <w:t xml:space="preserve">= x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vertAlign w:val="superscript"/>
          <w:rtl w:val="0"/>
        </w:rPr>
        <w:t xml:space="preserve">+</w:t>
      </w:r>
      <w:r w:rsidDel="00000000" w:rsidR="00000000" w:rsidRPr="00000000">
        <w:rPr>
          <w:rtl w:val="0"/>
        </w:rPr>
        <w:t xml:space="preserve"> - x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vertAlign w:val="superscript"/>
          <w:rtl w:val="0"/>
        </w:rPr>
        <w:t xml:space="preserve">-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LP data type also stores the dual in the form b</w:t>
      </w:r>
      <w:r w:rsidDel="00000000" w:rsidR="00000000" w:rsidRPr="00000000">
        <w:rPr>
          <w:vertAlign w:val="superscript"/>
          <w:rtl w:val="0"/>
        </w:rPr>
        <w:t xml:space="preserve">T</w:t>
      </w:r>
      <w:r w:rsidDel="00000000" w:rsidR="00000000" w:rsidRPr="00000000">
        <w:rPr>
          <w:highlight w:val="white"/>
          <w:vertAlign w:val="superscript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π - </w:t>
      </w:r>
      <w:r w:rsidDel="00000000" w:rsidR="00000000" w:rsidRPr="00000000">
        <w:rPr>
          <w:highlight w:val="white"/>
          <w:rtl w:val="0"/>
        </w:rPr>
        <w:t xml:space="preserve">Σu</w:t>
      </w:r>
      <w:r w:rsidDel="00000000" w:rsidR="00000000" w:rsidRPr="00000000">
        <w:rPr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highlight w:val="white"/>
          <w:rtl w:val="0"/>
        </w:rPr>
        <w:t xml:space="preserve">r</w:t>
      </w:r>
      <w:r w:rsidDel="00000000" w:rsidR="00000000" w:rsidRPr="00000000">
        <w:rPr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highlight w:val="white"/>
          <w:rtl w:val="0"/>
        </w:rPr>
        <w:t xml:space="preserve"> where </w:t>
      </w:r>
      <w:r w:rsidDel="00000000" w:rsidR="00000000" w:rsidRPr="00000000">
        <w:rPr>
          <w:highlight w:val="white"/>
          <w:rtl w:val="0"/>
        </w:rPr>
        <w:t xml:space="preserve">π is the lagrange multiplier vector for the equality constraint Ax = b and r represent the lagrange multipliers for the upper bounds x</w:t>
      </w:r>
      <w:r w:rsidDel="00000000" w:rsidR="00000000" w:rsidRPr="00000000">
        <w:rPr>
          <w:highlight w:val="white"/>
          <w:vertAlign w:val="subscript"/>
          <w:rtl w:val="0"/>
        </w:rPr>
        <w:t xml:space="preserve">i </w:t>
      </w:r>
      <w:r w:rsidDel="00000000" w:rsidR="00000000" w:rsidRPr="00000000">
        <w:rPr>
          <w:highlight w:val="white"/>
          <w:rtl w:val="0"/>
        </w:rPr>
        <w:t xml:space="preserve">&lt;= u</w:t>
      </w:r>
      <w:r w:rsidDel="00000000" w:rsidR="00000000" w:rsidRPr="00000000">
        <w:rPr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The compliance with complementary slackness is measured with μ.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x,s,r,w are &gt;0. X and s are variable and constraints of primal. R and w are variables and constraints of the dual.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The first search direction uses (Δx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vertAlign w:val="superscript"/>
          <w:rtl w:val="0"/>
        </w:rPr>
        <w:t xml:space="preserve">aff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, Δ</w:t>
      </w:r>
      <w:r w:rsidDel="00000000" w:rsidR="00000000" w:rsidRPr="00000000">
        <w:rPr>
          <w:highlight w:val="white"/>
          <w:rtl w:val="0"/>
        </w:rPr>
        <w:t xml:space="preserve">π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vertAlign w:val="superscript"/>
          <w:rtl w:val="0"/>
        </w:rPr>
        <w:t xml:space="preserve">aff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, Δ</w:t>
      </w:r>
      <w:r w:rsidDel="00000000" w:rsidR="00000000" w:rsidRPr="00000000">
        <w:rPr>
          <w:highlight w:val="white"/>
          <w:rtl w:val="0"/>
        </w:rPr>
        <w:t xml:space="preserve">s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vertAlign w:val="superscript"/>
          <w:rtl w:val="0"/>
        </w:rPr>
        <w:t xml:space="preserve">aff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, Δ</w:t>
      </w:r>
      <w:r w:rsidDel="00000000" w:rsidR="00000000" w:rsidRPr="00000000">
        <w:rPr>
          <w:highlight w:val="white"/>
          <w:rtl w:val="0"/>
        </w:rPr>
        <w:t xml:space="preserve">r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vertAlign w:val="superscript"/>
          <w:rtl w:val="0"/>
        </w:rPr>
        <w:t xml:space="preserve">aff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, Δ</w:t>
      </w:r>
      <w:r w:rsidDel="00000000" w:rsidR="00000000" w:rsidRPr="00000000">
        <w:rPr>
          <w:highlight w:val="white"/>
          <w:rtl w:val="0"/>
        </w:rPr>
        <w:t xml:space="preserve">w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vertAlign w:val="superscript"/>
          <w:rtl w:val="0"/>
        </w:rPr>
        <w:t xml:space="preserve">aff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) the direction = A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vertAlign w:val="superscript"/>
          <w:rtl w:val="0"/>
        </w:rPr>
        <w:t xml:space="preserve">T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+ s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 - r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 - x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s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The second search direction is a combined centering-corrector direction  (Δx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vertAlign w:val="superscript"/>
          <w:rtl w:val="0"/>
        </w:rPr>
        <w:t xml:space="preserve">cc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, Δ</w:t>
      </w:r>
      <w:r w:rsidDel="00000000" w:rsidR="00000000" w:rsidRPr="00000000">
        <w:rPr>
          <w:highlight w:val="white"/>
          <w:rtl w:val="0"/>
        </w:rPr>
        <w:t xml:space="preserve">π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vertAlign w:val="superscript"/>
          <w:rtl w:val="0"/>
        </w:rPr>
        <w:t xml:space="preserve">cc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, Δ</w:t>
      </w:r>
      <w:r w:rsidDel="00000000" w:rsidR="00000000" w:rsidRPr="00000000">
        <w:rPr>
          <w:highlight w:val="white"/>
          <w:rtl w:val="0"/>
        </w:rPr>
        <w:t xml:space="preserve">s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vertAlign w:val="superscript"/>
          <w:rtl w:val="0"/>
        </w:rPr>
        <w:t xml:space="preserve">cc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, Δ</w:t>
      </w:r>
      <w:r w:rsidDel="00000000" w:rsidR="00000000" w:rsidRPr="00000000">
        <w:rPr>
          <w:highlight w:val="white"/>
          <w:rtl w:val="0"/>
        </w:rPr>
        <w:t xml:space="preserve">r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vertAlign w:val="superscript"/>
          <w:rtl w:val="0"/>
        </w:rPr>
        <w:t xml:space="preserve">cc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, Δ</w:t>
      </w:r>
      <w:r w:rsidDel="00000000" w:rsidR="00000000" w:rsidRPr="00000000">
        <w:rPr>
          <w:highlight w:val="white"/>
          <w:rtl w:val="0"/>
        </w:rPr>
        <w:t xml:space="preserve">w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vertAlign w:val="superscript"/>
          <w:rtl w:val="0"/>
        </w:rPr>
        <w:t xml:space="preserve">cc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). Obtained by setting r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vertAlign w:val="subscript"/>
          <w:rtl w:val="0"/>
        </w:rPr>
        <w:t xml:space="preserve">u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 = 0, r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vertAlign w:val="subscript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 = 0, r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vertAlign w:val="subscript"/>
          <w:rtl w:val="0"/>
        </w:rPr>
        <w:t xml:space="preserve">b</w:t>
      </w: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 = 0.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Actual direction is the affine scaling direction plus the centering-corrector direction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Calculate new iterate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Calculate step size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Check optimal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Repeat if not optimal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