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libres,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21b67848-728d-44ef-85d9-21d6718d0df7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1b67848-728d-44ef-85d9-21d6718d0df7"/>
      <w:r>
        <w:rPr/>
        <w:t xml:space="preserve">: </w:t>
      </w:r>
      <w:r>
        <w:t xml:space="preserve">Area de estudio</w:t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analizados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8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y el promedio de edad de los participantes es de 28.62 años</w:t>
      </w:r>
    </w:p>
    <w:p>
      <w:pPr>
        <w:pStyle w:val="TableCaption"/>
      </w:pPr>
      <w:r>
        <w:rPr/>
        <w:t xml:space="preserve">Tabla </w:t>
      </w:r>
      <w:bookmarkStart w:id="89b635cd-d927-4974-80a2-1a412bf9bee4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9b635cd-d927-4974-80a2-1a412bf9bee4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11.115981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-74.14751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Rumilda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12.053583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-71.82238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9.439821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-75.44174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Joche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10.747106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-73.79985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f3011d8a-3721-4c7d-a600-7248363b67c2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3011d8a-3721-4c7d-a600-7248363b67c2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161c51c249b.png"/>
<Relationship Id="rId31" Type="http://schemas.openxmlformats.org/officeDocument/2006/relationships/image" Target="media/file161c73663a48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2021-05-19T19:35:52Z</dcterms:created>
  <dcterms:modified xsi:type="dcterms:W3CDTF">2021-05-19T14:35:54Z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