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9F9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一、确定了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场景定义与设计目标</w:t>
      </w:r>
    </w:p>
    <w:p w14:paraId="0783AF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</w:t>
      </w:r>
      <w:r>
        <w:rPr>
          <w:rFonts w:hint="eastAsia" w:ascii="宋体" w:hAnsi="宋体" w:eastAsia="宋体" w:cs="宋体"/>
          <w:sz w:val="24"/>
          <w:szCs w:val="24"/>
        </w:rPr>
        <w:t>场景面向电机或旋转机械中的滚动轴承状态监测。设备安装一套一体化采集终端，采集振动、电流、温度、转速与负载。传感器和信息发送器只传输未经故障分析的原始数据，边缘节点负责缓存、预处理、特征提取和轻量模型推理。</w:t>
      </w:r>
    </w:p>
    <w:p w14:paraId="442AE2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二、确定了参数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2841"/>
        <w:gridCol w:w="2862"/>
      </w:tblGrid>
      <w:tr w14:paraId="2FAB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1F5FAE"/>
            <w:vAlign w:val="center"/>
          </w:tcPr>
          <w:p w14:paraId="1BCAA0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参数</w:t>
            </w:r>
          </w:p>
        </w:tc>
        <w:tc>
          <w:tcPr>
            <w:tcW w:w="3324" w:type="dxa"/>
            <w:shd w:val="clear" w:color="auto" w:fill="1F5FAE"/>
            <w:vAlign w:val="center"/>
          </w:tcPr>
          <w:p w14:paraId="561B19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设定值</w:t>
            </w:r>
          </w:p>
        </w:tc>
        <w:tc>
          <w:tcPr>
            <w:tcW w:w="3324" w:type="dxa"/>
            <w:shd w:val="clear" w:color="auto" w:fill="1F5FAE"/>
            <w:vAlign w:val="center"/>
          </w:tcPr>
          <w:p w14:paraId="2E56F5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说明</w:t>
            </w:r>
          </w:p>
        </w:tc>
      </w:tr>
      <w:tr w14:paraId="10C6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92DF9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振动有效采样率</w:t>
            </w:r>
          </w:p>
        </w:tc>
        <w:tc>
          <w:tcPr>
            <w:tcW w:w="3324" w:type="dxa"/>
            <w:vAlign w:val="center"/>
          </w:tcPr>
          <w:p w14:paraId="6A68DB0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16 kHz</w:t>
            </w:r>
          </w:p>
        </w:tc>
        <w:tc>
          <w:tcPr>
            <w:tcW w:w="3324" w:type="dxa"/>
            <w:vAlign w:val="center"/>
          </w:tcPr>
          <w:p w14:paraId="550FF0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由 K001 原始 64 kHz 数据经抗混叠滤波与 4 倍降采样得到</w:t>
            </w:r>
          </w:p>
        </w:tc>
      </w:tr>
      <w:tr w14:paraId="4F7EE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1388DC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传感器读取周期</w:t>
            </w:r>
          </w:p>
        </w:tc>
        <w:tc>
          <w:tcPr>
            <w:tcW w:w="3324" w:type="dxa"/>
            <w:vAlign w:val="center"/>
          </w:tcPr>
          <w:p w14:paraId="5F10AE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4 ms</w:t>
            </w:r>
          </w:p>
        </w:tc>
        <w:tc>
          <w:tcPr>
            <w:tcW w:w="3324" w:type="dxa"/>
            <w:vAlign w:val="center"/>
          </w:tcPr>
          <w:p w14:paraId="49F683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每次读取 64 个连续振动点，并得到一个瞬时电流值</w:t>
            </w:r>
          </w:p>
        </w:tc>
      </w:tr>
      <w:tr w14:paraId="5074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EF5B8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立即发送周期</w:t>
            </w:r>
          </w:p>
        </w:tc>
        <w:tc>
          <w:tcPr>
            <w:tcW w:w="3324" w:type="dxa"/>
            <w:vAlign w:val="center"/>
          </w:tcPr>
          <w:p w14:paraId="2CDA8A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4 ms</w:t>
            </w:r>
          </w:p>
        </w:tc>
        <w:tc>
          <w:tcPr>
            <w:tcW w:w="3324" w:type="dxa"/>
            <w:vAlign w:val="center"/>
          </w:tcPr>
          <w:p w14:paraId="1795FE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每形成一个采集帧立即发送</w:t>
            </w:r>
          </w:p>
        </w:tc>
      </w:tr>
      <w:tr w14:paraId="0165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9BE328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微批量发送周期</w:t>
            </w:r>
          </w:p>
        </w:tc>
        <w:tc>
          <w:tcPr>
            <w:tcW w:w="3324" w:type="dxa"/>
            <w:vAlign w:val="center"/>
          </w:tcPr>
          <w:p w14:paraId="5F4C0C8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50 ms</w:t>
            </w:r>
          </w:p>
        </w:tc>
        <w:tc>
          <w:tcPr>
            <w:tcW w:w="3324" w:type="dxa"/>
            <w:vAlign w:val="center"/>
          </w:tcPr>
          <w:p w14:paraId="0722D90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连续缓存并每次发送 800 个振动点</w:t>
            </w:r>
          </w:p>
        </w:tc>
      </w:tr>
      <w:tr w14:paraId="78EB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A159C2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边缘缓存窗口</w:t>
            </w:r>
          </w:p>
        </w:tc>
        <w:tc>
          <w:tcPr>
            <w:tcW w:w="3324" w:type="dxa"/>
            <w:vAlign w:val="center"/>
          </w:tcPr>
          <w:p w14:paraId="12B9ED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200 ms</w:t>
            </w:r>
          </w:p>
        </w:tc>
        <w:tc>
          <w:tcPr>
            <w:tcW w:w="3324" w:type="dxa"/>
            <w:vAlign w:val="center"/>
          </w:tcPr>
          <w:p w14:paraId="71332B3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保存最近 3200 个振动点</w:t>
            </w:r>
          </w:p>
        </w:tc>
      </w:tr>
      <w:tr w14:paraId="3DAB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85DED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边缘分析步长</w:t>
            </w:r>
          </w:p>
        </w:tc>
        <w:tc>
          <w:tcPr>
            <w:tcW w:w="3324" w:type="dxa"/>
            <w:vAlign w:val="center"/>
          </w:tcPr>
          <w:p w14:paraId="3A89B2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50 ms</w:t>
            </w:r>
          </w:p>
        </w:tc>
        <w:tc>
          <w:tcPr>
            <w:tcW w:w="3324" w:type="dxa"/>
            <w:vAlign w:val="center"/>
          </w:tcPr>
          <w:p w14:paraId="110C0E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每 50 ms分析一次最近 200 ms数据</w:t>
            </w:r>
          </w:p>
        </w:tc>
      </w:tr>
      <w:tr w14:paraId="2CE7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F0B5D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电流形式</w:t>
            </w:r>
          </w:p>
        </w:tc>
        <w:tc>
          <w:tcPr>
            <w:tcW w:w="3324" w:type="dxa"/>
            <w:vAlign w:val="center"/>
          </w:tcPr>
          <w:p w14:paraId="2D140D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瞬时标量</w:t>
            </w:r>
          </w:p>
        </w:tc>
        <w:tc>
          <w:tcPr>
            <w:tcW w:w="3324" w:type="dxa"/>
            <w:vAlign w:val="center"/>
          </w:tcPr>
          <w:p w14:paraId="2FE3A9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仅作为运行工况辅助信息，不做电流波形诊断</w:t>
            </w:r>
          </w:p>
        </w:tc>
      </w:tr>
      <w:tr w14:paraId="535E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39A53E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低频标量</w:t>
            </w:r>
          </w:p>
        </w:tc>
        <w:tc>
          <w:tcPr>
            <w:tcW w:w="3324" w:type="dxa"/>
            <w:vAlign w:val="center"/>
          </w:tcPr>
          <w:p w14:paraId="749154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最新值</w:t>
            </w:r>
          </w:p>
        </w:tc>
        <w:tc>
          <w:tcPr>
            <w:tcW w:w="3324" w:type="dxa"/>
            <w:vAlign w:val="center"/>
          </w:tcPr>
          <w:p w14:paraId="464C00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温度、转速、负载采用消息发送时的最新有效值</w:t>
            </w:r>
          </w:p>
        </w:tc>
      </w:tr>
    </w:tbl>
    <w:p w14:paraId="4D3D550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三、确定了传感器采集、发送周期（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 ms采集、50 ms微批量发送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EFC55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振动传感器以 16 kHz 连续采样。采集终端每 4 ms读取 64 个连续振动点，同时读取一个瞬时电流值和当前可用的温度、转速、负载。发送器先把振动原始点写入本地连续缓冲区，每50 ms取出800个连续振动点合并成一个数据包；电流、温度、转速和负载只发送该批次结束时的最新瞬时值。</w:t>
      </w:r>
    </w:p>
    <w:p w14:paraId="4F051C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传感器以16 kHz连续采样，采集任务每4 ms向发送缓冲区写入64个振动点。</w:t>
      </w:r>
    </w:p>
    <w:p w14:paraId="30BE96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发送器独立运行50 ms定时任务。</w:t>
      </w:r>
    </w:p>
    <w:p w14:paraId="73379F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定时任务从连续缓冲区取出最近未发送的800个振动点。</w:t>
      </w:r>
    </w:p>
    <w:p w14:paraId="61AAC1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附加该时刻最新的电流、温度、转速和负载标量。</w:t>
      </w:r>
    </w:p>
    <w:p w14:paraId="7072ED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将批次时间范围、序号范围和采样点数写入消息后发送。</w:t>
      </w:r>
    </w:p>
    <w:p w14:paraId="1D616A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边缘节点将800点写入同一个200 ms环形缓存，并每50 ms执行一次分析。</w:t>
      </w:r>
    </w:p>
    <w:p w14:paraId="46F7F4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四、初步定义了传感器—边缘节点接口</w:t>
      </w:r>
    </w:p>
    <w:p w14:paraId="67B3596E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50 ms微批量接口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C09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3F5F7"/>
          </w:tcPr>
          <w:p w14:paraId="70B349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"packet_id": "batch_000001",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//数据包编号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"device_id": "K001",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//被检测设备编号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"sensor_id": "sensor_K001",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//采集终端编号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"batch_sequence_number": 1,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//自增，检测丢包、重复和乱序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"batch_start_timestamp_ns": 1781920800000000000,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//开始时间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"batch_end_timestamp_ns": 1781920800050000000,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//结束时间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"batch_duration_ms": 50,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//数据检测时间长度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"source_read_period_ms": 4,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"vibration_sample_rate_hz": 16000,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//采集振动频率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"vibration_sample_count": 800,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//振动点个数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"scalar_policy": "latest_value",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"data": {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"vibration": [0.012, 0.018, 0.009, 0.021],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"current": 1.34,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"current_timestamp_ns": 1781920800048000000,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"temperature": 45.8,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"speed": 899.7,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"load": 0.70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}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</w:tc>
      </w:tr>
    </w:tbl>
    <w:p w14:paraId="2AEBC4D7">
      <w:pPr>
        <w:rPr>
          <w:rFonts w:hint="default"/>
          <w:lang w:val="en-US" w:eastAsia="zh-CN"/>
        </w:rPr>
      </w:pPr>
    </w:p>
    <w:p w14:paraId="2209A5A5">
      <w:pPr>
        <w:rPr>
          <w:rFonts w:hint="default"/>
          <w:lang w:val="en-US" w:eastAsia="zh-CN"/>
        </w:rPr>
      </w:pPr>
    </w:p>
    <w:p w14:paraId="22C0A4EB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五、存在的问题</w:t>
      </w:r>
    </w:p>
    <w:p w14:paraId="689AD0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1.无法做到可拓展性，当应用场景变化时，如何做到直接应用，在这种情况下接口应如何设计，即当前定义的接口仅仅适用于某种特定情景。</w:t>
      </w:r>
    </w:p>
    <w:p w14:paraId="395333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105727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35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2.如何实现对多源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多源异构数据（如视频流、传感器数据）的 </w:t>
      </w:r>
    </w:p>
    <w:p w14:paraId="1E939F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实时预处理与特征提取，当前定义的数据集仅包含传感器数据，无法对视频流或图片进行发送。</w:t>
      </w:r>
      <w:bookmarkStart w:id="0" w:name="_GoBack"/>
      <w:bookmarkEnd w:id="0"/>
    </w:p>
    <w:p w14:paraId="7614FC2F">
      <w:pPr>
        <w:keepNext w:val="0"/>
        <w:keepLines w:val="0"/>
        <w:widowControl/>
        <w:suppressLineNumbers w:val="0"/>
        <w:jc w:val="left"/>
        <w:rPr>
          <w:rFonts w:hint="default" w:ascii="FZFSK--GBK1-0" w:hAnsi="FZFSK--GBK1-0" w:eastAsia="FZFSK--GBK1-0" w:cs="FZFSK--GBK1-0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1770" cy="105981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9F91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FS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66C0C"/>
    <w:rsid w:val="31D6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0304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2026-07-05T11:20:00Z</dcterms:created>
  <dc:creator>文</dc:creator>
  <cp:lastModifiedBy>文</cp:lastModifiedBy>
  <dcterms:modified xsi:type="dcterms:W3CDTF">2026-07-05T11:42:33Z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9192E0D6271241829D704A784901DEA9_11</vt:lpwstr>
  </property>
  <property fmtid="{D5CDD505-2E9C-101B-9397-08002B2CF9AE}" pid="4" name="KSOTemplateDocerSaveRecord">
    <vt:lpwstr>eyJoZGlkIjoiMjRkZjQ5ZWIxNTAyNzFiNDJhOGY1ZmM5NGRhNjY2MjAiLCJ1c2VySWQiOiIxMjgwNTE5MDQ5In0=</vt:lpwstr>
  </property>
</Properties>
</file>