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 w:eastAsia="Microsoft YaHei"/>
          <w:b/>
          <w:i w:val="0"/>
          <w:color w:val="2E74B5"/>
          <w:sz w:val="21"/>
        </w:rPr>
        <w:t>软件需求规格说明书</w:t>
      </w:r>
    </w:p>
    <w:p>
      <w:pPr>
        <w:keepNext/>
        <w:spacing w:after="100"/>
      </w:pPr>
      <w:r>
        <w:rPr>
          <w:rFonts w:ascii="Calibri" w:hAnsi="Calibri" w:eastAsia="Microsoft YaHei"/>
          <w:b/>
          <w:i w:val="0"/>
          <w:color w:val="202A35"/>
          <w:sz w:val="46"/>
        </w:rPr>
        <w:t>工业轴承滚动检测场景</w:t>
        <w:br/>
        <w:t>PER-DDPG代码实现需求方案</w:t>
      </w:r>
    </w:p>
    <w:p>
      <w:pPr>
        <w:spacing w:after="280"/>
      </w:pPr>
      <w:r>
        <w:rPr>
          <w:rFonts w:ascii="Calibri" w:hAnsi="Calibri" w:eastAsia="Microsoft YaHei"/>
          <w:b w:val="0"/>
          <w:i w:val="0"/>
          <w:color w:val="5D6670"/>
          <w:sz w:val="25"/>
        </w:rPr>
        <w:t>真实MQTT链路 + 仿真采集与诊断 + 可替换硬件适配器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202A35"/>
          <w:sz w:val="22"/>
        </w:rPr>
        <w:t>依据文档：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《工业轴承检测场景_PER-DDPG技术方案》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202A35"/>
          <w:sz w:val="22"/>
        </w:rPr>
        <w:t>业务主体：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发送器、调度器、边缘节点、云端节点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202A35"/>
          <w:sz w:val="22"/>
        </w:rPr>
        <w:t>完整流程：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采集—调度—执行—复核—升级—反馈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202A35"/>
          <w:sz w:val="22"/>
        </w:rPr>
        <w:t>文档状态：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经用户逐部分确认的实施需求基线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202A35"/>
          <w:sz w:val="22"/>
        </w:rPr>
        <w:t>编制日期：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2026年7月15日</w:t>
      </w:r>
    </w:p>
    <w:p>
      <w:pPr>
        <w:spacing w:before="160" w:after="240"/>
        <w:pBdr>
          <w:bottom w:val="single" w:sz="12" w:space="1" w:color="2E74B5"/>
        </w:pBdr>
      </w:pPr>
    </w:p>
    <w:p>
      <w:pPr>
        <w:pStyle w:val="Heading1"/>
      </w:pPr>
      <w:r>
        <w:t>1. 文档目标与范围</w:t>
      </w:r>
    </w:p>
    <w:p>
      <w:pPr>
        <w:keepLines/>
        <w:spacing w:before="100" w:after="180"/>
        <w:ind w:left="115" w:right="115"/>
        <w:shd w:fill="E8EEF5"/>
        <w:pBdr>
          <w:left w:val="single" w:sz="18" w:space="6" w:color="1F4D78"/>
        </w:pBdr>
      </w:pPr>
      <w:r>
        <w:rPr>
          <w:rFonts w:ascii="Calibri" w:hAnsi="Calibri" w:eastAsia="Microsoft YaHei"/>
          <w:b/>
          <w:i w:val="0"/>
          <w:color w:val="1F4D78"/>
          <w:sz w:val="22"/>
        </w:rPr>
        <w:t>目标：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建设一套能够实际运行和验收的工业轴承滚动检测演示系统，以真实MQTT消息链路串联仿真发送器、PER-DDPG调度器、多个异构边缘节点和云端节点，完整实现采集、调度、执行、复核、升级和反馈。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GEN-01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系统必须只有四类业务主体：发送器、调度器、边缘节点和云端节点。MQTT Broker属于通信基础设施，不得被描述为第五个业务主体。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GEN-02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第一版必须真实实现MQTT发布订阅、多进程节点、DAG排序、PER-DDPG决策、条件复核、云端升级、断线缓存、经验反馈和Web展示。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GEN-03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传感器、轴承诊断模型、通信速率和节点资源采用可重复仿真，并通过接口允许后续替换为真实硬件与模型。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GEN-04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运行时不得包含雾节点、对应动作槽位、状态字段、API或前端图例。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GEN-05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本阶段只定义和验证软件需求，不直接执行真实PLC停机、急停或保护动作。</w:t>
      </w:r>
    </w:p>
    <w:p>
      <w:pPr>
        <w:pStyle w:val="Heading2"/>
      </w:pPr>
      <w:r>
        <w:t>1.1 范围外事项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A35"/>
          <w:sz w:val="22"/>
        </w:rPr>
        <w:t>真实采集卡和PLC厂商驱动开发。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A35"/>
          <w:sz w:val="22"/>
        </w:rPr>
        <w:t>经过工业认证的轴承诊断模型训练及准确率承诺。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A35"/>
          <w:sz w:val="22"/>
        </w:rPr>
        <w:t>生产设备的直接安全控制和责任闭环。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A35"/>
          <w:sz w:val="22"/>
        </w:rPr>
        <w:t>跨工厂高可用集群、云平台弹性扩缩和大规模设备管理。</w:t>
      </w:r>
    </w:p>
    <w:p>
      <w:pPr>
        <w:pStyle w:val="Heading1"/>
      </w:pPr>
      <w:r>
        <w:t>2. 总体架构与职责边界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600"/>
        <w:gridCol w:w="2700"/>
        <w:gridCol w:w="1560"/>
      </w:tblGrid>
      <w:tr>
        <w:trPr>
          <w:cantSplit/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业务主体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内部功能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唯一责任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禁止承担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发送器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仿真采集、连续缓冲、微批量、MQTT发布、断网补传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产生并可靠发送轴承原始数据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节点选择、故障诊断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调度器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窗口聚合、DAG、List_seq、PER-DDPG、复核、升级、反馈、Web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决定任务顺序、执行节点和资源比例</w:t>
            </w:r>
          </w:p>
        </w:tc>
        <w:tc>
          <w:tcPr>
            <w:tcW w:type="dxa" w:w="1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直接生成轴承故障类别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边缘节点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预处理、特征、融合、初检、复核、本地安全规则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执行调度任务并报告诊断结果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全局任务排序、策略训练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云端节点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冲突仲裁、复杂诊断、历史趋势和最终解释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处理明确升级的疑难任务</w:t>
            </w:r>
          </w:p>
        </w:tc>
        <w:tc>
          <w:tcPr>
            <w:tcW w:type="dxa" w:w="1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订阅和处理全部原始数据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b w:val="0"/>
          <w:i w:val="0"/>
          <w:color w:val="202A35"/>
          <w:sz w:val="22"/>
        </w:rPr>
        <w:t>多个边缘节点运行同一程序，通过node_id、CPU容量、能力标签、模型版本和阈值配置体现差异。第一版默认启动edge_1、edge_2和edge_3，其中复核节点必须与初检节点不同。</w:t>
      </w:r>
    </w:p>
    <w:p>
      <w:pPr>
        <w:pStyle w:val="Heading2"/>
      </w:pPr>
      <w:r>
        <w:t>2.1 四个启动入口</w:t>
      </w:r>
    </w:p>
    <w:p>
      <w:pPr>
        <w:keepLines/>
        <w:spacing w:before="80" w:after="160"/>
        <w:ind w:left="288" w:right="288"/>
        <w:shd w:fill="F2F4F7"/>
      </w:pPr>
      <w:r>
        <w:rPr>
          <w:rFonts w:ascii="Consolas" w:hAnsi="Consolas" w:eastAsia="Microsoft YaHei"/>
          <w:sz w:val="18"/>
        </w:rPr>
        <w:t>python -m sender</w:t>
        <w:br/>
        <w:t>python -m scheduler</w:t>
        <w:br/>
        <w:t>python -m edge --node-id edge_1</w:t>
        <w:br/>
        <w:t>python -m cloud</w:t>
      </w:r>
    </w:p>
    <w:p>
      <w:pPr>
        <w:pStyle w:val="Heading2"/>
      </w:pPr>
      <w:r>
        <w:t>2.2 六阶段追踪矩阵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1650"/>
        <w:gridCol w:w="2350"/>
        <w:gridCol w:w="2350"/>
        <w:gridCol w:w="2110"/>
      </w:tblGrid>
      <w:tr>
        <w:trPr>
          <w:cantSplit/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阶段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责任主体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核心输入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核心产物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主要验收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采集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发送器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仿真传感器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50 ms微批量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点数、序号、补传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调度</w:t>
            </w:r>
          </w:p>
        </w:tc>
        <w:tc>
          <w:tcPr>
            <w:tcW w:type="dxa" w:w="1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调度器</w:t>
            </w:r>
          </w:p>
        </w:tc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200 ms窗口、节点状态</w:t>
            </w:r>
          </w:p>
        </w:tc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DAG、List_seq、动作</w:t>
            </w:r>
          </w:p>
        </w:tc>
        <w:tc>
          <w:tcPr>
            <w:tcW w:type="dxa" w:w="2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拓扑、掩码、资源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执行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边缘节点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窗口或前驱输出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特征、初检结果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幂等、时延、置信度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复核</w:t>
            </w:r>
          </w:p>
        </w:tc>
        <w:tc>
          <w:tcPr>
            <w:tcW w:type="dxa" w:w="1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调度器+第二边缘</w:t>
            </w:r>
          </w:p>
        </w:tc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初检结果和触发原因</w:t>
            </w:r>
          </w:p>
        </w:tc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独立复核结果</w:t>
            </w:r>
          </w:p>
        </w:tc>
        <w:tc>
          <w:tcPr>
            <w:tcW w:type="dxa" w:w="2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不同节点、条件触发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升级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调度器+云端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冲突/低置信度任务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FINAL或PROVISIONAL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断网补传、唯一终态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反馈</w:t>
            </w:r>
          </w:p>
        </w:tc>
        <w:tc>
          <w:tcPr>
            <w:tcW w:type="dxa" w:w="1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调度器</w:t>
            </w:r>
          </w:p>
        </w:tc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状态、动作、奖励、下一状态</w:t>
            </w:r>
          </w:p>
        </w:tc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PER经验和模型更新</w:t>
            </w:r>
          </w:p>
        </w:tc>
        <w:tc>
          <w:tcPr>
            <w:tcW w:type="dxa" w:w="2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TD误差、训练隔离</w:t>
            </w:r>
          </w:p>
        </w:tc>
      </w:tr>
    </w:tbl>
    <w:p>
      <w:pPr>
        <w:spacing w:after="0"/>
      </w:pPr>
    </w:p>
    <w:p>
      <w:pPr>
        <w:pStyle w:val="Heading1"/>
      </w:pPr>
      <w:r>
        <w:t>3. 发送器需求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SND-01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仿真振动传感器必须以16 kHz生成连续float32数据，每4 ms形成64个连续采样点。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SND-02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发送器必须每50 ms取出800个未发送振动点，并附加批次结束时最新的电流、温度、转速和负载。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SND-03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发送器只能向bearing/raw/{device_id}发布，不得保存目标边缘节点地址或执行节点选择。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SND-04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每个批次必须包含唯一message_id、递增sequence、开始/结束时间、采样率、样本数、质量标志和CRC32。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SND-05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MQTT不可用时，未确认批次必须写入本地SQLite待发队列；恢复后按设备和sequence顺序补传。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SND-06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发送器必须同时支持虚拟时钟和墙钟模式；虚拟时钟用于确定性测试，墙钟模式不承诺4 ms硬实时。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SND-07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采集实现必须符合SensorAdapter接口，使仿真器可以被真实采集卡或PLC适配器替换。</w:t>
      </w:r>
    </w:p>
    <w:p>
      <w:pPr>
        <w:pStyle w:val="Heading2"/>
      </w:pPr>
      <w:r>
        <w:t>3.1 SensorAdapter接口契约</w:t>
      </w:r>
    </w:p>
    <w:p>
      <w:pPr>
        <w:keepLines/>
        <w:spacing w:before="80" w:after="160"/>
        <w:ind w:left="288" w:right="288"/>
        <w:shd w:fill="F2F4F7"/>
      </w:pPr>
      <w:r>
        <w:rPr>
          <w:rFonts w:ascii="Consolas" w:hAnsi="Consolas" w:eastAsia="Microsoft YaHei"/>
          <w:sz w:val="18"/>
        </w:rPr>
        <w:t>read_frame() -&gt; SensorFrame</w:t>
        <w:br/>
        <w:t>SensorFrame = {timestamp_ns, vibration[64], current, temperature, speed, load, quality_flags}</w:t>
        <w:br/>
        <w:t>health() -&gt; {connected, last_sample_at, error_code}</w:t>
      </w:r>
    </w:p>
    <w:p>
      <w:pPr>
        <w:pStyle w:val="Heading1"/>
      </w:pPr>
      <w:r>
        <w:t>4. 调度器需求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SCH-01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订阅原始批次，按device_id、sequence和message_id进行校验、去重、丢包检测及乱序整理。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SCH-02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每台设备维护200 ms滚动窗口；首4个批次形成3200点窗口，此后每收到一个新批次形成一个步长为50 ms的新窗口。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SCH-03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每个窗口生成唯一task_id，并创建固定T1—T10任务图。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SCH-04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T1—T7为必选任务，T8和T9为条件门控任务，T10为唯一最终出口。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SCH-05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严格按算法3.1计算rank_i、urgency_i、W_i并生成拓扑合法List_seq。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SCH-06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必须按List_seq逐任务调用PER-DDPG；排序、节点选择和资源分配不得合并为一个未经说明的规则。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SCH-07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候选节点使用固定槽位[edge_1, edge_2, edge_3, cloud_0]，离线或能力不匹配节点必须应用动作掩码。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SCH-08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Actor输出节点概率A_t和资源比例F_t，环境记录原始动作和约束后的实际执行结果。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SCH-09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每次派发必须记录请求比例、请求CPU、实际CPU、有效比例、传输时间、等待时间和执行时间。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SCH-10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必须依据T7结果唯一地选择正常结束、第二边缘复核或云端升级。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SCH-11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训练模式允许更新Actor/Critic；推理模式只能使用冻结检查点并记录经验。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SCH-12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节点拒绝、任务超时或应用级确认缺失时最多重试3次，之后写入dead_letters并执行规定降级流程。</w:t>
      </w:r>
    </w:p>
    <w:p>
      <w:pPr>
        <w:pStyle w:val="Heading1"/>
      </w:pPr>
      <w:r>
        <w:t>5. 边缘节点需求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EDG-01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边缘节点必须通过配置声明node_id、逻辑CPU容量、能力标签、模型版本、阈值和本地缓存路径。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EDG-02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节点必须对task_id、subtask_id和attempt执行幂等检查，相同有效派发不得重复计算。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EDG-03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节点必须能够执行T1校验、T2预处理、T3归一化、T4特征、T5融合、T6初检及T7一致性判断。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EDG-04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第一版特征至少包含RMS、Peak、峰峰值、峭度和频带能量。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EDG-05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诊断输出必须包含类别、异常分数、置信度、质量标志、模型版本、开始/完成时间和实际资源。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EDG-06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执行T8的复核节点必须不同于初检节点，并使用不同模型版本或不同阈值配置。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EDG-07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云端不可用时，边缘节点必须执行本地安全规则、输出临时结论并缓存待升级数据。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EDG-08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第一版将F_t实现为逻辑资源预留、并发限制和时延模拟，不得宣称精确控制物理GHz。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EDG-09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节点必须每1秒发布心跳，包含可用CPU、队列长度、能力、模型版本、健康状态和最后活动时间。</w:t>
      </w:r>
    </w:p>
    <w:p>
      <w:pPr>
        <w:pStyle w:val="Heading2"/>
      </w:pPr>
      <w:r>
        <w:t>5.1 诊断模型接口</w:t>
      </w:r>
    </w:p>
    <w:p>
      <w:pPr>
        <w:keepLines/>
        <w:spacing w:before="80" w:after="160"/>
        <w:ind w:left="288" w:right="288"/>
        <w:shd w:fill="F2F4F7"/>
      </w:pPr>
      <w:r>
        <w:rPr>
          <w:rFonts w:ascii="Consolas" w:hAnsi="Consolas" w:eastAsia="Microsoft YaHei"/>
          <w:sz w:val="18"/>
        </w:rPr>
        <w:t>predict(window, features, context) -&gt; DiagnosisResult</w:t>
        <w:br/>
        <w:t>DiagnosisResult = {class_name, anomaly_score, confidence, feature_votes, model_version, explanation}</w:t>
      </w:r>
    </w:p>
    <w:p>
      <w:pPr>
        <w:pStyle w:val="Heading1"/>
      </w:pPr>
      <w:r>
        <w:t>6. 云端节点需求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CLD-01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云端只能处理调度器明确升级的任务，不得订阅并默认处理全部原始数据。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CLD-02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升级输入必须包含初检、复核、特征摘要、质量标志、触发原因、历史引用及必要原始窗口。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CLD-03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云端输出必须包含最终类别、置信度、冲突解释、建议动作、模型版本和处理时延。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CLD-04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第一版云端诊断使用可控仿真模型，不得据此声明真实工业诊断准确率。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CLD-05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第一版保存最终诊断和历史趋势；云端模型训练及模型自动下发不属于强制范围。</w:t>
      </w:r>
    </w:p>
    <w:p>
      <w:pPr>
        <w:pStyle w:val="Heading1"/>
      </w:pPr>
      <w:r>
        <w:t>7. MQTT通信与消息契约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500"/>
        <w:gridCol w:w="2100"/>
        <w:gridCol w:w="2800"/>
        <w:gridCol w:w="960"/>
      </w:tblGrid>
      <w:tr>
        <w:trPr>
          <w:cantSplit/>
          <w:tblHeader w:val="true"/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主题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方向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用途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QoS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bearing/raw/{device_id}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发送器 -&gt; 调度器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50 ms原始微批量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3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scheduler/edge/{node_id}/task</w:t>
            </w:r>
          </w:p>
        </w:tc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调度器 -&gt; 边缘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子任务派发或复核</w:t>
            </w:r>
          </w:p>
        </w:tc>
        <w:tc>
          <w:tcPr>
            <w:tcW w:type="dxa" w:w="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edge/{node_id}/ack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边缘 -&gt; 调度器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应用级接收确认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3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edge/{node_id}/result</w:t>
            </w:r>
          </w:p>
        </w:tc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边缘 -&gt; 调度器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子任务和诊断结果</w:t>
            </w:r>
          </w:p>
        </w:tc>
        <w:tc>
          <w:tcPr>
            <w:tcW w:type="dxa" w:w="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scheduler/cloud/task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调度器 -&gt; 云端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升级任务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3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cloud/ack</w:t>
            </w:r>
          </w:p>
        </w:tc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云端 -&gt; 调度器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应用级接收确认</w:t>
            </w:r>
          </w:p>
        </w:tc>
        <w:tc>
          <w:tcPr>
            <w:tcW w:type="dxa" w:w="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cloud/result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云端 -&gt; 调度器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云端最终诊断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3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bearing/final/{device_id}</w:t>
            </w:r>
          </w:p>
        </w:tc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调度器 -&gt; 消费者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唯一最终结果</w:t>
            </w:r>
          </w:p>
        </w:tc>
        <w:tc>
          <w:tcPr>
            <w:tcW w:type="dxa" w:w="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node/{node_id}/heartbeat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边缘/云端 -&gt; 调度器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资源和健康状态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3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system/dead-letter</w:t>
            </w:r>
          </w:p>
        </w:tc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调度器 -&gt; 审计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无法处理的消息</w:t>
            </w:r>
          </w:p>
        </w:tc>
        <w:tc>
          <w:tcPr>
            <w:tcW w:type="dxa" w:w="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1</w:t>
            </w:r>
          </w:p>
        </w:tc>
      </w:tr>
    </w:tbl>
    <w:p>
      <w:pPr>
        <w:spacing w:after="0"/>
      </w:pP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MQT-01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任务和结果使用QoS 1，同时必须通过message_id和业务幂等键消除重复处理。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MQT-02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MQTT确认只代表Broker传输，边缘和云端必须额外返回应用级ack。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MQT-03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原始振动采用MessagePack信封和little-endian float32二进制载荷；控制、心跳和诊断结果使用UTF-8 JSON。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MQT-04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每条消息必须包含schema_version、message_id、trace_id、task_id、subtask_id、device_id、source_id、target_id、sequence、attempt、created_at_ns、deadline_at_ns、message_type、payload_encoding、quality_flags、model_version和crc32。</w:t>
      </w:r>
    </w:p>
    <w:p>
      <w:pPr>
        <w:pStyle w:val="Heading1"/>
      </w:pPr>
      <w:r>
        <w:t>8. T1—T10任务定义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00"/>
        <w:gridCol w:w="1800"/>
        <w:gridCol w:w="2600"/>
        <w:gridCol w:w="2600"/>
        <w:gridCol w:w="1760"/>
      </w:tblGrid>
      <w:tr>
        <w:trPr>
          <w:cantSplit/>
          <w:tblHeader w:val="true"/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任务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名称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输入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输出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依赖/门控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T1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完整性校验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4个连续微批量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ValidatedWindow、质量标志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入口任务</w:t>
            </w:r>
          </w:p>
        </w:tc>
      </w:tr>
      <w:tr>
        <w:trPr>
          <w:cantSplit/>
        </w:trPr>
        <w:tc>
          <w:tcPr>
            <w:tcW w:type="dxa" w:w="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T2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振动预处理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3200点振动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滤波窗口</w:t>
            </w:r>
          </w:p>
        </w:tc>
        <w:tc>
          <w:tcPr>
            <w:tcW w:type="dxa" w:w="1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T1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T3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工况归一化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电流、温度、转速、负载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NormalizedScalars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T1，可与T2并行</w:t>
            </w:r>
          </w:p>
        </w:tc>
      </w:tr>
      <w:tr>
        <w:trPr>
          <w:cantSplit/>
        </w:trPr>
        <w:tc>
          <w:tcPr>
            <w:tcW w:type="dxa" w:w="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T4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特征提取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T2输出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时域/频域特征</w:t>
            </w:r>
          </w:p>
        </w:tc>
        <w:tc>
          <w:tcPr>
            <w:tcW w:type="dxa" w:w="1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T2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T5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多传感融合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T3、T4输出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FusedFeatures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T3和T4全部完成</w:t>
            </w:r>
          </w:p>
        </w:tc>
      </w:tr>
      <w:tr>
        <w:trPr>
          <w:cantSplit/>
        </w:trPr>
        <w:tc>
          <w:tcPr>
            <w:tcW w:type="dxa" w:w="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T6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轻量初检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T5输出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初检DiagnosisResult</w:t>
            </w:r>
          </w:p>
        </w:tc>
        <w:tc>
          <w:tcPr>
            <w:tcW w:type="dxa" w:w="1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T5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T7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一致性判断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初检和质量标志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ACCEPT/REVIEW/CLOUD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T6</w:t>
            </w:r>
          </w:p>
        </w:tc>
      </w:tr>
      <w:tr>
        <w:trPr>
          <w:cantSplit/>
        </w:trPr>
        <w:tc>
          <w:tcPr>
            <w:tcW w:type="dxa" w:w="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T8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独立复核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窗口、特征、初检结果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复核DiagnosisResult</w:t>
            </w:r>
          </w:p>
        </w:tc>
        <w:tc>
          <w:tcPr>
            <w:tcW w:type="dxa" w:w="1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条件门控，T7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T9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云端诊断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初检、复核、历史、必要原始数据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云端最终诊断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条件门控，T7或T8</w:t>
            </w:r>
          </w:p>
        </w:tc>
      </w:tr>
      <w:tr>
        <w:trPr>
          <w:cantSplit/>
        </w:trPr>
        <w:tc>
          <w:tcPr>
            <w:tcW w:type="dxa" w:w="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T10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告警与归档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当前有效最终诊断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FINAL或PROVISIONAL</w:t>
            </w:r>
          </w:p>
        </w:tc>
        <w:tc>
          <w:tcPr>
            <w:tcW w:type="dxa" w:w="1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唯一出口</w:t>
            </w:r>
          </w:p>
        </w:tc>
      </w:tr>
    </w:tbl>
    <w:p>
      <w:pPr>
        <w:spacing w:after="0"/>
      </w:pP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DAG-01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任一后继任务只有在全部必需前驱完成后才能进入就绪队列。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DAG-02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未触发的T8或T9必须记录为SKIPPED，不得占用资源或生成虚假经验。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DAG-03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T10只能成功执行一次；同一task_id不得产生多个有效最终结果。</w:t>
      </w:r>
    </w:p>
    <w:p>
      <w:pPr>
        <w:pStyle w:val="Heading1"/>
      </w:pPr>
      <w:r>
        <w:t>9. PER-DDPG算法要求</w:t>
      </w:r>
    </w:p>
    <w:p>
      <w:pPr>
        <w:keepLines/>
        <w:spacing w:before="100" w:after="180"/>
        <w:ind w:left="115" w:right="115"/>
        <w:shd w:fill="E8EEF5"/>
        <w:pBdr>
          <w:left w:val="single" w:sz="18" w:space="6" w:color="1F4D78"/>
        </w:pBdr>
      </w:pPr>
      <w:r>
        <w:rPr>
          <w:rFonts w:ascii="Calibri" w:hAnsi="Calibri" w:eastAsia="Microsoft YaHei"/>
          <w:b/>
          <w:i w:val="0"/>
          <w:color w:val="1F4D78"/>
          <w:sz w:val="22"/>
        </w:rPr>
        <w:t>固定结构：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第一版固定3个边缘槽位和1个云端槽位，节点顺序为[edge_1, edge_2, edge_3, cloud_0]。新增超过3个边缘节点会改变网络输入输出结构，必须重新训练。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5660"/>
        <w:gridCol w:w="190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组成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定义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第一版维度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8"/>
              </w:rPr>
              <w:t>I_t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8"/>
              </w:rPr>
              <w:t>数据量、计算密度、最小CPU、最早就绪时间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8"/>
              </w:rPr>
              <w:t>CR_t</w:t>
            </w:r>
          </w:p>
        </w:tc>
        <w:tc>
          <w:tcPr>
            <w:tcW w:type="dxa" w:w="5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8"/>
              </w:rPr>
              <w:t>3个边缘节点和云端剩余逻辑CPU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8"/>
              </w:rPr>
              <w:t>R_t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8"/>
              </w:rPr>
              <w:t>当前数据位置到4个候选节点的有效速率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8"/>
              </w:rPr>
              <w:t>状态s_t</w:t>
            </w:r>
          </w:p>
        </w:tc>
        <w:tc>
          <w:tcPr>
            <w:tcW w:type="dxa" w:w="5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8"/>
              </w:rPr>
              <w:t>I_t + CR_t + R_t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8"/>
              </w:rPr>
              <w:t>A_t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8"/>
              </w:rPr>
              <w:t>4个候选节点的选择概率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8"/>
              </w:rPr>
              <w:t>F_t</w:t>
            </w:r>
          </w:p>
        </w:tc>
        <w:tc>
          <w:tcPr>
            <w:tcW w:type="dxa" w:w="5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8"/>
              </w:rPr>
              <w:t>目标节点剩余资源请求比例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8"/>
              </w:rPr>
              <w:t>动作a_t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8"/>
              </w:rPr>
              <w:t>A_t + F_t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8"/>
              </w:rPr>
              <w:t>5</w:t>
            </w:r>
          </w:p>
        </w:tc>
      </w:tr>
    </w:tbl>
    <w:p>
      <w:pPr>
        <w:spacing w:after="0"/>
      </w:pP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ALG-01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通用状态维度为2K+6，动作维度为K+2；K表示模型支持的最大边缘槽位数。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ALG-02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离线节点槽位保留但CR和R设为0；能力不匹配节点通过掩码排除，并对剩余概率重新归一化。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ALG-03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requested_cpu=available_cpu×F_t；allocated_cpu=max(min_cpu, requested_cpu)，且不得超过执行区间可用容量。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ALG-04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每步奖励保持为当前最大完成时刻的负值，不增加准确率、告警等级、费用或能耗权重。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ALG-05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每个已执行子任务形成一条(s,a,r,s_next,done)经验；T10完成时done=True。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ALG-06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PER继续以TD误差生成优先级，LD-Noise在完整训练周期内线性衰减。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ALG-07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检查点必须记录schema_version、K、state_dim、action_dim和模型来源；结构不兼容时拒绝加载。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ALG-08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训练、验证和测试随机种子分离，正式算法比较至少运行5个独立训练种子。</w:t>
      </w:r>
    </w:p>
    <w:p>
      <w:pPr>
        <w:pStyle w:val="Heading1"/>
      </w:pPr>
      <w:r>
        <w:t>10. 复核、升级与弱网规则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REV-01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初检置信度低于配置阈值时触发第二边缘节点复核。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REV-02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异常分数位于正常/异常边界区间时触发复核。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REV-03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至少两项特征规则相互矛盾时触发复核。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REV-04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严重异常必须提高业务优先级并触发高优先级复核；没有可用复核节点时直接申请云端。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REV-05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初检与复核类别不同、复核后仍低置信度或数据质量不足时必须升级云端。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REV-06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云端不可用时必须形成PROVISIONAL临时结论，保存待升级数据；恢复后补传并更新为FINAL。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REV-07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置信度阈值、边界区间、严重异常阈值和矛盾票数必须配置化，不得散落硬编码。</w:t>
      </w:r>
    </w:p>
    <w:p>
      <w:pPr>
        <w:pStyle w:val="Heading2"/>
      </w:pPr>
      <w:r>
        <w:t>10.1 任务状态机</w:t>
      </w:r>
    </w:p>
    <w:p>
      <w:pPr>
        <w:keepLines/>
        <w:spacing w:before="80" w:after="160"/>
        <w:ind w:left="288" w:right="288"/>
        <w:shd w:fill="F2F4F7"/>
      </w:pPr>
      <w:r>
        <w:rPr>
          <w:rFonts w:ascii="Consolas" w:hAnsi="Consolas" w:eastAsia="Microsoft YaHei"/>
          <w:sz w:val="18"/>
        </w:rPr>
        <w:t>COLLECTING -&gt; READY -&gt; SCHEDULED -&gt; RUNNING</w:t>
        <w:br/>
        <w:t>RUNNING -&gt; REVIEW_REQUIRED -&gt; REVIEWING</w:t>
        <w:br/>
        <w:t>REVIEWING -&gt; CLOUD_REQUIRED -&gt; CLOUD_RUNNING</w:t>
        <w:br/>
        <w:t>RUNNING/REVIEWING/CLOUD_RUNNING -&gt; FINALIZED</w:t>
        <w:br/>
        <w:t>任意执行状态 -&gt; RETRYING -&gt; FAILED</w:t>
        <w:br/>
        <w:t>云端不可达 -&gt; PROVISIONAL -&gt; PENDING_SYNC -&gt; FINALIZED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STA-01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每次状态变化必须保存时间、原因、来源组件、trace_id和版本号。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STA-02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非法状态跳转必须被拒绝并进入审计日志，不得静默修正。</w:t>
      </w:r>
    </w:p>
    <w:p>
      <w:pPr>
        <w:pStyle w:val="Heading1"/>
      </w:pPr>
      <w:r>
        <w:t>11. 数据存储与恢复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1800"/>
        <w:gridCol w:w="5360"/>
      </w:tblGrid>
      <w:tr>
        <w:trPr>
          <w:cantSplit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存储对象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所有者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sender_spool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发送器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断网待发批次、确认状态和补传顺序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messages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调度器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消息去重、序号、重试和应用级确认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windows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调度器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200 ms窗口、质量标志和载荷引用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tasks/subtasks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调度器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总任务与T1—T10状态、依赖和时延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node_status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调度器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心跳、资源、能力和模型版本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dispatches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调度器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Actor动作、掩码、请求及实际资源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diagnoses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调度器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初检、复核、云端和最终结果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transitions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调度器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PER经验、TD误差和优先级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dead_letters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调度器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超过重试次数或格式无效的消息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model_registry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调度器/云端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模型结构、版本、来源和校验值</w:t>
            </w:r>
          </w:p>
        </w:tc>
      </w:tr>
    </w:tbl>
    <w:p>
      <w:pPr>
        <w:spacing w:after="0"/>
      </w:pP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DAT-01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第一版使用SQLite；组件重启后必须从持久化状态恢复未完成任务，不得只依赖内存。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DAT-02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原始窗口默认保留24小时，特征、诊断、审计和训练经验默认保留30天，均允许配置。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DAT-03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日志默认只记录原始数据引用、摘要和校验值，不输出完整敏感振动数组。</w:t>
      </w:r>
    </w:p>
    <w:p>
      <w:pPr>
        <w:pStyle w:val="Heading1"/>
      </w:pPr>
      <w:r>
        <w:t>12. 调度器Web控制台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UI-01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显示当前任务位于采集、调度、执行、复核、升级或反馈阶段。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UI-02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显示每台设备50 ms批次、200 ms窗口、丢包、乱序和补传状态。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UI-03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显示T1—T10 DAG、List_seq、前驱关系以及门控任务的EXECUTED或SKIPPED状态。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UI-04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显示Actor节点概率、动作掩码、目标节点、请求资源和实际资源。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UI-05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显示初检、复核、冲突原因、云端升级及FINAL/PROVISIONAL结论。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UI-06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显示传输、等待、执行时延、makespan、节点利用率和队列。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UI-07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显示PER缓冲区、TD误差、优先级、LD-Noise和训练曲线。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UI-08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显示Broker断线、节点离线、重试、死信和待补传告警。</w:t>
      </w:r>
    </w:p>
    <w:p>
      <w:pPr>
        <w:pStyle w:val="Heading1"/>
      </w:pPr>
      <w:r>
        <w:t>13. 非功能与安全要求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NFR-01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Broker地址、节点能力、阈值、模型路径、保留时间、随机种子和运行模式全部配置化。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NFR-02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每条消息、派发、诊断和状态变化必须共享trace_id，支持端到端追踪。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NFR-03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相同task_id只能形成一个有效最终结果；重复请求必须返回已有结果或幂等确认。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NFR-04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仿真必须支持固定随机种子，正常、低置信度、冲突、严重异常和断网场景可重复。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NFR-05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第一版默认用于本机或受控局域网；生产部署前必须增加TLS、账号、ACL、密钥轮换和审计。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NFR-06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模型、配置、数据库和实验结果必须记录生成时间、版本、来源和SHA-256。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NFR-07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单设备20批次/秒连续运行10分钟时，不得出现未解释消息丢失、重复终态或任务泄漏。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NFR-08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正常基线场景下，完整诊断任务应在配置的5秒全局容忍时延内完成；该值不代表工业认证指标。</w:t>
      </w:r>
    </w:p>
    <w:p>
      <w:pPr>
        <w:pStyle w:val="Heading1"/>
      </w:pPr>
      <w:r>
        <w:t>14. 测试与验收矩阵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1700"/>
        <w:gridCol w:w="3000"/>
        <w:gridCol w:w="3760"/>
      </w:tblGrid>
      <w:tr>
        <w:trPr>
          <w:cantSplit/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编号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场景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输入/故障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预期结果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E2E-01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正常路径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高置信度、数据完整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初检后直接T10，仅一个FINAL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E2E-02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低置信度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初检置信度低</w:t>
            </w:r>
          </w:p>
        </w:tc>
        <w:tc>
          <w:tcPr>
            <w:tcW w:type="dxa" w:w="3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第二边缘复核，一致后结束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E2E-03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结果冲突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初检与复核类别不同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必须升级云端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E2E-04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严重异常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严重异常分数</w:t>
            </w:r>
          </w:p>
        </w:tc>
        <w:tc>
          <w:tcPr>
            <w:tcW w:type="dxa" w:w="3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高优先级复核；无节点则云端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E2E-05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边缘离线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一个节点心跳超时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动作掩码排除并改选节点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E2E-06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云端断线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升级时云端不可达</w:t>
            </w:r>
          </w:p>
        </w:tc>
        <w:tc>
          <w:tcPr>
            <w:tcW w:type="dxa" w:w="3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PROVISIONAL、缓存、恢复后FINAL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E2E-07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消息重复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QoS 1重复投递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不重复执行、不重复终态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E2E-08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乱序/丢失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缺序号或乱序批次</w:t>
            </w:r>
          </w:p>
        </w:tc>
        <w:tc>
          <w:tcPr>
            <w:tcW w:type="dxa" w:w="3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窗口质量异常，不静默正常诊断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E2E-09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Broker重启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运行中重启Broker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待发队列和任务可恢复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E2E-10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资源不足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目标节点CPU不足</w:t>
            </w:r>
          </w:p>
        </w:tc>
        <w:tc>
          <w:tcPr>
            <w:tcW w:type="dxa" w:w="3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等待或换节点，不超配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E2E-11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DAG正确性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正常及门控分支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前驱先于后继，未触发为SKIPPED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E2E-12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学习有效性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缓冲区达到Batch Size</w:t>
            </w:r>
          </w:p>
        </w:tc>
        <w:tc>
          <w:tcPr>
            <w:tcW w:type="dxa" w:w="3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Actor参数变化，PER优先级有限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E2E-13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结构检查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配置、API、状态和前端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不存在中间层运行节点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E2E-14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持续运行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20批次/秒，10分钟</w:t>
            </w:r>
          </w:p>
        </w:tc>
        <w:tc>
          <w:tcPr>
            <w:tcW w:type="dxa" w:w="3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6"/>
              </w:rPr>
              <w:t>无未解释丢失、重复终态和泄漏</w:t>
            </w:r>
          </w:p>
        </w:tc>
      </w:tr>
    </w:tbl>
    <w:p>
      <w:pPr>
        <w:spacing w:after="0"/>
      </w:pP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TST-01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单元测试覆盖采样、批量、窗口、CRC、DAG、排序、掩码、资源约束、状态机、去重和模型接口。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TST-02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集成测试必须使用真实Broker和独立进程，不得只调用进程内函数模拟MQTT。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TST-03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端到端测试必须从发送器开始，以bearing/final主题和持久化终态作为完成证据。</w:t>
      </w:r>
    </w:p>
    <w:p>
      <w:pPr>
        <w:keepLines/>
        <w:spacing w:after="120"/>
      </w:pPr>
      <w:r>
        <w:rPr>
          <w:rFonts w:ascii="Calibri" w:hAnsi="Calibri" w:eastAsia="Microsoft YaHei"/>
          <w:b/>
          <w:i w:val="0"/>
          <w:color w:val="1F4D78"/>
          <w:sz w:val="22"/>
        </w:rPr>
        <w:t xml:space="preserve">TST-04 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Smoke测试只证明链路和输出结构，不得作为算法性能或诊断准确率结论。</w:t>
      </w:r>
    </w:p>
    <w:p>
      <w:pPr>
        <w:pStyle w:val="Heading1"/>
      </w:pPr>
      <w:r>
        <w:t>15. 建议代码结构</w:t>
      </w:r>
    </w:p>
    <w:p>
      <w:pPr>
        <w:keepLines/>
        <w:spacing w:before="80" w:after="160"/>
        <w:ind w:left="288" w:right="288"/>
        <w:shd w:fill="F2F4F7"/>
      </w:pPr>
      <w:r>
        <w:rPr>
          <w:rFonts w:ascii="Consolas" w:hAnsi="Consolas" w:eastAsia="Microsoft YaHei"/>
          <w:sz w:val="18"/>
        </w:rPr>
        <w:t>bearing_per_ddpg_system/</w:t>
        <w:br/>
        <w:t>|-- common/       # 消息模型、MQTT、配置、日志和校验</w:t>
        <w:br/>
        <w:t>|-- sender/       # 采集、微批量和断网缓存</w:t>
        <w:br/>
        <w:t>|-- scheduler/    # 窗口、DAG、PER-DDPG、复核、反馈和Web</w:t>
        <w:br/>
        <w:t>|-- edge/         # 预处理、特征、初检和本地自治</w:t>
        <w:br/>
        <w:t>|-- cloud/        # 冲突仲裁、深度诊断和历史</w:t>
        <w:br/>
        <w:t>|-- algorithm/    # Actor、Critic、PER、LD-Noise和Runner</w:t>
        <w:br/>
        <w:t>|-- configs/      # Broker、节点、阈值、模型和模式</w:t>
        <w:br/>
        <w:t>|-- tests/        # unit、integration和e2e</w:t>
        <w:br/>
        <w:t>|-- scripts/      # 启动、训练、故障注入和验收</w:t>
        <w:br/>
        <w:t>`-- output/       # 模型、数据库、日志和实验结果</w:t>
      </w:r>
    </w:p>
    <w:p>
      <w:pPr>
        <w:keepLines/>
        <w:spacing w:before="100" w:after="180"/>
        <w:ind w:left="115" w:right="115"/>
        <w:shd w:fill="E8EEF5"/>
        <w:pBdr>
          <w:left w:val="single" w:sz="18" w:space="6" w:color="1F4D78"/>
        </w:pBdr>
      </w:pPr>
      <w:r>
        <w:rPr>
          <w:rFonts w:ascii="Calibri" w:hAnsi="Calibri" w:eastAsia="Microsoft YaHei"/>
          <w:b/>
          <w:i w:val="0"/>
          <w:color w:val="1F4D78"/>
          <w:sz w:val="22"/>
        </w:rPr>
        <w:t>边界说明：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common、algorithm、configs、tests和scripts是共享库或工程目录，不是新的业务服务；系统仍然只有四类业务主体。</w:t>
      </w:r>
    </w:p>
    <w:p>
      <w:pPr>
        <w:pStyle w:val="Heading1"/>
      </w:pPr>
      <w:r>
        <w:t>16. 实施阶段与阶段完成条件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3660"/>
        <w:gridCol w:w="3600"/>
      </w:tblGrid>
      <w:tr>
        <w:trPr>
          <w:cantSplit/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阶段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主要工作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阶段完成条件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阶段1：接口冻结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冻结主题、字段、T1—T10、状态机和配置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契约测试通过，字段无歧义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阶段2：采集链路</w:t>
            </w:r>
          </w:p>
        </w:tc>
        <w:tc>
          <w:tcPr>
            <w:tcW w:type="dxa" w:w="3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实现采样、微批量、MQTT和待发队列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SND-01至SND-07及断线测试通过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阶段3：基础调度执行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窗口、DAG、List_seq和规则策略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正常路径从发送器运行到FINAL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阶段4：复核升级</w:t>
            </w:r>
          </w:p>
        </w:tc>
        <w:tc>
          <w:tcPr>
            <w:tcW w:type="dxa" w:w="3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第二边缘复核、冲突上云和弱网补传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E2E-02至E2E-06通过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阶段5：PER-DDPG适配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无中间层状态动作、掩码、资源和训练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维度、约束、PER和模型版本测试通过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阶段6：反馈与Web</w:t>
            </w:r>
          </w:p>
        </w:tc>
        <w:tc>
          <w:tcPr>
            <w:tcW w:type="dxa" w:w="3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经验持久化、训练曲线和全流程界面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六阶段、DAG、决策和异常可见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阶段7：故障验收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Broker、节点、网络、消息和资源故障注入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14项E2E场景全部通过</w:t>
            </w:r>
          </w:p>
        </w:tc>
      </w:tr>
    </w:tbl>
    <w:p>
      <w:pPr>
        <w:spacing w:after="0"/>
      </w:pPr>
    </w:p>
    <w:p>
      <w:pPr>
        <w:pStyle w:val="Heading1"/>
      </w:pPr>
      <w:r>
        <w:t>17. 难点、限制与不可承诺项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3900"/>
        <w:gridCol w:w="3360"/>
      </w:tblGrid>
      <w:tr>
        <w:trPr>
          <w:cantSplit/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事项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第一版处理方式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不能承诺的内容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4 ms采集周期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虚拟时钟保证点数和逻辑周期，墙钟模式尽力调度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Windows/Python工业硬实时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轴承诊断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可控仿真模型和可替换ModelAdapter</w:t>
            </w:r>
          </w:p>
        </w:tc>
        <w:tc>
          <w:tcPr>
            <w:tcW w:type="dxa" w:w="3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无真实数据时的工业准确率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CPU资源比例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逻辑预留、并发限制和时延模拟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精确分配物理GHz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MQTT可靠性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QoS 1、持久队列、应用ack和幂等去重</w:t>
            </w:r>
          </w:p>
        </w:tc>
        <w:tc>
          <w:tcPr>
            <w:tcW w:type="dxa" w:w="3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协议层严格Exactly Once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网络速率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按时间戳、字节数和故障注入估算有效速率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底层物理带宽精确测量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生产在线学习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仿真训练，生产推理默认冻结模型</w:t>
            </w:r>
          </w:p>
        </w:tc>
        <w:tc>
          <w:tcPr>
            <w:tcW w:type="dxa" w:w="3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未经验证的在线策略安全性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工业保护动作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只输出模拟告警和保护建议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直接驱动急停或PLC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动态扩容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固定3个边缘槽位，槽位内节点可离线恢复</w:t>
            </w:r>
          </w:p>
        </w:tc>
        <w:tc>
          <w:tcPr>
            <w:tcW w:type="dxa" w:w="3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202A35"/>
                <w:sz w:val="17"/>
              </w:rPr>
              <w:t>超过槽位数仍复用旧检查点</w:t>
            </w:r>
          </w:p>
        </w:tc>
      </w:tr>
    </w:tbl>
    <w:p>
      <w:pPr>
        <w:spacing w:after="0"/>
      </w:pPr>
    </w:p>
    <w:p>
      <w:pPr>
        <w:pStyle w:val="Heading1"/>
      </w:pPr>
      <w:r>
        <w:t>18. 最终完成定义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202A35"/>
          <w:sz w:val="22"/>
        </w:rPr>
        <w:t>四类业务主体能够以独立进程启动，并通过真实MQTT Broker通信。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202A35"/>
          <w:sz w:val="22"/>
        </w:rPr>
        <w:t>采集参数、窗口、T1—T10、List_seq和PER-DDPG状态动作全部符合本需求。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202A35"/>
          <w:sz w:val="22"/>
        </w:rPr>
        <w:t>正常、复核、升级、弱网和反馈路径均可从Web与持久化记录追踪。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202A35"/>
          <w:sz w:val="22"/>
        </w:rPr>
        <w:t>14项端到端场景、单元测试和真实Broker集成测试全部通过。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202A35"/>
          <w:sz w:val="22"/>
        </w:rPr>
        <w:t>系统不存在重复最终结果、未解释消息丢失、资源超配或非法状态跳转。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202A35"/>
          <w:sz w:val="22"/>
        </w:rPr>
        <w:t>模型、配置、数据库和实验输出具有版本、来源、时间和校验值。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202A35"/>
          <w:sz w:val="22"/>
        </w:rPr>
        <w:t>文档列出的困难项得到如实标注，不将仿真能力包装为工业认证能力。</w:t>
      </w:r>
    </w:p>
    <w:p>
      <w:pPr>
        <w:keepLines/>
        <w:spacing w:before="100" w:after="180"/>
        <w:ind w:left="115" w:right="115"/>
        <w:shd w:fill="E8EEF5"/>
        <w:pBdr>
          <w:left w:val="single" w:sz="18" w:space="6" w:color="1F4D78"/>
        </w:pBdr>
      </w:pPr>
      <w:r>
        <w:rPr>
          <w:rFonts w:ascii="Calibri" w:hAnsi="Calibri" w:eastAsia="Microsoft YaHei"/>
          <w:b/>
          <w:i w:val="0"/>
          <w:color w:val="1F4D78"/>
          <w:sz w:val="22"/>
        </w:rPr>
        <w:t>交付边界：</w:t>
      </w:r>
      <w:r>
        <w:rPr>
          <w:rFonts w:ascii="Calibri" w:hAnsi="Calibri" w:eastAsia="Microsoft YaHei"/>
          <w:b w:val="0"/>
          <w:i w:val="0"/>
          <w:color w:val="202A35"/>
          <w:sz w:val="22"/>
        </w:rPr>
        <w:t>本需求文档通过不等于系统代码已经实现。系统开发应按阶段1至阶段7逐步进行，每个阶段均以对应测试证据作为完成条件。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5D6670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D667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Microsoft YaHei"/>
        <w:b/>
        <w:i w:val="0"/>
        <w:color w:val="5D6670"/>
        <w:sz w:val="18"/>
      </w:rPr>
      <w:t>工业轴承滚动检测场景 | 代码实现需求方案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 w:eastAsia="Microsoft YaHei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工业轴承滚动检测场景PER-DDPG代码实现需求方案</dc:title>
  <dc:subject>采集、调度、执行、复核、升级、反馈完整工业流程的软件需求</dc:subject>
  <dc:creator>项目需求基线</dc:creator>
  <cp:keywords>工业轴承, PER-DDPG, MQTT, DAG, 边缘计算, 软件需求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