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pPr>
      <w:r>
        <w:rPr>
          <w:rFonts w:ascii="Calibri" w:hAnsi="Calibri" w:eastAsia="Microsoft YaHei"/>
          <w:b/>
          <w:i w:val="0"/>
          <w:color w:val="2E74B5"/>
          <w:sz w:val="21"/>
        </w:rPr>
        <w:t>技术分析与实施方案</w:t>
      </w:r>
    </w:p>
    <w:p>
      <w:pPr>
        <w:keepNext/>
        <w:spacing w:before="0" w:after="100"/>
      </w:pPr>
      <w:r>
        <w:rPr>
          <w:rFonts w:ascii="Calibri" w:hAnsi="Calibri" w:eastAsia="Microsoft YaHei"/>
          <w:b/>
          <w:i w:val="0"/>
          <w:color w:val="202A35"/>
          <w:sz w:val="46"/>
        </w:rPr>
        <w:t>工业轴承检测场景下的 PER-DDPG</w:t>
        <w:br/>
        <w:t>任务调度与资源分配方案</w:t>
      </w:r>
    </w:p>
    <w:p>
      <w:pPr>
        <w:spacing w:after="280"/>
      </w:pPr>
      <w:r>
        <w:rPr>
          <w:rFonts w:ascii="Calibri" w:hAnsi="Calibri" w:eastAsia="Microsoft YaHei"/>
          <w:b w:val="0"/>
          <w:i w:val="0"/>
          <w:color w:val="5D6670"/>
          <w:sz w:val="25"/>
        </w:rPr>
        <w:t>基于两份会议材料与论文第 3 章算法思想的无中间计算层场景整合</w:t>
      </w:r>
    </w:p>
    <w:p>
      <w:pPr>
        <w:spacing w:after="40"/>
      </w:pPr>
      <w:r>
        <w:rPr>
          <w:rFonts w:ascii="Calibri" w:hAnsi="Calibri" w:eastAsia="Microsoft YaHei"/>
          <w:b/>
          <w:i w:val="0"/>
          <w:color w:val="202A35"/>
          <w:sz w:val="22"/>
        </w:rPr>
        <w:t>分析对象：</w:t>
      </w:r>
      <w:r>
        <w:rPr>
          <w:rFonts w:ascii="Calibri" w:hAnsi="Calibri" w:eastAsia="Microsoft YaHei"/>
          <w:b w:val="0"/>
          <w:i w:val="0"/>
          <w:color w:val="202A35"/>
          <w:sz w:val="22"/>
        </w:rPr>
        <w:t>《关于开会时提出的问题》《2026.7.5(2)》</w:t>
      </w:r>
    </w:p>
    <w:p>
      <w:pPr>
        <w:spacing w:after="40"/>
      </w:pPr>
      <w:r>
        <w:rPr>
          <w:rFonts w:ascii="Calibri" w:hAnsi="Calibri" w:eastAsia="Microsoft YaHei"/>
          <w:b/>
          <w:i w:val="0"/>
          <w:color w:val="202A35"/>
          <w:sz w:val="22"/>
        </w:rPr>
        <w:t>应用对象：</w:t>
      </w:r>
      <w:r>
        <w:rPr>
          <w:rFonts w:ascii="Calibri" w:hAnsi="Calibri" w:eastAsia="Microsoft YaHei"/>
          <w:b w:val="0"/>
          <w:i w:val="0"/>
          <w:color w:val="202A35"/>
          <w:sz w:val="22"/>
        </w:rPr>
        <w:t>电机或旋转机械中的滚动轴承状态监测</w:t>
      </w:r>
    </w:p>
    <w:p>
      <w:pPr>
        <w:spacing w:after="40"/>
      </w:pPr>
      <w:r>
        <w:rPr>
          <w:rFonts w:ascii="Calibri" w:hAnsi="Calibri" w:eastAsia="Microsoft YaHei"/>
          <w:b/>
          <w:i w:val="0"/>
          <w:color w:val="202A35"/>
          <w:sz w:val="22"/>
        </w:rPr>
        <w:t>系统结构：</w:t>
      </w:r>
      <w:r>
        <w:rPr>
          <w:rFonts w:ascii="Calibri" w:hAnsi="Calibri" w:eastAsia="Microsoft YaHei"/>
          <w:b w:val="0"/>
          <w:i w:val="0"/>
          <w:color w:val="202A35"/>
          <w:sz w:val="22"/>
        </w:rPr>
        <w:t>采集发送端—MQTT/调度器—边缘节点群—按需云端</w:t>
      </w:r>
    </w:p>
    <w:p>
      <w:pPr>
        <w:spacing w:after="40"/>
      </w:pPr>
      <w:r>
        <w:rPr>
          <w:rFonts w:ascii="Calibri" w:hAnsi="Calibri" w:eastAsia="Microsoft YaHei"/>
          <w:b/>
          <w:i w:val="0"/>
          <w:color w:val="202A35"/>
          <w:sz w:val="22"/>
        </w:rPr>
        <w:t>算法边界：</w:t>
      </w:r>
      <w:r>
        <w:rPr>
          <w:rFonts w:ascii="Calibri" w:hAnsi="Calibri" w:eastAsia="Microsoft YaHei"/>
          <w:b w:val="0"/>
          <w:i w:val="0"/>
          <w:color w:val="202A35"/>
          <w:sz w:val="22"/>
        </w:rPr>
        <w:t>保留 DAG 排序 + PER-DDPG 卸载与连续资源分配思想</w:t>
      </w:r>
    </w:p>
    <w:p>
      <w:pPr>
        <w:spacing w:after="40"/>
      </w:pPr>
      <w:r>
        <w:rPr>
          <w:rFonts w:ascii="Calibri" w:hAnsi="Calibri" w:eastAsia="Microsoft YaHei"/>
          <w:b/>
          <w:i w:val="0"/>
          <w:color w:val="202A35"/>
          <w:sz w:val="22"/>
        </w:rPr>
        <w:t>文档日期：</w:t>
      </w:r>
      <w:r>
        <w:rPr>
          <w:rFonts w:ascii="Calibri" w:hAnsi="Calibri" w:eastAsia="Microsoft YaHei"/>
          <w:b w:val="0"/>
          <w:i w:val="0"/>
          <w:color w:val="202A35"/>
          <w:sz w:val="22"/>
        </w:rPr>
        <w:t>2026 年 7 月 15 日</w:t>
      </w:r>
    </w:p>
    <w:p>
      <w:pPr>
        <w:spacing w:before="160" w:after="240"/>
        <w:pBdr>
          <w:bottom w:val="single" w:sz="12" w:space="1" w:color="2E74B5"/>
        </w:pBdr>
      </w:pPr>
    </w:p>
    <w:p>
      <w:pPr>
        <w:pStyle w:val="Heading1"/>
      </w:pPr>
      <w:r>
        <w:t>1. 执行摘要</w:t>
      </w:r>
    </w:p>
    <w:p>
      <w:pPr>
        <w:keepLines/>
        <w:spacing w:before="100" w:after="180"/>
        <w:ind w:left="115" w:right="115"/>
        <w:shd w:fill="E8EEF5"/>
        <w:pBdr>
          <w:left w:val="single" w:sz="18" w:space="6" w:color="1F4D78"/>
        </w:pBdr>
      </w:pPr>
      <w:r>
        <w:rPr>
          <w:rFonts w:ascii="Calibri" w:hAnsi="Calibri" w:eastAsia="Microsoft YaHei"/>
          <w:b/>
          <w:i w:val="0"/>
          <w:color w:val="1F4D78"/>
          <w:sz w:val="22"/>
        </w:rPr>
        <w:t>核心结论：</w:t>
      </w:r>
      <w:r>
        <w:rPr>
          <w:rFonts w:ascii="Calibri" w:hAnsi="Calibri" w:eastAsia="Microsoft YaHei"/>
          <w:b w:val="0"/>
          <w:i w:val="0"/>
          <w:color w:val="202A35"/>
          <w:sz w:val="22"/>
        </w:rPr>
        <w:t>两份材料并不冲突：第一份补充了网络、MQTT、复核和弱网自治机制，第二份给出了轴承数据采集与接口参数。二者合并后，可将一次轴承状态分析建模为具有依赖关系的 DAG 任务，由算法 3.1 生成执行顺序，再由适配后的 PER-DDPG 为每个就绪子任务选择边缘节点或云端，并决定连续 CPU 资源比例。</w:t>
      </w:r>
    </w:p>
    <w:p>
      <w:pPr>
        <w:keepLines w:val="0"/>
      </w:pPr>
      <w:r>
        <w:rPr>
          <w:rFonts w:ascii="Calibri" w:hAnsi="Calibri" w:eastAsia="Microsoft YaHei"/>
          <w:b w:val="0"/>
          <w:i w:val="0"/>
          <w:color w:val="202A35"/>
          <w:sz w:val="22"/>
        </w:rPr>
        <w:t>最终工业流程不是“采集后全部上云”，也不是“第一轮直接把所有任务一次性分好”。系统以 50 ms 微批量为基本输入，以 200 ms 滑动窗口形成诊断任务；调度器在每个任务步重新读取节点剩余资源和通信状态，执行当前策略，并把完成时间反馈写入经验池。经过多回合训练后，策略才逐步形成稳定的状态—动作映射。</w:t>
      </w:r>
    </w:p>
    <w:p>
      <w:pPr>
        <w:keepLines w:val="0"/>
      </w:pPr>
      <w:r>
        <w:rPr>
          <w:rFonts w:ascii="Calibri" w:hAnsi="Calibri" w:eastAsia="Microsoft YaHei"/>
          <w:b w:val="0"/>
          <w:i w:val="0"/>
          <w:color w:val="202A35"/>
          <w:sz w:val="22"/>
        </w:rPr>
        <w:t>当前方案明确去除论文原始网络模型中的中间计算层。工程侧只保留多个异构边缘节点和一个云端：常规数据优先在边缘完成，低置信度、指标矛盾、严重异常或复核冲突时才触发第二边缘节点或云端深度分析。这样既保留论文“拓扑排序 + 动态卸载 + 连续资源分配”的核心思想，又与轴承检测的实时性、弱网自治和安全需求一致。</w:t>
      </w:r>
    </w:p>
    <w:p>
      <w:pPr>
        <w:pStyle w:val="Heading1"/>
      </w:pPr>
      <w:r>
        <w:t>2. 两份文档的内容分析与联系</w:t>
      </w:r>
    </w:p>
    <w:p>
      <w:pPr>
        <w:pStyle w:val="Heading2"/>
      </w:pPr>
      <w:r>
        <w:t>2.1 《2026.7.5(2)》：定义数据入口与时间尺度</w:t>
      </w:r>
    </w:p>
    <w:p>
      <w:pPr>
        <w:keepLines w:val="0"/>
      </w:pPr>
      <w:r>
        <w:rPr>
          <w:rFonts w:ascii="Calibri" w:hAnsi="Calibri" w:eastAsia="Microsoft YaHei"/>
          <w:b w:val="0"/>
          <w:i w:val="0"/>
          <w:color w:val="202A35"/>
          <w:sz w:val="22"/>
        </w:rPr>
        <w:t>该文档解决的是“检测数据如何产生、如何打包、边缘节点拿到什么”的问题。场景被限定为滚动轴承状态监测，采集终端获取振动、电流、温度、转速和负载；发送器只封装原始或最新标量，不做故障判断；边缘节点承担缓存、预处理、特征提取和轻量模型推理。</w:t>
      </w:r>
    </w:p>
    <w:p>
      <w:pPr>
        <w:keepLines w:val="0"/>
      </w:pPr>
      <w:r>
        <w:rPr>
          <w:rFonts w:ascii="Calibri" w:hAnsi="Calibri" w:eastAsia="Microsoft YaHei"/>
          <w:b w:val="0"/>
          <w:i w:val="0"/>
          <w:color w:val="202A35"/>
          <w:sz w:val="22"/>
        </w:rPr>
        <w:t>文档已经给出较完整的时间链路：振动以 16 kHz 连续采样，每 4 ms 写入 64 个点；发送器每 50 ms 发送 800 点振动微批量，并附加最新电流、温度、转速和负载；边缘节点维护 200 ms、3200 点环形缓存，并每 50 ms 对最近窗口执行一次分析。这些参数构成后续 DAG 的任务到达周期、数据量和最早就绪时间。</w:t>
      </w:r>
    </w:p>
    <w:p>
      <w:pPr>
        <w:keepLines w:val="0"/>
      </w:pPr>
      <w:r>
        <w:rPr>
          <w:rFonts w:ascii="Calibri" w:hAnsi="Calibri" w:eastAsia="Microsoft YaHei"/>
          <w:b w:val="0"/>
          <w:i w:val="0"/>
          <w:color w:val="202A35"/>
          <w:sz w:val="22"/>
        </w:rPr>
        <w:t>它尚未解决的主要是：接口对新传感器和图像数据不够可扩展；没有定义多个边缘节点如何选择；没有明确弱网下发送降级、重复检测和上云条件；也没有给出资源分配和调度反馈闭环。</w:t>
      </w:r>
    </w:p>
    <w:p>
      <w:pPr>
        <w:pStyle w:val="Heading2"/>
      </w:pPr>
      <w:r>
        <w:t>2.2 《关于开会时提出的问题》：定义网络、路由和复核闭环</w:t>
      </w:r>
    </w:p>
    <w:p>
      <w:pPr>
        <w:keepLines w:val="0"/>
      </w:pPr>
      <w:r>
        <w:rPr>
          <w:rFonts w:ascii="Calibri" w:hAnsi="Calibri" w:eastAsia="Microsoft YaHei"/>
          <w:b w:val="0"/>
          <w:i w:val="0"/>
          <w:color w:val="202A35"/>
          <w:sz w:val="22"/>
        </w:rPr>
        <w:t>该文档将系统从单一接口扩展为可调度的工业物联网流程。它区分采集端到边缘的第一段通信和边缘到云端的第二段通信，指出网络状态不仅影响传输时延和数据完整性，还影响边缘是否上云、上传原始数据还是只上传 RMS、Peak 等关键特征。</w:t>
      </w:r>
    </w:p>
    <w:p>
      <w:pPr>
        <w:keepLines w:val="0"/>
      </w:pPr>
      <w:r>
        <w:rPr>
          <w:rFonts w:ascii="Calibri" w:hAnsi="Calibri" w:eastAsia="Microsoft YaHei"/>
          <w:b w:val="0"/>
          <w:i w:val="0"/>
          <w:color w:val="202A35"/>
          <w:sz w:val="22"/>
        </w:rPr>
        <w:t>文档在 HTTP、调度器直发和 MQTT 发布订阅三种方式中，推荐“MQTT Broker + 调度器控制路由”。发送器只负责采集和发布，调度器根据任务、节点和网络状态选择目标主题，边缘节点只处理分配给自己的任务。新增节点时无需修改发送器，职责边界更清楚。</w:t>
      </w:r>
    </w:p>
    <w:p>
      <w:pPr>
        <w:keepLines w:val="0"/>
      </w:pPr>
      <w:r>
        <w:rPr>
          <w:rFonts w:ascii="Calibri" w:hAnsi="Calibri" w:eastAsia="Microsoft YaHei"/>
          <w:b w:val="0"/>
          <w:i w:val="0"/>
          <w:color w:val="202A35"/>
          <w:sz w:val="22"/>
        </w:rPr>
        <w:t>它还提出两级判定：先选择一个合适的边缘节点初检；若出现低置信度、正常/异常边界、指标矛盾或严重异常，再调度另一个边缘节点复核；复核结果冲突时上传云端。该机制把“多个节点重复判断”从常态广播改成条件触发，降低通信和计算浪费。</w:t>
      </w:r>
    </w:p>
    <w:p>
      <w:pPr>
        <w:pStyle w:val="Heading2"/>
      </w:pPr>
      <w:r>
        <w:t>2.3 两份文档的互补关系</w:t>
      </w:r>
    </w:p>
    <w:tbl>
      <w:tblPr>
        <w:tblStyle w:val="TableGrid"/>
        <w:tblW w:type="dxa" w:w="9360"/>
        <w:tblLayout w:type="fixed"/>
        <w:tblLook w:firstColumn="1" w:firstRow="1" w:lastColumn="0" w:lastRow="0" w:noHBand="0" w:noVBand="1" w:val="04A0"/>
        <w:jc w:val="left"/>
        <w:tblInd w:w="120" w:type="dxa"/>
      </w:tblPr>
      <w:tblGrid>
        <w:gridCol w:w="1200"/>
        <w:gridCol w:w="2400"/>
        <w:gridCol w:w="2700"/>
        <w:gridCol w:w="3060"/>
      </w:tblGrid>
      <w:tr>
        <w:trPr>
          <w:cantSplit/>
          <w:tblHeader w:val="true"/>
          <w:cantSplit/>
        </w:trPr>
        <w:tc>
          <w:tcPr>
            <w:tcW w:type="dxa" w:w="1200"/>
            <w:tcMar>
              <w:top w:w="80" w:type="dxa"/>
              <w:start w:w="120" w:type="dxa"/>
              <w:bottom w:w="80" w:type="dxa"/>
              <w:end w:w="120" w:type="dxa"/>
            </w:tcMar>
            <w:vAlign w:val="center"/>
            <w:shd w:fill="F2F4F7"/>
          </w:tcPr>
          <w:p>
            <w:pPr>
              <w:spacing w:after="0"/>
            </w:pPr>
            <w:r>
              <w:rPr>
                <w:rFonts w:ascii="Calibri" w:hAnsi="Calibri" w:eastAsia="Microsoft YaHei"/>
                <w:b/>
                <w:i w:val="0"/>
                <w:color w:val="1F4D78"/>
                <w:sz w:val="18"/>
              </w:rPr>
              <w:t>维度</w:t>
            </w:r>
          </w:p>
        </w:tc>
        <w:tc>
          <w:tcPr>
            <w:tcW w:type="dxa" w:w="2400"/>
            <w:tcMar>
              <w:top w:w="80" w:type="dxa"/>
              <w:start w:w="120" w:type="dxa"/>
              <w:bottom w:w="80" w:type="dxa"/>
              <w:end w:w="120" w:type="dxa"/>
            </w:tcMar>
            <w:vAlign w:val="center"/>
            <w:shd w:fill="F2F4F7"/>
          </w:tcPr>
          <w:p>
            <w:pPr>
              <w:spacing w:after="0"/>
            </w:pPr>
            <w:r>
              <w:rPr>
                <w:rFonts w:ascii="Calibri" w:hAnsi="Calibri" w:eastAsia="Microsoft YaHei"/>
                <w:b/>
                <w:i w:val="0"/>
                <w:color w:val="1F4D78"/>
                <w:sz w:val="18"/>
              </w:rPr>
              <w:t>《2026.7.5(2)》</w:t>
            </w:r>
          </w:p>
        </w:tc>
        <w:tc>
          <w:tcPr>
            <w:tcW w:type="dxa" w:w="2700"/>
            <w:tcMar>
              <w:top w:w="80" w:type="dxa"/>
              <w:start w:w="120" w:type="dxa"/>
              <w:bottom w:w="80" w:type="dxa"/>
              <w:end w:w="120" w:type="dxa"/>
            </w:tcMar>
            <w:vAlign w:val="center"/>
            <w:shd w:fill="F2F4F7"/>
          </w:tcPr>
          <w:p>
            <w:pPr>
              <w:spacing w:after="0"/>
            </w:pPr>
            <w:r>
              <w:rPr>
                <w:rFonts w:ascii="Calibri" w:hAnsi="Calibri" w:eastAsia="Microsoft YaHei"/>
                <w:b/>
                <w:i w:val="0"/>
                <w:color w:val="1F4D78"/>
                <w:sz w:val="18"/>
              </w:rPr>
              <w:t>《关于开会时提出的问题》</w:t>
            </w:r>
          </w:p>
        </w:tc>
        <w:tc>
          <w:tcPr>
            <w:tcW w:type="dxa" w:w="3060"/>
            <w:tcMar>
              <w:top w:w="80" w:type="dxa"/>
              <w:start w:w="120" w:type="dxa"/>
              <w:bottom w:w="80" w:type="dxa"/>
              <w:end w:w="120" w:type="dxa"/>
            </w:tcMar>
            <w:vAlign w:val="center"/>
            <w:shd w:fill="F2F4F7"/>
          </w:tcPr>
          <w:p>
            <w:pPr>
              <w:spacing w:after="0"/>
            </w:pPr>
            <w:r>
              <w:rPr>
                <w:rFonts w:ascii="Calibri" w:hAnsi="Calibri" w:eastAsia="Microsoft YaHei"/>
                <w:b/>
                <w:i w:val="0"/>
                <w:color w:val="1F4D78"/>
                <w:sz w:val="18"/>
              </w:rPr>
              <w:t>合并后的作用</w:t>
            </w:r>
          </w:p>
        </w:tc>
      </w:tr>
      <w:tr>
        <w:trPr>
          <w:cantSplit/>
        </w:trPr>
        <w:tc>
          <w:tcPr>
            <w:tcW w:type="dxa" w:w="1200"/>
            <w:tcMar>
              <w:top w:w="80" w:type="dxa"/>
              <w:start w:w="120" w:type="dxa"/>
              <w:bottom w:w="80" w:type="dxa"/>
              <w:end w:w="120" w:type="dxa"/>
            </w:tcMar>
            <w:vAlign w:val="center"/>
          </w:tcPr>
          <w:p>
            <w:pPr>
              <w:spacing w:after="0" w:line="252" w:lineRule="auto"/>
            </w:pPr>
            <w:r>
              <w:rPr>
                <w:rFonts w:ascii="Calibri" w:hAnsi="Calibri" w:eastAsia="Microsoft YaHei"/>
                <w:b w:val="0"/>
                <w:i w:val="0"/>
                <w:color w:val="202A35"/>
                <w:sz w:val="18"/>
              </w:rPr>
              <w:t>对象</w:t>
            </w:r>
          </w:p>
        </w:tc>
        <w:tc>
          <w:tcPr>
            <w:tcW w:type="dxa" w:w="2400"/>
            <w:tcMar>
              <w:top w:w="80" w:type="dxa"/>
              <w:start w:w="120" w:type="dxa"/>
              <w:bottom w:w="80" w:type="dxa"/>
              <w:end w:w="120" w:type="dxa"/>
            </w:tcMar>
            <w:vAlign w:val="center"/>
          </w:tcPr>
          <w:p>
            <w:pPr>
              <w:spacing w:after="0" w:line="252" w:lineRule="auto"/>
            </w:pPr>
            <w:r>
              <w:rPr>
                <w:rFonts w:ascii="Calibri" w:hAnsi="Calibri" w:eastAsia="Microsoft YaHei"/>
                <w:b w:val="0"/>
                <w:i w:val="0"/>
                <w:color w:val="202A35"/>
                <w:sz w:val="18"/>
              </w:rPr>
              <w:t>轴承多传感数据</w:t>
            </w:r>
          </w:p>
        </w:tc>
        <w:tc>
          <w:tcPr>
            <w:tcW w:type="dxa" w:w="2700"/>
            <w:tcMar>
              <w:top w:w="80" w:type="dxa"/>
              <w:start w:w="120" w:type="dxa"/>
              <w:bottom w:w="80" w:type="dxa"/>
              <w:end w:w="120" w:type="dxa"/>
            </w:tcMar>
            <w:vAlign w:val="center"/>
          </w:tcPr>
          <w:p>
            <w:pPr>
              <w:spacing w:after="0" w:line="252" w:lineRule="auto"/>
            </w:pPr>
            <w:r>
              <w:rPr>
                <w:rFonts w:ascii="Calibri" w:hAnsi="Calibri" w:eastAsia="Microsoft YaHei"/>
                <w:b w:val="0"/>
                <w:i w:val="0"/>
                <w:color w:val="202A35"/>
                <w:sz w:val="18"/>
              </w:rPr>
              <w:t>网络与多节点调度</w:t>
            </w:r>
          </w:p>
        </w:tc>
        <w:tc>
          <w:tcPr>
            <w:tcW w:type="dxa" w:w="3060"/>
            <w:tcMar>
              <w:top w:w="80" w:type="dxa"/>
              <w:start w:w="120" w:type="dxa"/>
              <w:bottom w:w="80" w:type="dxa"/>
              <w:end w:w="120" w:type="dxa"/>
            </w:tcMar>
            <w:vAlign w:val="center"/>
          </w:tcPr>
          <w:p>
            <w:pPr>
              <w:spacing w:after="0" w:line="252" w:lineRule="auto"/>
            </w:pPr>
            <w:r>
              <w:rPr>
                <w:rFonts w:ascii="Calibri" w:hAnsi="Calibri" w:eastAsia="Microsoft YaHei"/>
                <w:b w:val="0"/>
                <w:i w:val="0"/>
                <w:color w:val="202A35"/>
                <w:sz w:val="18"/>
              </w:rPr>
              <w:t>形成具体可运行的轴承检测系统</w:t>
            </w:r>
          </w:p>
        </w:tc>
      </w:tr>
      <w:tr>
        <w:trPr>
          <w:cantSplit/>
        </w:trPr>
        <w:tc>
          <w:tcPr>
            <w:tcW w:type="dxa" w:w="1200"/>
            <w:shd w:fill="FAFBFC"/>
            <w:tcMar>
              <w:top w:w="80" w:type="dxa"/>
              <w:start w:w="120" w:type="dxa"/>
              <w:bottom w:w="80" w:type="dxa"/>
              <w:end w:w="120" w:type="dxa"/>
            </w:tcMar>
            <w:vAlign w:val="center"/>
          </w:tcPr>
          <w:p>
            <w:pPr>
              <w:spacing w:after="0" w:line="252" w:lineRule="auto"/>
            </w:pPr>
            <w:r>
              <w:rPr>
                <w:rFonts w:ascii="Calibri" w:hAnsi="Calibri" w:eastAsia="Microsoft YaHei"/>
                <w:b w:val="0"/>
                <w:i w:val="0"/>
                <w:color w:val="202A35"/>
                <w:sz w:val="18"/>
              </w:rPr>
              <w:t>时间尺度</w:t>
            </w:r>
          </w:p>
        </w:tc>
        <w:tc>
          <w:tcPr>
            <w:tcW w:type="dxa" w:w="2400"/>
            <w:shd w:fill="FAFBFC"/>
            <w:tcMar>
              <w:top w:w="80" w:type="dxa"/>
              <w:start w:w="120" w:type="dxa"/>
              <w:bottom w:w="80" w:type="dxa"/>
              <w:end w:w="120" w:type="dxa"/>
            </w:tcMar>
            <w:vAlign w:val="center"/>
          </w:tcPr>
          <w:p>
            <w:pPr>
              <w:spacing w:after="0" w:line="252" w:lineRule="auto"/>
            </w:pPr>
            <w:r>
              <w:rPr>
                <w:rFonts w:ascii="Calibri" w:hAnsi="Calibri" w:eastAsia="Microsoft YaHei"/>
                <w:b w:val="0"/>
                <w:i w:val="0"/>
                <w:color w:val="202A35"/>
                <w:sz w:val="18"/>
              </w:rPr>
              <w:t>4 ms、50 ms、200 ms</w:t>
            </w:r>
          </w:p>
        </w:tc>
        <w:tc>
          <w:tcPr>
            <w:tcW w:type="dxa" w:w="2700"/>
            <w:shd w:fill="FAFBFC"/>
            <w:tcMar>
              <w:top w:w="80" w:type="dxa"/>
              <w:start w:w="120" w:type="dxa"/>
              <w:bottom w:w="80" w:type="dxa"/>
              <w:end w:w="120" w:type="dxa"/>
            </w:tcMar>
            <w:vAlign w:val="center"/>
          </w:tcPr>
          <w:p>
            <w:pPr>
              <w:spacing w:after="0" w:line="252" w:lineRule="auto"/>
            </w:pPr>
            <w:r>
              <w:rPr>
                <w:rFonts w:ascii="Calibri" w:hAnsi="Calibri" w:eastAsia="Microsoft YaHei"/>
                <w:b w:val="0"/>
                <w:i w:val="0"/>
                <w:color w:val="202A35"/>
                <w:sz w:val="18"/>
              </w:rPr>
              <w:t>弱网、复核、上云时机</w:t>
            </w:r>
          </w:p>
        </w:tc>
        <w:tc>
          <w:tcPr>
            <w:tcW w:type="dxa" w:w="3060"/>
            <w:shd w:fill="FAFBFC"/>
            <w:tcMar>
              <w:top w:w="80" w:type="dxa"/>
              <w:start w:w="120" w:type="dxa"/>
              <w:bottom w:w="80" w:type="dxa"/>
              <w:end w:w="120" w:type="dxa"/>
            </w:tcMar>
            <w:vAlign w:val="center"/>
          </w:tcPr>
          <w:p>
            <w:pPr>
              <w:spacing w:after="0" w:line="252" w:lineRule="auto"/>
            </w:pPr>
            <w:r>
              <w:rPr>
                <w:rFonts w:ascii="Calibri" w:hAnsi="Calibri" w:eastAsia="Microsoft YaHei"/>
                <w:b w:val="0"/>
                <w:i w:val="0"/>
                <w:color w:val="202A35"/>
                <w:sz w:val="18"/>
              </w:rPr>
              <w:t>把实时采集和动态决策连接起来</w:t>
            </w:r>
          </w:p>
        </w:tc>
      </w:tr>
      <w:tr>
        <w:trPr>
          <w:cantSplit/>
        </w:trPr>
        <w:tc>
          <w:tcPr>
            <w:tcW w:type="dxa" w:w="1200"/>
            <w:tcMar>
              <w:top w:w="80" w:type="dxa"/>
              <w:start w:w="120" w:type="dxa"/>
              <w:bottom w:w="80" w:type="dxa"/>
              <w:end w:w="120" w:type="dxa"/>
            </w:tcMar>
            <w:vAlign w:val="center"/>
          </w:tcPr>
          <w:p>
            <w:pPr>
              <w:spacing w:after="0" w:line="252" w:lineRule="auto"/>
            </w:pPr>
            <w:r>
              <w:rPr>
                <w:rFonts w:ascii="Calibri" w:hAnsi="Calibri" w:eastAsia="Microsoft YaHei"/>
                <w:b w:val="0"/>
                <w:i w:val="0"/>
                <w:color w:val="202A35"/>
                <w:sz w:val="18"/>
              </w:rPr>
              <w:t>通信</w:t>
            </w:r>
          </w:p>
        </w:tc>
        <w:tc>
          <w:tcPr>
            <w:tcW w:type="dxa" w:w="2400"/>
            <w:tcMar>
              <w:top w:w="80" w:type="dxa"/>
              <w:start w:w="120" w:type="dxa"/>
              <w:bottom w:w="80" w:type="dxa"/>
              <w:end w:w="120" w:type="dxa"/>
            </w:tcMar>
            <w:vAlign w:val="center"/>
          </w:tcPr>
          <w:p>
            <w:pPr>
              <w:spacing w:after="0" w:line="252" w:lineRule="auto"/>
            </w:pPr>
            <w:r>
              <w:rPr>
                <w:rFonts w:ascii="Calibri" w:hAnsi="Calibri" w:eastAsia="Microsoft YaHei"/>
                <w:b w:val="0"/>
                <w:i w:val="0"/>
                <w:color w:val="202A35"/>
                <w:sz w:val="18"/>
              </w:rPr>
              <w:t>给出微批量 JSON</w:t>
            </w:r>
          </w:p>
        </w:tc>
        <w:tc>
          <w:tcPr>
            <w:tcW w:type="dxa" w:w="2700"/>
            <w:tcMar>
              <w:top w:w="80" w:type="dxa"/>
              <w:start w:w="120" w:type="dxa"/>
              <w:bottom w:w="80" w:type="dxa"/>
              <w:end w:w="120" w:type="dxa"/>
            </w:tcMar>
            <w:vAlign w:val="center"/>
          </w:tcPr>
          <w:p>
            <w:pPr>
              <w:spacing w:after="0" w:line="252" w:lineRule="auto"/>
            </w:pPr>
            <w:r>
              <w:rPr>
                <w:rFonts w:ascii="Calibri" w:hAnsi="Calibri" w:eastAsia="Microsoft YaHei"/>
                <w:b w:val="0"/>
                <w:i w:val="0"/>
                <w:color w:val="202A35"/>
                <w:sz w:val="18"/>
              </w:rPr>
              <w:t>推荐 MQTT 路由</w:t>
            </w:r>
          </w:p>
        </w:tc>
        <w:tc>
          <w:tcPr>
            <w:tcW w:type="dxa" w:w="3060"/>
            <w:tcMar>
              <w:top w:w="80" w:type="dxa"/>
              <w:start w:w="120" w:type="dxa"/>
              <w:bottom w:w="80" w:type="dxa"/>
              <w:end w:w="120" w:type="dxa"/>
            </w:tcMar>
            <w:vAlign w:val="center"/>
          </w:tcPr>
          <w:p>
            <w:pPr>
              <w:spacing w:after="0" w:line="252" w:lineRule="auto"/>
            </w:pPr>
            <w:r>
              <w:rPr>
                <w:rFonts w:ascii="Calibri" w:hAnsi="Calibri" w:eastAsia="Microsoft YaHei"/>
                <w:b w:val="0"/>
                <w:i w:val="0"/>
                <w:color w:val="202A35"/>
                <w:sz w:val="18"/>
              </w:rPr>
              <w:t>定义统一消息信封和主题路由</w:t>
            </w:r>
          </w:p>
        </w:tc>
      </w:tr>
      <w:tr>
        <w:trPr>
          <w:cantSplit/>
        </w:trPr>
        <w:tc>
          <w:tcPr>
            <w:tcW w:type="dxa" w:w="1200"/>
            <w:shd w:fill="FAFBFC"/>
            <w:tcMar>
              <w:top w:w="80" w:type="dxa"/>
              <w:start w:w="120" w:type="dxa"/>
              <w:bottom w:w="80" w:type="dxa"/>
              <w:end w:w="120" w:type="dxa"/>
            </w:tcMar>
            <w:vAlign w:val="center"/>
          </w:tcPr>
          <w:p>
            <w:pPr>
              <w:spacing w:after="0" w:line="252" w:lineRule="auto"/>
            </w:pPr>
            <w:r>
              <w:rPr>
                <w:rFonts w:ascii="Calibri" w:hAnsi="Calibri" w:eastAsia="Microsoft YaHei"/>
                <w:b w:val="0"/>
                <w:i w:val="0"/>
                <w:color w:val="202A35"/>
                <w:sz w:val="18"/>
              </w:rPr>
              <w:t>边缘职责</w:t>
            </w:r>
          </w:p>
        </w:tc>
        <w:tc>
          <w:tcPr>
            <w:tcW w:type="dxa" w:w="2400"/>
            <w:shd w:fill="FAFBFC"/>
            <w:tcMar>
              <w:top w:w="80" w:type="dxa"/>
              <w:start w:w="120" w:type="dxa"/>
              <w:bottom w:w="80" w:type="dxa"/>
              <w:end w:w="120" w:type="dxa"/>
            </w:tcMar>
            <w:vAlign w:val="center"/>
          </w:tcPr>
          <w:p>
            <w:pPr>
              <w:spacing w:after="0" w:line="252" w:lineRule="auto"/>
            </w:pPr>
            <w:r>
              <w:rPr>
                <w:rFonts w:ascii="Calibri" w:hAnsi="Calibri" w:eastAsia="Microsoft YaHei"/>
                <w:b w:val="0"/>
                <w:i w:val="0"/>
                <w:color w:val="202A35"/>
                <w:sz w:val="18"/>
              </w:rPr>
              <w:t>缓存、预处理、特征、推理</w:t>
            </w:r>
          </w:p>
        </w:tc>
        <w:tc>
          <w:tcPr>
            <w:tcW w:type="dxa" w:w="2700"/>
            <w:shd w:fill="FAFBFC"/>
            <w:tcMar>
              <w:top w:w="80" w:type="dxa"/>
              <w:start w:w="120" w:type="dxa"/>
              <w:bottom w:w="80" w:type="dxa"/>
              <w:end w:w="120" w:type="dxa"/>
            </w:tcMar>
            <w:vAlign w:val="center"/>
          </w:tcPr>
          <w:p>
            <w:pPr>
              <w:spacing w:after="0" w:line="252" w:lineRule="auto"/>
            </w:pPr>
            <w:r>
              <w:rPr>
                <w:rFonts w:ascii="Calibri" w:hAnsi="Calibri" w:eastAsia="Microsoft YaHei"/>
                <w:b w:val="0"/>
                <w:i w:val="0"/>
                <w:color w:val="202A35"/>
                <w:sz w:val="18"/>
              </w:rPr>
              <w:t>初检、复核、本地自治</w:t>
            </w:r>
          </w:p>
        </w:tc>
        <w:tc>
          <w:tcPr>
            <w:tcW w:type="dxa" w:w="3060"/>
            <w:shd w:fill="FAFBFC"/>
            <w:tcMar>
              <w:top w:w="80" w:type="dxa"/>
              <w:start w:w="120" w:type="dxa"/>
              <w:bottom w:w="80" w:type="dxa"/>
              <w:end w:w="120" w:type="dxa"/>
            </w:tcMar>
            <w:vAlign w:val="center"/>
          </w:tcPr>
          <w:p>
            <w:pPr>
              <w:spacing w:after="0" w:line="252" w:lineRule="auto"/>
            </w:pPr>
            <w:r>
              <w:rPr>
                <w:rFonts w:ascii="Calibri" w:hAnsi="Calibri" w:eastAsia="Microsoft YaHei"/>
                <w:b w:val="0"/>
                <w:i w:val="0"/>
                <w:color w:val="202A35"/>
                <w:sz w:val="18"/>
              </w:rPr>
              <w:t>形成边缘闭环与分工</w:t>
            </w:r>
          </w:p>
        </w:tc>
      </w:tr>
      <w:tr>
        <w:trPr>
          <w:cantSplit/>
        </w:trPr>
        <w:tc>
          <w:tcPr>
            <w:tcW w:type="dxa" w:w="1200"/>
            <w:tcMar>
              <w:top w:w="80" w:type="dxa"/>
              <w:start w:w="120" w:type="dxa"/>
              <w:bottom w:w="80" w:type="dxa"/>
              <w:end w:w="120" w:type="dxa"/>
            </w:tcMar>
            <w:vAlign w:val="center"/>
          </w:tcPr>
          <w:p>
            <w:pPr>
              <w:spacing w:after="0" w:line="252" w:lineRule="auto"/>
            </w:pPr>
            <w:r>
              <w:rPr>
                <w:rFonts w:ascii="Calibri" w:hAnsi="Calibri" w:eastAsia="Microsoft YaHei"/>
                <w:b w:val="0"/>
                <w:i w:val="0"/>
                <w:color w:val="202A35"/>
                <w:sz w:val="18"/>
              </w:rPr>
              <w:t>未覆盖部分</w:t>
            </w:r>
          </w:p>
        </w:tc>
        <w:tc>
          <w:tcPr>
            <w:tcW w:type="dxa" w:w="2400"/>
            <w:tcMar>
              <w:top w:w="80" w:type="dxa"/>
              <w:start w:w="120" w:type="dxa"/>
              <w:bottom w:w="80" w:type="dxa"/>
              <w:end w:w="120" w:type="dxa"/>
            </w:tcMar>
            <w:vAlign w:val="center"/>
          </w:tcPr>
          <w:p>
            <w:pPr>
              <w:spacing w:after="0" w:line="252" w:lineRule="auto"/>
            </w:pPr>
            <w:r>
              <w:rPr>
                <w:rFonts w:ascii="Calibri" w:hAnsi="Calibri" w:eastAsia="Microsoft YaHei"/>
                <w:b w:val="0"/>
                <w:i w:val="0"/>
                <w:color w:val="202A35"/>
                <w:sz w:val="18"/>
              </w:rPr>
              <w:t>缺少调度算法</w:t>
            </w:r>
          </w:p>
        </w:tc>
        <w:tc>
          <w:tcPr>
            <w:tcW w:type="dxa" w:w="2700"/>
            <w:tcMar>
              <w:top w:w="80" w:type="dxa"/>
              <w:start w:w="120" w:type="dxa"/>
              <w:bottom w:w="80" w:type="dxa"/>
              <w:end w:w="120" w:type="dxa"/>
            </w:tcMar>
            <w:vAlign w:val="center"/>
          </w:tcPr>
          <w:p>
            <w:pPr>
              <w:spacing w:after="0" w:line="252" w:lineRule="auto"/>
            </w:pPr>
            <w:r>
              <w:rPr>
                <w:rFonts w:ascii="Calibri" w:hAnsi="Calibri" w:eastAsia="Microsoft YaHei"/>
                <w:b w:val="0"/>
                <w:i w:val="0"/>
                <w:color w:val="202A35"/>
                <w:sz w:val="18"/>
              </w:rPr>
              <w:t>缺少具体轴承任务参数</w:t>
            </w:r>
          </w:p>
        </w:tc>
        <w:tc>
          <w:tcPr>
            <w:tcW w:type="dxa" w:w="3060"/>
            <w:tcMar>
              <w:top w:w="80" w:type="dxa"/>
              <w:start w:w="120" w:type="dxa"/>
              <w:bottom w:w="80" w:type="dxa"/>
              <w:end w:w="120" w:type="dxa"/>
            </w:tcMar>
            <w:vAlign w:val="center"/>
          </w:tcPr>
          <w:p>
            <w:pPr>
              <w:spacing w:after="0" w:line="252" w:lineRule="auto"/>
            </w:pPr>
            <w:r>
              <w:rPr>
                <w:rFonts w:ascii="Calibri" w:hAnsi="Calibri" w:eastAsia="Microsoft YaHei"/>
                <w:b w:val="0"/>
                <w:i w:val="0"/>
                <w:color w:val="202A35"/>
                <w:sz w:val="18"/>
              </w:rPr>
              <w:t>由 DAG + PER-DDPG 补齐</w:t>
            </w:r>
          </w:p>
        </w:tc>
      </w:tr>
    </w:tbl>
    <w:p>
      <w:pPr>
        <w:spacing w:after="0"/>
      </w:pPr>
    </w:p>
    <w:p>
      <w:pPr>
        <w:keepLines/>
        <w:spacing w:before="100" w:after="180"/>
        <w:ind w:left="115" w:right="115"/>
        <w:shd w:fill="E8EEF5"/>
        <w:pBdr>
          <w:left w:val="single" w:sz="18" w:space="6" w:color="1F4D78"/>
        </w:pBdr>
      </w:pPr>
      <w:r>
        <w:rPr>
          <w:rFonts w:ascii="Calibri" w:hAnsi="Calibri" w:eastAsia="Microsoft YaHei"/>
          <w:b/>
          <w:i w:val="0"/>
          <w:color w:val="1F4D78"/>
          <w:sz w:val="22"/>
        </w:rPr>
        <w:t>统一后的任务定义：</w:t>
      </w:r>
      <w:r>
        <w:rPr>
          <w:rFonts w:ascii="Calibri" w:hAnsi="Calibri" w:eastAsia="Microsoft YaHei"/>
          <w:b w:val="0"/>
          <w:i w:val="0"/>
          <w:color w:val="202A35"/>
          <w:sz w:val="22"/>
        </w:rPr>
        <w:t>一个 task 对应同一设备、同一 200 ms 分析窗口的诊断任务；task 内可包含振动、温度、电流、转速、负载等相关 packet。packet 可以并行预处理，但融合、诊断和告警必须遵守依赖关系。</w:t>
      </w:r>
    </w:p>
    <w:p>
      <w:pPr>
        <w:pStyle w:val="Heading1"/>
      </w:pPr>
      <w:r>
        <w:t>3. 与论文 PER-DDPG 算法的联系</w:t>
      </w:r>
    </w:p>
    <w:p>
      <w:pPr>
        <w:keepLines w:val="0"/>
      </w:pPr>
      <w:r>
        <w:rPr>
          <w:rFonts w:ascii="Calibri" w:hAnsi="Calibri" w:eastAsia="Microsoft YaHei"/>
          <w:b w:val="0"/>
          <w:i w:val="0"/>
          <w:color w:val="202A35"/>
          <w:sz w:val="22"/>
        </w:rPr>
        <w:t>论文第 3 章解决的是具有严格拓扑依赖的任务卸载问题，目标是在满足节点资源约束的情况下最小化总任务完成时间。其方法不是单个神经网络直接输出全部结果，而是分成两个阶段。</w:t>
      </w:r>
    </w:p>
    <w:p>
      <w:pPr>
        <w:pStyle w:val="Heading2"/>
      </w:pPr>
      <w:r>
        <w:t>3.1 阶段一：算法 3.1 生成 List_seq</w:t>
      </w:r>
    </w:p>
    <w:p>
      <w:pPr>
        <w:keepLines w:val="0"/>
      </w:pPr>
      <w:r>
        <w:rPr>
          <w:rFonts w:ascii="Calibri" w:hAnsi="Calibri" w:eastAsia="Microsoft YaHei"/>
          <w:b w:val="0"/>
          <w:i w:val="0"/>
          <w:color w:val="202A35"/>
          <w:sz w:val="22"/>
        </w:rPr>
        <w:t>首先用 DAG 表达子任务前驱关系。对每个子任务计算包含自身平均处理时间和后继关键路径开销的静态优先级 rank_i，再根据全局容忍时延、虚拟当前时间和剩余关键路径开销计算 urgency_i，最终按权重 W_i 综合二者。在每一步，只从全部前驱已完成的就绪任务中选择 W_i 最大者，生成满足拓扑约束的线性序列 List_seq。</w:t>
      </w:r>
    </w:p>
    <w:p>
      <w:pPr>
        <w:keepLines/>
        <w:spacing w:before="100" w:after="180"/>
        <w:ind w:left="115" w:right="115"/>
        <w:shd w:fill="E8EEF5"/>
        <w:pBdr>
          <w:left w:val="single" w:sz="18" w:space="6" w:color="1F4D78"/>
        </w:pBdr>
      </w:pPr>
      <w:r>
        <w:rPr>
          <w:rFonts w:ascii="Calibri" w:hAnsi="Calibri" w:eastAsia="Microsoft YaHei"/>
          <w:b/>
          <w:i w:val="0"/>
          <w:color w:val="1F4D78"/>
          <w:sz w:val="22"/>
        </w:rPr>
        <w:t>重要边界：</w:t>
      </w:r>
      <w:r>
        <w:rPr>
          <w:rFonts w:ascii="Calibri" w:hAnsi="Calibri" w:eastAsia="Microsoft YaHei"/>
          <w:b w:val="0"/>
          <w:i w:val="0"/>
          <w:color w:val="202A35"/>
          <w:sz w:val="22"/>
        </w:rPr>
        <w:t>List_seq 是启发式优先调度序列，不是全局最优证明。它解决“当前应该先处理哪个已就绪任务”，但不决定该任务具体放在哪个节点，也不决定分配多少 CPU。</w:t>
      </w:r>
    </w:p>
    <w:p>
      <w:pPr>
        <w:pStyle w:val="Heading2"/>
      </w:pPr>
      <w:r>
        <w:t>3.2 阶段二：PER-DDPG 选择节点和资源比例</w:t>
      </w:r>
    </w:p>
    <w:p>
      <w:pPr>
        <w:keepLines w:val="0"/>
      </w:pPr>
      <w:r>
        <w:rPr>
          <w:rFonts w:ascii="Calibri" w:hAnsi="Calibri" w:eastAsia="Microsoft YaHei"/>
          <w:b w:val="0"/>
          <w:i w:val="0"/>
          <w:color w:val="202A35"/>
          <w:sz w:val="22"/>
        </w:rPr>
        <w:t>智能体严格按 List_seq 逐项决策。状态 s_t 包含当前任务特征 I_t、候选计算节点剩余资源 CR_t 和通信条件 R_t；动作 a_t 由节点选择概率 A_t 与连续资源比例 F_t 构成；环境执行动作后计算传输、等待和执行时间，以当前总完成时刻的负值作为奖励。</w:t>
      </w:r>
    </w:p>
    <w:p>
      <w:pPr>
        <w:keepLines w:val="0"/>
      </w:pPr>
      <w:r>
        <w:rPr>
          <w:rFonts w:ascii="Calibri" w:hAnsi="Calibri" w:eastAsia="Microsoft YaHei"/>
          <w:b w:val="0"/>
          <w:i w:val="0"/>
          <w:color w:val="202A35"/>
          <w:sz w:val="22"/>
        </w:rPr>
        <w:t>Actor 输出动作，Critic 估计该动作的长期价值；目标网络通过软更新稳定训练。优先经验回放 PER 按 TD 误差提高关键经验的采样概率，自适应探索噪声在训练早期扩大探索、后期逐步减弱。论文通过这些机制提高复杂动作空间中的样本利用率和收敛稳定性。</w:t>
      </w:r>
    </w:p>
    <w:p>
      <w:pPr>
        <w:pStyle w:val="Heading2"/>
      </w:pPr>
      <w:r>
        <w:t>3.3 在轴承场景中的结构适配</w:t>
      </w:r>
    </w:p>
    <w:p>
      <w:pPr>
        <w:keepLines w:val="0"/>
      </w:pPr>
      <w:r>
        <w:rPr>
          <w:rFonts w:ascii="Calibri" w:hAnsi="Calibri" w:eastAsia="Microsoft YaHei"/>
          <w:b w:val="0"/>
          <w:i w:val="0"/>
          <w:color w:val="202A35"/>
          <w:sz w:val="22"/>
        </w:rPr>
        <w:t>论文原始网络模型包含云、雾、边三层。当前轴承方案明确取消中间计算层，因此动作候选不再包含该层节点，而改为“当前可用边缘节点集合 + 云端”。这是一项场景结构适配：保留状态—动作—奖励、Actor-Critic、PER 和探索机制，但重新定义候选节点索引及对应通信速率。</w:t>
      </w:r>
    </w:p>
    <w:tbl>
      <w:tblPr>
        <w:tblStyle w:val="TableGrid"/>
        <w:tblW w:type="dxa" w:w="9360"/>
        <w:tblLayout w:type="fixed"/>
        <w:tblLook w:firstColumn="1" w:firstRow="1" w:lastColumn="0" w:lastRow="0" w:noHBand="0" w:noVBand="1" w:val="04A0"/>
        <w:jc w:val="left"/>
        <w:tblInd w:w="120" w:type="dxa"/>
      </w:tblPr>
      <w:tblGrid>
        <w:gridCol w:w="1900"/>
        <w:gridCol w:w="3500"/>
        <w:gridCol w:w="3960"/>
      </w:tblGrid>
      <w:tr>
        <w:trPr>
          <w:cantSplit/>
          <w:tblHeader w:val="true"/>
          <w:cantSplit/>
        </w:trPr>
        <w:tc>
          <w:tcPr>
            <w:tcW w:type="dxa" w:w="1900"/>
            <w:tcMar>
              <w:top w:w="80" w:type="dxa"/>
              <w:start w:w="120" w:type="dxa"/>
              <w:bottom w:w="80" w:type="dxa"/>
              <w:end w:w="120" w:type="dxa"/>
            </w:tcMar>
            <w:vAlign w:val="center"/>
            <w:shd w:fill="F2F4F7"/>
          </w:tcPr>
          <w:p>
            <w:pPr>
              <w:spacing w:after="0"/>
            </w:pPr>
            <w:r>
              <w:rPr>
                <w:rFonts w:ascii="Calibri" w:hAnsi="Calibri" w:eastAsia="Microsoft YaHei"/>
                <w:b/>
                <w:i w:val="0"/>
                <w:color w:val="1F4D78"/>
                <w:sz w:val="18"/>
              </w:rPr>
              <w:t>论文算法概念</w:t>
            </w:r>
          </w:p>
        </w:tc>
        <w:tc>
          <w:tcPr>
            <w:tcW w:type="dxa" w:w="3500"/>
            <w:tcMar>
              <w:top w:w="80" w:type="dxa"/>
              <w:start w:w="120" w:type="dxa"/>
              <w:bottom w:w="80" w:type="dxa"/>
              <w:end w:w="120" w:type="dxa"/>
            </w:tcMar>
            <w:vAlign w:val="center"/>
            <w:shd w:fill="F2F4F7"/>
          </w:tcPr>
          <w:p>
            <w:pPr>
              <w:spacing w:after="0"/>
            </w:pPr>
            <w:r>
              <w:rPr>
                <w:rFonts w:ascii="Calibri" w:hAnsi="Calibri" w:eastAsia="Microsoft YaHei"/>
                <w:b/>
                <w:i w:val="0"/>
                <w:color w:val="1F4D78"/>
                <w:sz w:val="18"/>
              </w:rPr>
              <w:t>轴承场景映射</w:t>
            </w:r>
          </w:p>
        </w:tc>
        <w:tc>
          <w:tcPr>
            <w:tcW w:type="dxa" w:w="3960"/>
            <w:tcMar>
              <w:top w:w="80" w:type="dxa"/>
              <w:start w:w="120" w:type="dxa"/>
              <w:bottom w:w="80" w:type="dxa"/>
              <w:end w:w="120" w:type="dxa"/>
            </w:tcMar>
            <w:vAlign w:val="center"/>
            <w:shd w:fill="F2F4F7"/>
          </w:tcPr>
          <w:p>
            <w:pPr>
              <w:spacing w:after="0"/>
            </w:pPr>
            <w:r>
              <w:rPr>
                <w:rFonts w:ascii="Calibri" w:hAnsi="Calibri" w:eastAsia="Microsoft YaHei"/>
                <w:b/>
                <w:i w:val="0"/>
                <w:color w:val="1F4D78"/>
                <w:sz w:val="18"/>
              </w:rPr>
              <w:t>说明</w:t>
            </w:r>
          </w:p>
        </w:tc>
      </w:tr>
      <w:tr>
        <w:trPr>
          <w:cantSplit/>
        </w:trPr>
        <w:tc>
          <w:tcPr>
            <w:tcW w:type="dxa" w:w="1900"/>
            <w:tcMar>
              <w:top w:w="80" w:type="dxa"/>
              <w:start w:w="120" w:type="dxa"/>
              <w:bottom w:w="80" w:type="dxa"/>
              <w:end w:w="120" w:type="dxa"/>
            </w:tcMar>
            <w:vAlign w:val="center"/>
          </w:tcPr>
          <w:p>
            <w:pPr>
              <w:spacing w:after="0" w:line="252" w:lineRule="auto"/>
            </w:pPr>
            <w:r>
              <w:rPr>
                <w:rFonts w:ascii="Calibri" w:hAnsi="Calibri" w:eastAsia="Microsoft YaHei"/>
                <w:b w:val="0"/>
                <w:i w:val="0"/>
                <w:color w:val="202A35"/>
                <w:sz w:val="18"/>
              </w:rPr>
              <w:t>DAG 子任务</w:t>
            </w:r>
          </w:p>
        </w:tc>
        <w:tc>
          <w:tcPr>
            <w:tcW w:type="dxa" w:w="3500"/>
            <w:tcMar>
              <w:top w:w="80" w:type="dxa"/>
              <w:start w:w="120" w:type="dxa"/>
              <w:bottom w:w="80" w:type="dxa"/>
              <w:end w:w="120" w:type="dxa"/>
            </w:tcMar>
            <w:vAlign w:val="center"/>
          </w:tcPr>
          <w:p>
            <w:pPr>
              <w:spacing w:after="0" w:line="252" w:lineRule="auto"/>
            </w:pPr>
            <w:r>
              <w:rPr>
                <w:rFonts w:ascii="Calibri" w:hAnsi="Calibri" w:eastAsia="Microsoft YaHei"/>
                <w:b w:val="0"/>
                <w:i w:val="0"/>
                <w:color w:val="202A35"/>
                <w:sz w:val="18"/>
              </w:rPr>
              <w:t>接收校验、预处理、特征、初检、复核、云端分析、告警</w:t>
            </w:r>
          </w:p>
        </w:tc>
        <w:tc>
          <w:tcPr>
            <w:tcW w:type="dxa" w:w="3960"/>
            <w:tcMar>
              <w:top w:w="80" w:type="dxa"/>
              <w:start w:w="120" w:type="dxa"/>
              <w:bottom w:w="80" w:type="dxa"/>
              <w:end w:w="120" w:type="dxa"/>
            </w:tcMar>
            <w:vAlign w:val="center"/>
          </w:tcPr>
          <w:p>
            <w:pPr>
              <w:spacing w:after="0" w:line="252" w:lineRule="auto"/>
            </w:pPr>
            <w:r>
              <w:rPr>
                <w:rFonts w:ascii="Calibri" w:hAnsi="Calibri" w:eastAsia="Microsoft YaHei"/>
                <w:b w:val="0"/>
                <w:i w:val="0"/>
                <w:color w:val="202A35"/>
                <w:sz w:val="18"/>
              </w:rPr>
              <w:t>由数据依赖和业务条件确定前驱关系</w:t>
            </w:r>
          </w:p>
        </w:tc>
      </w:tr>
      <w:tr>
        <w:trPr>
          <w:cantSplit/>
        </w:trPr>
        <w:tc>
          <w:tcPr>
            <w:tcW w:type="dxa" w:w="1900"/>
            <w:shd w:fill="FAFBFC"/>
            <w:tcMar>
              <w:top w:w="80" w:type="dxa"/>
              <w:start w:w="120" w:type="dxa"/>
              <w:bottom w:w="80" w:type="dxa"/>
              <w:end w:w="120" w:type="dxa"/>
            </w:tcMar>
            <w:vAlign w:val="center"/>
          </w:tcPr>
          <w:p>
            <w:pPr>
              <w:spacing w:after="0" w:line="252" w:lineRule="auto"/>
            </w:pPr>
            <w:r>
              <w:rPr>
                <w:rFonts w:ascii="Calibri" w:hAnsi="Calibri" w:eastAsia="Microsoft YaHei"/>
                <w:b w:val="0"/>
                <w:i w:val="0"/>
                <w:color w:val="202A35"/>
                <w:sz w:val="18"/>
              </w:rPr>
              <w:t>I_t</w:t>
            </w:r>
          </w:p>
        </w:tc>
        <w:tc>
          <w:tcPr>
            <w:tcW w:type="dxa" w:w="3500"/>
            <w:shd w:fill="FAFBFC"/>
            <w:tcMar>
              <w:top w:w="80" w:type="dxa"/>
              <w:start w:w="120" w:type="dxa"/>
              <w:bottom w:w="80" w:type="dxa"/>
              <w:end w:w="120" w:type="dxa"/>
            </w:tcMar>
            <w:vAlign w:val="center"/>
          </w:tcPr>
          <w:p>
            <w:pPr>
              <w:spacing w:after="0" w:line="252" w:lineRule="auto"/>
            </w:pPr>
            <w:r>
              <w:rPr>
                <w:rFonts w:ascii="Calibri" w:hAnsi="Calibri" w:eastAsia="Microsoft YaHei"/>
                <w:b w:val="0"/>
                <w:i w:val="0"/>
                <w:color w:val="202A35"/>
                <w:sz w:val="18"/>
              </w:rPr>
              <w:t>数据量、计算密度、最小 CPU、最早就绪时间</w:t>
            </w:r>
          </w:p>
        </w:tc>
        <w:tc>
          <w:tcPr>
            <w:tcW w:type="dxa" w:w="3960"/>
            <w:shd w:fill="FAFBFC"/>
            <w:tcMar>
              <w:top w:w="80" w:type="dxa"/>
              <w:start w:w="120" w:type="dxa"/>
              <w:bottom w:w="80" w:type="dxa"/>
              <w:end w:w="120" w:type="dxa"/>
            </w:tcMar>
            <w:vAlign w:val="center"/>
          </w:tcPr>
          <w:p>
            <w:pPr>
              <w:spacing w:after="0" w:line="252" w:lineRule="auto"/>
            </w:pPr>
            <w:r>
              <w:rPr>
                <w:rFonts w:ascii="Calibri" w:hAnsi="Calibri" w:eastAsia="Microsoft YaHei"/>
                <w:b w:val="0"/>
                <w:i w:val="0"/>
                <w:color w:val="202A35"/>
                <w:sz w:val="18"/>
              </w:rPr>
              <w:t>可由窗口与子任务类型生成</w:t>
            </w:r>
          </w:p>
        </w:tc>
      </w:tr>
      <w:tr>
        <w:trPr>
          <w:cantSplit/>
        </w:trPr>
        <w:tc>
          <w:tcPr>
            <w:tcW w:type="dxa" w:w="1900"/>
            <w:tcMar>
              <w:top w:w="80" w:type="dxa"/>
              <w:start w:w="120" w:type="dxa"/>
              <w:bottom w:w="80" w:type="dxa"/>
              <w:end w:w="120" w:type="dxa"/>
            </w:tcMar>
            <w:vAlign w:val="center"/>
          </w:tcPr>
          <w:p>
            <w:pPr>
              <w:spacing w:after="0" w:line="252" w:lineRule="auto"/>
            </w:pPr>
            <w:r>
              <w:rPr>
                <w:rFonts w:ascii="Calibri" w:hAnsi="Calibri" w:eastAsia="Microsoft YaHei"/>
                <w:b w:val="0"/>
                <w:i w:val="0"/>
                <w:color w:val="202A35"/>
                <w:sz w:val="18"/>
              </w:rPr>
              <w:t>CR_t</w:t>
            </w:r>
          </w:p>
        </w:tc>
        <w:tc>
          <w:tcPr>
            <w:tcW w:type="dxa" w:w="3500"/>
            <w:tcMar>
              <w:top w:w="80" w:type="dxa"/>
              <w:start w:w="120" w:type="dxa"/>
              <w:bottom w:w="80" w:type="dxa"/>
              <w:end w:w="120" w:type="dxa"/>
            </w:tcMar>
            <w:vAlign w:val="center"/>
          </w:tcPr>
          <w:p>
            <w:pPr>
              <w:spacing w:after="0" w:line="252" w:lineRule="auto"/>
            </w:pPr>
            <w:r>
              <w:rPr>
                <w:rFonts w:ascii="Calibri" w:hAnsi="Calibri" w:eastAsia="Microsoft YaHei"/>
                <w:b w:val="0"/>
                <w:i w:val="0"/>
                <w:color w:val="202A35"/>
                <w:sz w:val="18"/>
              </w:rPr>
              <w:t>各边缘节点与云端剩余 CPU</w:t>
            </w:r>
          </w:p>
        </w:tc>
        <w:tc>
          <w:tcPr>
            <w:tcW w:type="dxa" w:w="3960"/>
            <w:tcMar>
              <w:top w:w="80" w:type="dxa"/>
              <w:start w:w="120" w:type="dxa"/>
              <w:bottom w:w="80" w:type="dxa"/>
              <w:end w:w="120" w:type="dxa"/>
            </w:tcMar>
            <w:vAlign w:val="center"/>
          </w:tcPr>
          <w:p>
            <w:pPr>
              <w:spacing w:after="0" w:line="252" w:lineRule="auto"/>
            </w:pPr>
            <w:r>
              <w:rPr>
                <w:rFonts w:ascii="Calibri" w:hAnsi="Calibri" w:eastAsia="Microsoft YaHei"/>
                <w:b w:val="0"/>
                <w:i w:val="0"/>
                <w:color w:val="202A35"/>
                <w:sz w:val="18"/>
              </w:rPr>
              <w:t>反映排队和当前负载</w:t>
            </w:r>
          </w:p>
        </w:tc>
      </w:tr>
      <w:tr>
        <w:trPr>
          <w:cantSplit/>
        </w:trPr>
        <w:tc>
          <w:tcPr>
            <w:tcW w:type="dxa" w:w="1900"/>
            <w:shd w:fill="FAFBFC"/>
            <w:tcMar>
              <w:top w:w="80" w:type="dxa"/>
              <w:start w:w="120" w:type="dxa"/>
              <w:bottom w:w="80" w:type="dxa"/>
              <w:end w:w="120" w:type="dxa"/>
            </w:tcMar>
            <w:vAlign w:val="center"/>
          </w:tcPr>
          <w:p>
            <w:pPr>
              <w:spacing w:after="0" w:line="252" w:lineRule="auto"/>
            </w:pPr>
            <w:r>
              <w:rPr>
                <w:rFonts w:ascii="Calibri" w:hAnsi="Calibri" w:eastAsia="Microsoft YaHei"/>
                <w:b w:val="0"/>
                <w:i w:val="0"/>
                <w:color w:val="202A35"/>
                <w:sz w:val="18"/>
              </w:rPr>
              <w:t>R_t</w:t>
            </w:r>
          </w:p>
        </w:tc>
        <w:tc>
          <w:tcPr>
            <w:tcW w:type="dxa" w:w="3500"/>
            <w:shd w:fill="FAFBFC"/>
            <w:tcMar>
              <w:top w:w="80" w:type="dxa"/>
              <w:start w:w="120" w:type="dxa"/>
              <w:bottom w:w="80" w:type="dxa"/>
              <w:end w:w="120" w:type="dxa"/>
            </w:tcMar>
            <w:vAlign w:val="center"/>
          </w:tcPr>
          <w:p>
            <w:pPr>
              <w:spacing w:after="0" w:line="252" w:lineRule="auto"/>
            </w:pPr>
            <w:r>
              <w:rPr>
                <w:rFonts w:ascii="Calibri" w:hAnsi="Calibri" w:eastAsia="Microsoft YaHei"/>
                <w:b w:val="0"/>
                <w:i w:val="0"/>
                <w:color w:val="202A35"/>
                <w:sz w:val="18"/>
              </w:rPr>
              <w:t>采集端/当前数据位置到候选节点的传输速率</w:t>
            </w:r>
          </w:p>
        </w:tc>
        <w:tc>
          <w:tcPr>
            <w:tcW w:type="dxa" w:w="3960"/>
            <w:shd w:fill="FAFBFC"/>
            <w:tcMar>
              <w:top w:w="80" w:type="dxa"/>
              <w:start w:w="120" w:type="dxa"/>
              <w:bottom w:w="80" w:type="dxa"/>
              <w:end w:w="120" w:type="dxa"/>
            </w:tcMar>
            <w:vAlign w:val="center"/>
          </w:tcPr>
          <w:p>
            <w:pPr>
              <w:spacing w:after="0" w:line="252" w:lineRule="auto"/>
            </w:pPr>
            <w:r>
              <w:rPr>
                <w:rFonts w:ascii="Calibri" w:hAnsi="Calibri" w:eastAsia="Microsoft YaHei"/>
                <w:b w:val="0"/>
                <w:i w:val="0"/>
                <w:color w:val="202A35"/>
                <w:sz w:val="18"/>
              </w:rPr>
              <w:t>反映弱网和链路差异</w:t>
            </w:r>
          </w:p>
        </w:tc>
      </w:tr>
      <w:tr>
        <w:trPr>
          <w:cantSplit/>
        </w:trPr>
        <w:tc>
          <w:tcPr>
            <w:tcW w:type="dxa" w:w="1900"/>
            <w:tcMar>
              <w:top w:w="80" w:type="dxa"/>
              <w:start w:w="120" w:type="dxa"/>
              <w:bottom w:w="80" w:type="dxa"/>
              <w:end w:w="120" w:type="dxa"/>
            </w:tcMar>
            <w:vAlign w:val="center"/>
          </w:tcPr>
          <w:p>
            <w:pPr>
              <w:spacing w:after="0" w:line="252" w:lineRule="auto"/>
            </w:pPr>
            <w:r>
              <w:rPr>
                <w:rFonts w:ascii="Calibri" w:hAnsi="Calibri" w:eastAsia="Microsoft YaHei"/>
                <w:b w:val="0"/>
                <w:i w:val="0"/>
                <w:color w:val="202A35"/>
                <w:sz w:val="18"/>
              </w:rPr>
              <w:t>A_t</w:t>
            </w:r>
          </w:p>
        </w:tc>
        <w:tc>
          <w:tcPr>
            <w:tcW w:type="dxa" w:w="3500"/>
            <w:tcMar>
              <w:top w:w="80" w:type="dxa"/>
              <w:start w:w="120" w:type="dxa"/>
              <w:bottom w:w="80" w:type="dxa"/>
              <w:end w:w="120" w:type="dxa"/>
            </w:tcMar>
            <w:vAlign w:val="center"/>
          </w:tcPr>
          <w:p>
            <w:pPr>
              <w:spacing w:after="0" w:line="252" w:lineRule="auto"/>
            </w:pPr>
            <w:r>
              <w:rPr>
                <w:rFonts w:ascii="Calibri" w:hAnsi="Calibri" w:eastAsia="Microsoft YaHei"/>
                <w:b w:val="0"/>
                <w:i w:val="0"/>
                <w:color w:val="202A35"/>
                <w:sz w:val="18"/>
              </w:rPr>
              <w:t>边缘节点 E1…Ek 或云端的选择概率</w:t>
            </w:r>
          </w:p>
        </w:tc>
        <w:tc>
          <w:tcPr>
            <w:tcW w:type="dxa" w:w="3960"/>
            <w:tcMar>
              <w:top w:w="80" w:type="dxa"/>
              <w:start w:w="120" w:type="dxa"/>
              <w:bottom w:w="80" w:type="dxa"/>
              <w:end w:w="120" w:type="dxa"/>
            </w:tcMar>
            <w:vAlign w:val="center"/>
          </w:tcPr>
          <w:p>
            <w:pPr>
              <w:spacing w:after="0" w:line="252" w:lineRule="auto"/>
            </w:pPr>
            <w:r>
              <w:rPr>
                <w:rFonts w:ascii="Calibri" w:hAnsi="Calibri" w:eastAsia="Microsoft YaHei"/>
                <w:b w:val="0"/>
                <w:i w:val="0"/>
                <w:color w:val="202A35"/>
                <w:sz w:val="18"/>
              </w:rPr>
              <w:t>取最大概率对应的可行节点</w:t>
            </w:r>
          </w:p>
        </w:tc>
      </w:tr>
      <w:tr>
        <w:trPr>
          <w:cantSplit/>
        </w:trPr>
        <w:tc>
          <w:tcPr>
            <w:tcW w:type="dxa" w:w="1900"/>
            <w:shd w:fill="FAFBFC"/>
            <w:tcMar>
              <w:top w:w="80" w:type="dxa"/>
              <w:start w:w="120" w:type="dxa"/>
              <w:bottom w:w="80" w:type="dxa"/>
              <w:end w:w="120" w:type="dxa"/>
            </w:tcMar>
            <w:vAlign w:val="center"/>
          </w:tcPr>
          <w:p>
            <w:pPr>
              <w:spacing w:after="0" w:line="252" w:lineRule="auto"/>
            </w:pPr>
            <w:r>
              <w:rPr>
                <w:rFonts w:ascii="Calibri" w:hAnsi="Calibri" w:eastAsia="Microsoft YaHei"/>
                <w:b w:val="0"/>
                <w:i w:val="0"/>
                <w:color w:val="202A35"/>
                <w:sz w:val="18"/>
              </w:rPr>
              <w:t>F_t</w:t>
            </w:r>
          </w:p>
        </w:tc>
        <w:tc>
          <w:tcPr>
            <w:tcW w:type="dxa" w:w="3500"/>
            <w:shd w:fill="FAFBFC"/>
            <w:tcMar>
              <w:top w:w="80" w:type="dxa"/>
              <w:start w:w="120" w:type="dxa"/>
              <w:bottom w:w="80" w:type="dxa"/>
              <w:end w:w="120" w:type="dxa"/>
            </w:tcMar>
            <w:vAlign w:val="center"/>
          </w:tcPr>
          <w:p>
            <w:pPr>
              <w:spacing w:after="0" w:line="252" w:lineRule="auto"/>
            </w:pPr>
            <w:r>
              <w:rPr>
                <w:rFonts w:ascii="Calibri" w:hAnsi="Calibri" w:eastAsia="Microsoft YaHei"/>
                <w:b w:val="0"/>
                <w:i w:val="0"/>
                <w:color w:val="202A35"/>
                <w:sz w:val="18"/>
              </w:rPr>
              <w:t>目标节点剩余 CPU 的请求比例</w:t>
            </w:r>
          </w:p>
        </w:tc>
        <w:tc>
          <w:tcPr>
            <w:tcW w:type="dxa" w:w="3960"/>
            <w:shd w:fill="FAFBFC"/>
            <w:tcMar>
              <w:top w:w="80" w:type="dxa"/>
              <w:start w:w="120" w:type="dxa"/>
              <w:bottom w:w="80" w:type="dxa"/>
              <w:end w:w="120" w:type="dxa"/>
            </w:tcMar>
            <w:vAlign w:val="center"/>
          </w:tcPr>
          <w:p>
            <w:pPr>
              <w:spacing w:after="0" w:line="252" w:lineRule="auto"/>
            </w:pPr>
            <w:r>
              <w:rPr>
                <w:rFonts w:ascii="Calibri" w:hAnsi="Calibri" w:eastAsia="Microsoft YaHei"/>
                <w:b w:val="0"/>
                <w:i w:val="0"/>
                <w:color w:val="202A35"/>
                <w:sz w:val="18"/>
              </w:rPr>
              <w:t>执行时需满足最小 CPU 与容量约束</w:t>
            </w:r>
          </w:p>
        </w:tc>
      </w:tr>
      <w:tr>
        <w:trPr>
          <w:cantSplit/>
        </w:trPr>
        <w:tc>
          <w:tcPr>
            <w:tcW w:type="dxa" w:w="1900"/>
            <w:tcMar>
              <w:top w:w="80" w:type="dxa"/>
              <w:start w:w="120" w:type="dxa"/>
              <w:bottom w:w="80" w:type="dxa"/>
              <w:end w:w="120" w:type="dxa"/>
            </w:tcMar>
            <w:vAlign w:val="center"/>
          </w:tcPr>
          <w:p>
            <w:pPr>
              <w:spacing w:after="0" w:line="252" w:lineRule="auto"/>
            </w:pPr>
            <w:r>
              <w:rPr>
                <w:rFonts w:ascii="Calibri" w:hAnsi="Calibri" w:eastAsia="Microsoft YaHei"/>
                <w:b w:val="0"/>
                <w:i w:val="0"/>
                <w:color w:val="202A35"/>
                <w:sz w:val="18"/>
              </w:rPr>
              <w:t>奖励</w:t>
            </w:r>
          </w:p>
        </w:tc>
        <w:tc>
          <w:tcPr>
            <w:tcW w:type="dxa" w:w="3500"/>
            <w:tcMar>
              <w:top w:w="80" w:type="dxa"/>
              <w:start w:w="120" w:type="dxa"/>
              <w:bottom w:w="80" w:type="dxa"/>
              <w:end w:w="120" w:type="dxa"/>
            </w:tcMar>
            <w:vAlign w:val="center"/>
          </w:tcPr>
          <w:p>
            <w:pPr>
              <w:spacing w:after="0" w:line="252" w:lineRule="auto"/>
            </w:pPr>
            <w:r>
              <w:rPr>
                <w:rFonts w:ascii="Calibri" w:hAnsi="Calibri" w:eastAsia="Microsoft YaHei"/>
                <w:b w:val="0"/>
                <w:i w:val="0"/>
                <w:color w:val="202A35"/>
                <w:sz w:val="18"/>
              </w:rPr>
              <w:t>负的当前总完成时刻</w:t>
            </w:r>
          </w:p>
        </w:tc>
        <w:tc>
          <w:tcPr>
            <w:tcW w:type="dxa" w:w="3960"/>
            <w:tcMar>
              <w:top w:w="80" w:type="dxa"/>
              <w:start w:w="120" w:type="dxa"/>
              <w:bottom w:w="80" w:type="dxa"/>
              <w:end w:w="120" w:type="dxa"/>
            </w:tcMar>
            <w:vAlign w:val="center"/>
          </w:tcPr>
          <w:p>
            <w:pPr>
              <w:spacing w:after="0" w:line="252" w:lineRule="auto"/>
            </w:pPr>
            <w:r>
              <w:rPr>
                <w:rFonts w:ascii="Calibri" w:hAnsi="Calibri" w:eastAsia="Microsoft YaHei"/>
                <w:b w:val="0"/>
                <w:i w:val="0"/>
                <w:color w:val="202A35"/>
                <w:sz w:val="18"/>
              </w:rPr>
              <w:t>保持最小化任务完成时间的论文目标</w:t>
            </w:r>
          </w:p>
        </w:tc>
      </w:tr>
      <w:tr>
        <w:trPr>
          <w:cantSplit/>
        </w:trPr>
        <w:tc>
          <w:tcPr>
            <w:tcW w:type="dxa" w:w="1900"/>
            <w:shd w:fill="FAFBFC"/>
            <w:tcMar>
              <w:top w:w="80" w:type="dxa"/>
              <w:start w:w="120" w:type="dxa"/>
              <w:bottom w:w="80" w:type="dxa"/>
              <w:end w:w="120" w:type="dxa"/>
            </w:tcMar>
            <w:vAlign w:val="center"/>
          </w:tcPr>
          <w:p>
            <w:pPr>
              <w:spacing w:after="0" w:line="252" w:lineRule="auto"/>
            </w:pPr>
            <w:r>
              <w:rPr>
                <w:rFonts w:ascii="Calibri" w:hAnsi="Calibri" w:eastAsia="Microsoft YaHei"/>
                <w:b w:val="0"/>
                <w:i w:val="0"/>
                <w:color w:val="202A35"/>
                <w:sz w:val="18"/>
              </w:rPr>
              <w:t>PER</w:t>
            </w:r>
          </w:p>
        </w:tc>
        <w:tc>
          <w:tcPr>
            <w:tcW w:type="dxa" w:w="3500"/>
            <w:shd w:fill="FAFBFC"/>
            <w:tcMar>
              <w:top w:w="80" w:type="dxa"/>
              <w:start w:w="120" w:type="dxa"/>
              <w:bottom w:w="80" w:type="dxa"/>
              <w:end w:w="120" w:type="dxa"/>
            </w:tcMar>
            <w:vAlign w:val="center"/>
          </w:tcPr>
          <w:p>
            <w:pPr>
              <w:spacing w:after="0" w:line="252" w:lineRule="auto"/>
            </w:pPr>
            <w:r>
              <w:rPr>
                <w:rFonts w:ascii="Calibri" w:hAnsi="Calibri" w:eastAsia="Microsoft YaHei"/>
                <w:b w:val="0"/>
                <w:i w:val="0"/>
                <w:color w:val="202A35"/>
                <w:sz w:val="18"/>
              </w:rPr>
              <w:t>优先回放高 TD 误差的调度经验</w:t>
            </w:r>
          </w:p>
        </w:tc>
        <w:tc>
          <w:tcPr>
            <w:tcW w:type="dxa" w:w="3960"/>
            <w:shd w:fill="FAFBFC"/>
            <w:tcMar>
              <w:top w:w="80" w:type="dxa"/>
              <w:start w:w="120" w:type="dxa"/>
              <w:bottom w:w="80" w:type="dxa"/>
              <w:end w:w="120" w:type="dxa"/>
            </w:tcMar>
            <w:vAlign w:val="center"/>
          </w:tcPr>
          <w:p>
            <w:pPr>
              <w:spacing w:after="0" w:line="252" w:lineRule="auto"/>
            </w:pPr>
            <w:r>
              <w:rPr>
                <w:rFonts w:ascii="Calibri" w:hAnsi="Calibri" w:eastAsia="Microsoft YaHei"/>
                <w:b w:val="0"/>
                <w:i w:val="0"/>
                <w:color w:val="202A35"/>
                <w:sz w:val="18"/>
              </w:rPr>
              <w:t>重点学习拥塞、弱网、冲突等高价值状态</w:t>
            </w:r>
          </w:p>
        </w:tc>
      </w:tr>
    </w:tbl>
    <w:p>
      <w:pPr>
        <w:spacing w:after="0"/>
      </w:pPr>
    </w:p>
    <w:p>
      <w:pPr>
        <w:pStyle w:val="Heading2"/>
      </w:pPr>
      <w:r>
        <w:t>3.4 为什么第一轮决策不等于已经学会</w:t>
      </w:r>
    </w:p>
    <w:p>
      <w:pPr>
        <w:keepLines w:val="0"/>
      </w:pPr>
      <w:r>
        <w:rPr>
          <w:rFonts w:ascii="Calibri" w:hAnsi="Calibri" w:eastAsia="Microsoft YaHei"/>
          <w:b w:val="0"/>
          <w:i w:val="0"/>
          <w:color w:val="202A35"/>
          <w:sz w:val="22"/>
        </w:rPr>
        <w:t>第一轮确实可以产生一套完整分配方案，但“能够输出”与“已经学到较优策略”是两回事。未训练 Actor 的参数近似随机，第一轮动作只是随机初始化、探索噪声和当前状态共同作用的结果；它没有见过相同或相近状态下其他节点与资源比例的后果，也无法判断长期 makespan 是否更小。</w:t>
      </w:r>
    </w:p>
    <w:p>
      <w:pPr>
        <w:pStyle w:val="ListBullet"/>
      </w:pPr>
      <w:r>
        <w:rPr>
          <w:rFonts w:ascii="Calibri" w:hAnsi="Calibri" w:eastAsia="Microsoft YaHei"/>
          <w:b w:val="0"/>
          <w:i w:val="0"/>
          <w:color w:val="202A35"/>
          <w:sz w:val="22"/>
        </w:rPr>
        <w:t>一次状态只告诉系统当前任务、资源和通信条件，不提供所有可能动作的真实结果。</w:t>
      </w:r>
    </w:p>
    <w:p>
      <w:pPr>
        <w:pStyle w:val="ListBullet"/>
      </w:pPr>
      <w:r>
        <w:rPr>
          <w:rFonts w:ascii="Calibri" w:hAnsi="Calibri" w:eastAsia="Microsoft YaHei"/>
          <w:b w:val="0"/>
          <w:i w:val="0"/>
          <w:color w:val="202A35"/>
          <w:sz w:val="22"/>
        </w:rPr>
        <w:t>环境只执行一个动作，其他动作属于反事实，需要通过后续探索或价值估计比较。</w:t>
      </w:r>
    </w:p>
    <w:p>
      <w:pPr>
        <w:pStyle w:val="ListBullet"/>
      </w:pPr>
      <w:r>
        <w:rPr>
          <w:rFonts w:ascii="Calibri" w:hAnsi="Calibri" w:eastAsia="Microsoft YaHei"/>
          <w:b w:val="0"/>
          <w:i w:val="0"/>
          <w:color w:val="202A35"/>
          <w:sz w:val="22"/>
        </w:rPr>
        <w:t>节点负载、通信速率、任务拓扑和到达时刻会变化，固定规则无法覆盖全部组合。</w:t>
      </w:r>
    </w:p>
    <w:p>
      <w:pPr>
        <w:pStyle w:val="ListBullet"/>
      </w:pPr>
      <w:r>
        <w:rPr>
          <w:rFonts w:ascii="Calibri" w:hAnsi="Calibri" w:eastAsia="Microsoft YaHei"/>
          <w:b w:val="0"/>
          <w:i w:val="0"/>
          <w:color w:val="202A35"/>
          <w:sz w:val="22"/>
        </w:rPr>
        <w:t>Critic 需要大量转移样本学习长期回报；Actor 再依据 Critic 梯度修正节点概率和资源比例。</w:t>
      </w:r>
    </w:p>
    <w:p>
      <w:pPr>
        <w:pStyle w:val="ListBullet"/>
      </w:pPr>
      <w:r>
        <w:rPr>
          <w:rFonts w:ascii="Calibri" w:hAnsi="Calibri" w:eastAsia="Microsoft YaHei"/>
          <w:b w:val="0"/>
          <w:i w:val="0"/>
          <w:color w:val="202A35"/>
          <w:sz w:val="22"/>
        </w:rPr>
        <w:t>训练后的策略仍不是数学意义上的全局最优保证，而是在训练分布下获得的近似优良策略。</w:t>
      </w:r>
    </w:p>
    <w:p>
      <w:pPr>
        <w:pStyle w:val="Heading1"/>
      </w:pPr>
      <w:r>
        <w:t>4. 无中间计算层的工业轴承检测架构</w:t>
      </w:r>
    </w:p>
    <w:p>
      <w:pPr>
        <w:keepLines w:val="0"/>
      </w:pPr>
      <w:r>
        <w:rPr>
          <w:rFonts w:ascii="Calibri" w:hAnsi="Calibri" w:eastAsia="Microsoft YaHei"/>
          <w:b w:val="0"/>
          <w:i w:val="0"/>
          <w:color w:val="202A35"/>
          <w:sz w:val="22"/>
        </w:rPr>
        <w:t>系统采用“采集发送端—MQTT Broker/调度器—边缘节点群—按需云端”架构。采集与诊断解耦，数据路由与故障判断解耦，常规任务与复核任务解耦。</w:t>
      </w:r>
    </w:p>
    <w:tbl>
      <w:tblPr>
        <w:tblStyle w:val="TableGrid"/>
        <w:tblW w:type="dxa" w:w="9360"/>
        <w:tblLayout w:type="fixed"/>
        <w:tblLook w:firstColumn="1" w:firstRow="1" w:lastColumn="0" w:lastRow="0" w:noHBand="0" w:noVBand="1" w:val="04A0"/>
        <w:jc w:val="left"/>
        <w:tblInd w:w="120" w:type="dxa"/>
      </w:tblPr>
      <w:tblGrid>
        <w:gridCol w:w="1800"/>
        <w:gridCol w:w="4200"/>
        <w:gridCol w:w="3360"/>
      </w:tblGrid>
      <w:tr>
        <w:trPr>
          <w:cantSplit/>
          <w:tblHeader w:val="true"/>
          <w:cantSplit/>
        </w:trPr>
        <w:tc>
          <w:tcPr>
            <w:tcW w:type="dxa" w:w="1800"/>
            <w:tcMar>
              <w:top w:w="80" w:type="dxa"/>
              <w:start w:w="120" w:type="dxa"/>
              <w:bottom w:w="80" w:type="dxa"/>
              <w:end w:w="120" w:type="dxa"/>
            </w:tcMar>
            <w:vAlign w:val="center"/>
            <w:shd w:fill="F2F4F7"/>
          </w:tcPr>
          <w:p>
            <w:pPr>
              <w:spacing w:after="0"/>
            </w:pPr>
            <w:r>
              <w:rPr>
                <w:rFonts w:ascii="Calibri" w:hAnsi="Calibri" w:eastAsia="Microsoft YaHei"/>
                <w:b/>
                <w:i w:val="0"/>
                <w:color w:val="1F4D78"/>
                <w:sz w:val="17"/>
              </w:rPr>
              <w:t>组件</w:t>
            </w:r>
          </w:p>
        </w:tc>
        <w:tc>
          <w:tcPr>
            <w:tcW w:type="dxa" w:w="4200"/>
            <w:tcMar>
              <w:top w:w="80" w:type="dxa"/>
              <w:start w:w="120" w:type="dxa"/>
              <w:bottom w:w="80" w:type="dxa"/>
              <w:end w:w="120" w:type="dxa"/>
            </w:tcMar>
            <w:vAlign w:val="center"/>
            <w:shd w:fill="F2F4F7"/>
          </w:tcPr>
          <w:p>
            <w:pPr>
              <w:spacing w:after="0"/>
            </w:pPr>
            <w:r>
              <w:rPr>
                <w:rFonts w:ascii="Calibri" w:hAnsi="Calibri" w:eastAsia="Microsoft YaHei"/>
                <w:b/>
                <w:i w:val="0"/>
                <w:color w:val="1F4D78"/>
                <w:sz w:val="17"/>
              </w:rPr>
              <w:t>核心职责</w:t>
            </w:r>
          </w:p>
        </w:tc>
        <w:tc>
          <w:tcPr>
            <w:tcW w:type="dxa" w:w="3360"/>
            <w:tcMar>
              <w:top w:w="80" w:type="dxa"/>
              <w:start w:w="120" w:type="dxa"/>
              <w:bottom w:w="80" w:type="dxa"/>
              <w:end w:w="120" w:type="dxa"/>
            </w:tcMar>
            <w:vAlign w:val="center"/>
            <w:shd w:fill="F2F4F7"/>
          </w:tcPr>
          <w:p>
            <w:pPr>
              <w:spacing w:after="0"/>
            </w:pPr>
            <w:r>
              <w:rPr>
                <w:rFonts w:ascii="Calibri" w:hAnsi="Calibri" w:eastAsia="Microsoft YaHei"/>
                <w:b/>
                <w:i w:val="0"/>
                <w:color w:val="1F4D78"/>
                <w:sz w:val="17"/>
              </w:rPr>
              <w:t>明确不负责的事项</w:t>
            </w:r>
          </w:p>
        </w:tc>
      </w:tr>
      <w:tr>
        <w:trPr>
          <w:cantSplit/>
        </w:trPr>
        <w:tc>
          <w:tcPr>
            <w:tcW w:type="dxa" w:w="1800"/>
            <w:tcMar>
              <w:top w:w="80" w:type="dxa"/>
              <w:start w:w="120" w:type="dxa"/>
              <w:bottom w:w="80" w:type="dxa"/>
              <w:end w:w="120" w:type="dxa"/>
            </w:tcMar>
            <w:vAlign w:val="center"/>
          </w:tcPr>
          <w:p>
            <w:pPr>
              <w:spacing w:after="0" w:line="252" w:lineRule="auto"/>
            </w:pPr>
            <w:r>
              <w:rPr>
                <w:rFonts w:ascii="Calibri" w:hAnsi="Calibri" w:eastAsia="Microsoft YaHei"/>
                <w:b w:val="0"/>
                <w:i w:val="0"/>
                <w:color w:val="202A35"/>
                <w:sz w:val="17"/>
              </w:rPr>
              <w:t>轴承与传感器</w:t>
            </w:r>
          </w:p>
        </w:tc>
        <w:tc>
          <w:tcPr>
            <w:tcW w:type="dxa" w:w="4200"/>
            <w:tcMar>
              <w:top w:w="80" w:type="dxa"/>
              <w:start w:w="120" w:type="dxa"/>
              <w:bottom w:w="80" w:type="dxa"/>
              <w:end w:w="120" w:type="dxa"/>
            </w:tcMar>
            <w:vAlign w:val="center"/>
          </w:tcPr>
          <w:p>
            <w:pPr>
              <w:spacing w:after="0" w:line="252" w:lineRule="auto"/>
            </w:pPr>
            <w:r>
              <w:rPr>
                <w:rFonts w:ascii="Calibri" w:hAnsi="Calibri" w:eastAsia="Microsoft YaHei"/>
                <w:b w:val="0"/>
                <w:i w:val="0"/>
                <w:color w:val="202A35"/>
                <w:sz w:val="17"/>
              </w:rPr>
              <w:t>采集振动、电流、温度、转速、负载</w:t>
            </w:r>
          </w:p>
        </w:tc>
        <w:tc>
          <w:tcPr>
            <w:tcW w:type="dxa" w:w="3360"/>
            <w:tcMar>
              <w:top w:w="80" w:type="dxa"/>
              <w:start w:w="120" w:type="dxa"/>
              <w:bottom w:w="80" w:type="dxa"/>
              <w:end w:w="120" w:type="dxa"/>
            </w:tcMar>
            <w:vAlign w:val="center"/>
          </w:tcPr>
          <w:p>
            <w:pPr>
              <w:spacing w:after="0" w:line="252" w:lineRule="auto"/>
            </w:pPr>
            <w:r>
              <w:rPr>
                <w:rFonts w:ascii="Calibri" w:hAnsi="Calibri" w:eastAsia="Microsoft YaHei"/>
                <w:b w:val="0"/>
                <w:i w:val="0"/>
                <w:color w:val="202A35"/>
                <w:sz w:val="17"/>
              </w:rPr>
              <w:t>不做故障判断和节点选择</w:t>
            </w:r>
          </w:p>
        </w:tc>
      </w:tr>
      <w:tr>
        <w:trPr>
          <w:cantSplit/>
        </w:trPr>
        <w:tc>
          <w:tcPr>
            <w:tcW w:type="dxa" w:w="1800"/>
            <w:shd w:fill="FAFBFC"/>
            <w:tcMar>
              <w:top w:w="80" w:type="dxa"/>
              <w:start w:w="120" w:type="dxa"/>
              <w:bottom w:w="80" w:type="dxa"/>
              <w:end w:w="120" w:type="dxa"/>
            </w:tcMar>
            <w:vAlign w:val="center"/>
          </w:tcPr>
          <w:p>
            <w:pPr>
              <w:spacing w:after="0" w:line="252" w:lineRule="auto"/>
            </w:pPr>
            <w:r>
              <w:rPr>
                <w:rFonts w:ascii="Calibri" w:hAnsi="Calibri" w:eastAsia="Microsoft YaHei"/>
                <w:b w:val="0"/>
                <w:i w:val="0"/>
                <w:color w:val="202A35"/>
                <w:sz w:val="17"/>
              </w:rPr>
              <w:t>一体化采集发送器</w:t>
            </w:r>
          </w:p>
        </w:tc>
        <w:tc>
          <w:tcPr>
            <w:tcW w:type="dxa" w:w="4200"/>
            <w:shd w:fill="FAFBFC"/>
            <w:tcMar>
              <w:top w:w="80" w:type="dxa"/>
              <w:start w:w="120" w:type="dxa"/>
              <w:bottom w:w="80" w:type="dxa"/>
              <w:end w:w="120" w:type="dxa"/>
            </w:tcMar>
            <w:vAlign w:val="center"/>
          </w:tcPr>
          <w:p>
            <w:pPr>
              <w:spacing w:after="0" w:line="252" w:lineRule="auto"/>
            </w:pPr>
            <w:r>
              <w:rPr>
                <w:rFonts w:ascii="Calibri" w:hAnsi="Calibri" w:eastAsia="Microsoft YaHei"/>
                <w:b w:val="0"/>
                <w:i w:val="0"/>
                <w:color w:val="202A35"/>
                <w:sz w:val="17"/>
              </w:rPr>
              <w:t>连续缓存、微批量封装、序号与时间戳、MQTT 发布</w:t>
            </w:r>
          </w:p>
        </w:tc>
        <w:tc>
          <w:tcPr>
            <w:tcW w:type="dxa" w:w="3360"/>
            <w:shd w:fill="FAFBFC"/>
            <w:tcMar>
              <w:top w:w="80" w:type="dxa"/>
              <w:start w:w="120" w:type="dxa"/>
              <w:bottom w:w="80" w:type="dxa"/>
              <w:end w:w="120" w:type="dxa"/>
            </w:tcMar>
            <w:vAlign w:val="center"/>
          </w:tcPr>
          <w:p>
            <w:pPr>
              <w:spacing w:after="0" w:line="252" w:lineRule="auto"/>
            </w:pPr>
            <w:r>
              <w:rPr>
                <w:rFonts w:ascii="Calibri" w:hAnsi="Calibri" w:eastAsia="Microsoft YaHei"/>
                <w:b w:val="0"/>
                <w:i w:val="0"/>
                <w:color w:val="202A35"/>
                <w:sz w:val="17"/>
              </w:rPr>
              <w:t>不依据负载自行选择边缘节点</w:t>
            </w:r>
          </w:p>
        </w:tc>
      </w:tr>
      <w:tr>
        <w:trPr>
          <w:cantSplit/>
        </w:trPr>
        <w:tc>
          <w:tcPr>
            <w:tcW w:type="dxa" w:w="1800"/>
            <w:tcMar>
              <w:top w:w="80" w:type="dxa"/>
              <w:start w:w="120" w:type="dxa"/>
              <w:bottom w:w="80" w:type="dxa"/>
              <w:end w:w="120" w:type="dxa"/>
            </w:tcMar>
            <w:vAlign w:val="center"/>
          </w:tcPr>
          <w:p>
            <w:pPr>
              <w:spacing w:after="0" w:line="252" w:lineRule="auto"/>
            </w:pPr>
            <w:r>
              <w:rPr>
                <w:rFonts w:ascii="Calibri" w:hAnsi="Calibri" w:eastAsia="Microsoft YaHei"/>
                <w:b w:val="0"/>
                <w:i w:val="0"/>
                <w:color w:val="202A35"/>
                <w:sz w:val="17"/>
              </w:rPr>
              <w:t>MQTT Broker</w:t>
            </w:r>
          </w:p>
        </w:tc>
        <w:tc>
          <w:tcPr>
            <w:tcW w:type="dxa" w:w="4200"/>
            <w:tcMar>
              <w:top w:w="80" w:type="dxa"/>
              <w:start w:w="120" w:type="dxa"/>
              <w:bottom w:w="80" w:type="dxa"/>
              <w:end w:w="120" w:type="dxa"/>
            </w:tcMar>
            <w:vAlign w:val="center"/>
          </w:tcPr>
          <w:p>
            <w:pPr>
              <w:spacing w:after="0" w:line="252" w:lineRule="auto"/>
            </w:pPr>
            <w:r>
              <w:rPr>
                <w:rFonts w:ascii="Calibri" w:hAnsi="Calibri" w:eastAsia="Microsoft YaHei"/>
                <w:b w:val="0"/>
                <w:i w:val="0"/>
                <w:color w:val="202A35"/>
                <w:sz w:val="17"/>
              </w:rPr>
              <w:t>主题订阅、消息转发、QoS 与断线重连</w:t>
            </w:r>
          </w:p>
        </w:tc>
        <w:tc>
          <w:tcPr>
            <w:tcW w:type="dxa" w:w="3360"/>
            <w:tcMar>
              <w:top w:w="80" w:type="dxa"/>
              <w:start w:w="120" w:type="dxa"/>
              <w:bottom w:w="80" w:type="dxa"/>
              <w:end w:w="120" w:type="dxa"/>
            </w:tcMar>
            <w:vAlign w:val="center"/>
          </w:tcPr>
          <w:p>
            <w:pPr>
              <w:spacing w:after="0" w:line="252" w:lineRule="auto"/>
            </w:pPr>
            <w:r>
              <w:rPr>
                <w:rFonts w:ascii="Calibri" w:hAnsi="Calibri" w:eastAsia="Microsoft YaHei"/>
                <w:b w:val="0"/>
                <w:i w:val="0"/>
                <w:color w:val="202A35"/>
                <w:sz w:val="17"/>
              </w:rPr>
              <w:t>不执行调度策略和诊断模型</w:t>
            </w:r>
          </w:p>
        </w:tc>
      </w:tr>
      <w:tr>
        <w:trPr>
          <w:cantSplit/>
        </w:trPr>
        <w:tc>
          <w:tcPr>
            <w:tcW w:type="dxa" w:w="1800"/>
            <w:shd w:fill="FAFBFC"/>
            <w:tcMar>
              <w:top w:w="80" w:type="dxa"/>
              <w:start w:w="120" w:type="dxa"/>
              <w:bottom w:w="80" w:type="dxa"/>
              <w:end w:w="120" w:type="dxa"/>
            </w:tcMar>
            <w:vAlign w:val="center"/>
          </w:tcPr>
          <w:p>
            <w:pPr>
              <w:spacing w:after="0" w:line="252" w:lineRule="auto"/>
            </w:pPr>
            <w:r>
              <w:rPr>
                <w:rFonts w:ascii="Calibri" w:hAnsi="Calibri" w:eastAsia="Microsoft YaHei"/>
                <w:b w:val="0"/>
                <w:i w:val="0"/>
                <w:color w:val="202A35"/>
                <w:sz w:val="17"/>
              </w:rPr>
              <w:t>调度器</w:t>
            </w:r>
          </w:p>
        </w:tc>
        <w:tc>
          <w:tcPr>
            <w:tcW w:type="dxa" w:w="4200"/>
            <w:shd w:fill="FAFBFC"/>
            <w:tcMar>
              <w:top w:w="80" w:type="dxa"/>
              <w:start w:w="120" w:type="dxa"/>
              <w:bottom w:w="80" w:type="dxa"/>
              <w:end w:w="120" w:type="dxa"/>
            </w:tcMar>
            <w:vAlign w:val="center"/>
          </w:tcPr>
          <w:p>
            <w:pPr>
              <w:spacing w:after="0" w:line="252" w:lineRule="auto"/>
            </w:pPr>
            <w:r>
              <w:rPr>
                <w:rFonts w:ascii="Calibri" w:hAnsi="Calibri" w:eastAsia="Microsoft YaHei"/>
                <w:b w:val="0"/>
                <w:i w:val="0"/>
                <w:color w:val="202A35"/>
                <w:sz w:val="17"/>
              </w:rPr>
              <w:t>构造 DAG、生成 List_seq、读取状态、选择节点与资源、触发复核/上云</w:t>
            </w:r>
          </w:p>
        </w:tc>
        <w:tc>
          <w:tcPr>
            <w:tcW w:type="dxa" w:w="3360"/>
            <w:shd w:fill="FAFBFC"/>
            <w:tcMar>
              <w:top w:w="80" w:type="dxa"/>
              <w:start w:w="120" w:type="dxa"/>
              <w:bottom w:w="80" w:type="dxa"/>
              <w:end w:w="120" w:type="dxa"/>
            </w:tcMar>
            <w:vAlign w:val="center"/>
          </w:tcPr>
          <w:p>
            <w:pPr>
              <w:spacing w:after="0" w:line="252" w:lineRule="auto"/>
            </w:pPr>
            <w:r>
              <w:rPr>
                <w:rFonts w:ascii="Calibri" w:hAnsi="Calibri" w:eastAsia="Microsoft YaHei"/>
                <w:b w:val="0"/>
                <w:i w:val="0"/>
                <w:color w:val="202A35"/>
                <w:sz w:val="17"/>
              </w:rPr>
              <w:t>不直接给出轴承故障类别</w:t>
            </w:r>
          </w:p>
        </w:tc>
      </w:tr>
      <w:tr>
        <w:trPr>
          <w:cantSplit/>
        </w:trPr>
        <w:tc>
          <w:tcPr>
            <w:tcW w:type="dxa" w:w="1800"/>
            <w:tcMar>
              <w:top w:w="80" w:type="dxa"/>
              <w:start w:w="120" w:type="dxa"/>
              <w:bottom w:w="80" w:type="dxa"/>
              <w:end w:w="120" w:type="dxa"/>
            </w:tcMar>
            <w:vAlign w:val="center"/>
          </w:tcPr>
          <w:p>
            <w:pPr>
              <w:spacing w:after="0" w:line="252" w:lineRule="auto"/>
            </w:pPr>
            <w:r>
              <w:rPr>
                <w:rFonts w:ascii="Calibri" w:hAnsi="Calibri" w:eastAsia="Microsoft YaHei"/>
                <w:b w:val="0"/>
                <w:i w:val="0"/>
                <w:color w:val="202A35"/>
                <w:sz w:val="17"/>
              </w:rPr>
              <w:t>边缘节点 E1</w:t>
            </w:r>
          </w:p>
        </w:tc>
        <w:tc>
          <w:tcPr>
            <w:tcW w:type="dxa" w:w="4200"/>
            <w:tcMar>
              <w:top w:w="80" w:type="dxa"/>
              <w:start w:w="120" w:type="dxa"/>
              <w:bottom w:w="80" w:type="dxa"/>
              <w:end w:w="120" w:type="dxa"/>
            </w:tcMar>
            <w:vAlign w:val="center"/>
          </w:tcPr>
          <w:p>
            <w:pPr>
              <w:spacing w:after="0" w:line="252" w:lineRule="auto"/>
            </w:pPr>
            <w:r>
              <w:rPr>
                <w:rFonts w:ascii="Calibri" w:hAnsi="Calibri" w:eastAsia="Microsoft YaHei"/>
                <w:b w:val="0"/>
                <w:i w:val="0"/>
                <w:color w:val="202A35"/>
                <w:sz w:val="17"/>
              </w:rPr>
              <w:t>振动预处理、时域/频域特征、轻量初检</w:t>
            </w:r>
          </w:p>
        </w:tc>
        <w:tc>
          <w:tcPr>
            <w:tcW w:type="dxa" w:w="3360"/>
            <w:tcMar>
              <w:top w:w="80" w:type="dxa"/>
              <w:start w:w="120" w:type="dxa"/>
              <w:bottom w:w="80" w:type="dxa"/>
              <w:end w:w="120" w:type="dxa"/>
            </w:tcMar>
            <w:vAlign w:val="center"/>
          </w:tcPr>
          <w:p>
            <w:pPr>
              <w:spacing w:after="0" w:line="252" w:lineRule="auto"/>
            </w:pPr>
            <w:r>
              <w:rPr>
                <w:rFonts w:ascii="Calibri" w:hAnsi="Calibri" w:eastAsia="Microsoft YaHei"/>
                <w:b w:val="0"/>
                <w:i w:val="0"/>
                <w:color w:val="202A35"/>
                <w:sz w:val="17"/>
              </w:rPr>
              <w:t>不强制处理所有数据</w:t>
            </w:r>
          </w:p>
        </w:tc>
      </w:tr>
      <w:tr>
        <w:trPr>
          <w:cantSplit/>
        </w:trPr>
        <w:tc>
          <w:tcPr>
            <w:tcW w:type="dxa" w:w="1800"/>
            <w:shd w:fill="FAFBFC"/>
            <w:tcMar>
              <w:top w:w="80" w:type="dxa"/>
              <w:start w:w="120" w:type="dxa"/>
              <w:bottom w:w="80" w:type="dxa"/>
              <w:end w:w="120" w:type="dxa"/>
            </w:tcMar>
            <w:vAlign w:val="center"/>
          </w:tcPr>
          <w:p>
            <w:pPr>
              <w:spacing w:after="0" w:line="252" w:lineRule="auto"/>
            </w:pPr>
            <w:r>
              <w:rPr>
                <w:rFonts w:ascii="Calibri" w:hAnsi="Calibri" w:eastAsia="Microsoft YaHei"/>
                <w:b w:val="0"/>
                <w:i w:val="0"/>
                <w:color w:val="202A35"/>
                <w:sz w:val="17"/>
              </w:rPr>
              <w:t>边缘节点 E2</w:t>
            </w:r>
          </w:p>
        </w:tc>
        <w:tc>
          <w:tcPr>
            <w:tcW w:type="dxa" w:w="4200"/>
            <w:shd w:fill="FAFBFC"/>
            <w:tcMar>
              <w:top w:w="80" w:type="dxa"/>
              <w:start w:w="120" w:type="dxa"/>
              <w:bottom w:w="80" w:type="dxa"/>
              <w:end w:w="120" w:type="dxa"/>
            </w:tcMar>
            <w:vAlign w:val="center"/>
          </w:tcPr>
          <w:p>
            <w:pPr>
              <w:spacing w:after="0" w:line="252" w:lineRule="auto"/>
            </w:pPr>
            <w:r>
              <w:rPr>
                <w:rFonts w:ascii="Calibri" w:hAnsi="Calibri" w:eastAsia="Microsoft YaHei"/>
                <w:b w:val="0"/>
                <w:i w:val="0"/>
                <w:color w:val="202A35"/>
                <w:sz w:val="17"/>
              </w:rPr>
              <w:t>独立模型或较保守阈值复核</w:t>
            </w:r>
          </w:p>
        </w:tc>
        <w:tc>
          <w:tcPr>
            <w:tcW w:type="dxa" w:w="3360"/>
            <w:shd w:fill="FAFBFC"/>
            <w:tcMar>
              <w:top w:w="80" w:type="dxa"/>
              <w:start w:w="120" w:type="dxa"/>
              <w:bottom w:w="80" w:type="dxa"/>
              <w:end w:w="120" w:type="dxa"/>
            </w:tcMar>
            <w:vAlign w:val="center"/>
          </w:tcPr>
          <w:p>
            <w:pPr>
              <w:spacing w:after="0" w:line="252" w:lineRule="auto"/>
            </w:pPr>
            <w:r>
              <w:rPr>
                <w:rFonts w:ascii="Calibri" w:hAnsi="Calibri" w:eastAsia="Microsoft YaHei"/>
                <w:b w:val="0"/>
                <w:i w:val="0"/>
                <w:color w:val="202A35"/>
                <w:sz w:val="17"/>
              </w:rPr>
              <w:t>不在无触发条件时重复计算</w:t>
            </w:r>
          </w:p>
        </w:tc>
      </w:tr>
      <w:tr>
        <w:trPr>
          <w:cantSplit/>
        </w:trPr>
        <w:tc>
          <w:tcPr>
            <w:tcW w:type="dxa" w:w="1800"/>
            <w:tcMar>
              <w:top w:w="80" w:type="dxa"/>
              <w:start w:w="120" w:type="dxa"/>
              <w:bottom w:w="80" w:type="dxa"/>
              <w:end w:w="120" w:type="dxa"/>
            </w:tcMar>
            <w:vAlign w:val="center"/>
          </w:tcPr>
          <w:p>
            <w:pPr>
              <w:spacing w:after="0" w:line="252" w:lineRule="auto"/>
            </w:pPr>
            <w:r>
              <w:rPr>
                <w:rFonts w:ascii="Calibri" w:hAnsi="Calibri" w:eastAsia="Microsoft YaHei"/>
                <w:b w:val="0"/>
                <w:i w:val="0"/>
                <w:color w:val="202A35"/>
                <w:sz w:val="17"/>
              </w:rPr>
              <w:t>边缘节点 E3</w:t>
            </w:r>
          </w:p>
        </w:tc>
        <w:tc>
          <w:tcPr>
            <w:tcW w:type="dxa" w:w="4200"/>
            <w:tcMar>
              <w:top w:w="80" w:type="dxa"/>
              <w:start w:w="120" w:type="dxa"/>
              <w:bottom w:w="80" w:type="dxa"/>
              <w:end w:w="120" w:type="dxa"/>
            </w:tcMar>
            <w:vAlign w:val="center"/>
          </w:tcPr>
          <w:p>
            <w:pPr>
              <w:spacing w:after="0" w:line="252" w:lineRule="auto"/>
            </w:pPr>
            <w:r>
              <w:rPr>
                <w:rFonts w:ascii="Calibri" w:hAnsi="Calibri" w:eastAsia="Microsoft YaHei"/>
                <w:b w:val="0"/>
                <w:i w:val="0"/>
                <w:color w:val="202A35"/>
                <w:sz w:val="17"/>
              </w:rPr>
              <w:t>多传感融合、规则一致性检查或备用算力</w:t>
            </w:r>
          </w:p>
        </w:tc>
        <w:tc>
          <w:tcPr>
            <w:tcW w:type="dxa" w:w="3360"/>
            <w:tcMar>
              <w:top w:w="80" w:type="dxa"/>
              <w:start w:w="120" w:type="dxa"/>
              <w:bottom w:w="80" w:type="dxa"/>
              <w:end w:w="120" w:type="dxa"/>
            </w:tcMar>
            <w:vAlign w:val="center"/>
          </w:tcPr>
          <w:p>
            <w:pPr>
              <w:spacing w:after="0" w:line="252" w:lineRule="auto"/>
            </w:pPr>
            <w:r>
              <w:rPr>
                <w:rFonts w:ascii="Calibri" w:hAnsi="Calibri" w:eastAsia="Microsoft YaHei"/>
                <w:b w:val="0"/>
                <w:i w:val="0"/>
                <w:color w:val="202A35"/>
                <w:sz w:val="17"/>
              </w:rPr>
              <w:t>不替代云端复杂诊断</w:t>
            </w:r>
          </w:p>
        </w:tc>
      </w:tr>
      <w:tr>
        <w:trPr>
          <w:cantSplit/>
        </w:trPr>
        <w:tc>
          <w:tcPr>
            <w:tcW w:type="dxa" w:w="1800"/>
            <w:shd w:fill="FAFBFC"/>
            <w:tcMar>
              <w:top w:w="80" w:type="dxa"/>
              <w:start w:w="120" w:type="dxa"/>
              <w:bottom w:w="80" w:type="dxa"/>
              <w:end w:w="120" w:type="dxa"/>
            </w:tcMar>
            <w:vAlign w:val="center"/>
          </w:tcPr>
          <w:p>
            <w:pPr>
              <w:spacing w:after="0" w:line="252" w:lineRule="auto"/>
            </w:pPr>
            <w:r>
              <w:rPr>
                <w:rFonts w:ascii="Calibri" w:hAnsi="Calibri" w:eastAsia="Microsoft YaHei"/>
                <w:b w:val="0"/>
                <w:i w:val="0"/>
                <w:color w:val="202A35"/>
                <w:sz w:val="17"/>
              </w:rPr>
              <w:t>云端</w:t>
            </w:r>
          </w:p>
        </w:tc>
        <w:tc>
          <w:tcPr>
            <w:tcW w:type="dxa" w:w="4200"/>
            <w:shd w:fill="FAFBFC"/>
            <w:tcMar>
              <w:top w:w="80" w:type="dxa"/>
              <w:start w:w="120" w:type="dxa"/>
              <w:bottom w:w="80" w:type="dxa"/>
              <w:end w:w="120" w:type="dxa"/>
            </w:tcMar>
            <w:vAlign w:val="center"/>
          </w:tcPr>
          <w:p>
            <w:pPr>
              <w:spacing w:after="0" w:line="252" w:lineRule="auto"/>
            </w:pPr>
            <w:r>
              <w:rPr>
                <w:rFonts w:ascii="Calibri" w:hAnsi="Calibri" w:eastAsia="Microsoft YaHei"/>
                <w:b w:val="0"/>
                <w:i w:val="0"/>
                <w:color w:val="202A35"/>
                <w:sz w:val="17"/>
              </w:rPr>
              <w:t>冲突仲裁、复杂模型、历史趋势、模型更新与归档</w:t>
            </w:r>
          </w:p>
        </w:tc>
        <w:tc>
          <w:tcPr>
            <w:tcW w:type="dxa" w:w="3360"/>
            <w:shd w:fill="FAFBFC"/>
            <w:tcMar>
              <w:top w:w="80" w:type="dxa"/>
              <w:start w:w="120" w:type="dxa"/>
              <w:bottom w:w="80" w:type="dxa"/>
              <w:end w:w="120" w:type="dxa"/>
            </w:tcMar>
            <w:vAlign w:val="center"/>
          </w:tcPr>
          <w:p>
            <w:pPr>
              <w:spacing w:after="0" w:line="252" w:lineRule="auto"/>
            </w:pPr>
            <w:r>
              <w:rPr>
                <w:rFonts w:ascii="Calibri" w:hAnsi="Calibri" w:eastAsia="Microsoft YaHei"/>
                <w:b w:val="0"/>
                <w:i w:val="0"/>
                <w:color w:val="202A35"/>
                <w:sz w:val="17"/>
              </w:rPr>
              <w:t>不作为所有数据的默认必经节点</w:t>
            </w:r>
          </w:p>
        </w:tc>
      </w:tr>
    </w:tbl>
    <w:p>
      <w:pPr>
        <w:spacing w:after="0"/>
      </w:pPr>
    </w:p>
    <w:p>
      <w:pPr>
        <w:keepLines/>
        <w:spacing w:before="100" w:after="180"/>
        <w:ind w:left="115" w:right="115"/>
        <w:shd w:fill="E8EEF5"/>
        <w:pBdr>
          <w:left w:val="single" w:sz="18" w:space="6" w:color="1F4D78"/>
        </w:pBdr>
      </w:pPr>
      <w:r>
        <w:rPr>
          <w:rFonts w:ascii="Calibri" w:hAnsi="Calibri" w:eastAsia="Microsoft YaHei"/>
          <w:b/>
          <w:i w:val="0"/>
          <w:color w:val="1F4D78"/>
          <w:sz w:val="22"/>
        </w:rPr>
        <w:t>路由原则：</w:t>
      </w:r>
      <w:r>
        <w:rPr>
          <w:rFonts w:ascii="Calibri" w:hAnsi="Calibri" w:eastAsia="Microsoft YaHei"/>
          <w:b w:val="0"/>
          <w:i w:val="0"/>
          <w:color w:val="202A35"/>
          <w:sz w:val="22"/>
        </w:rPr>
        <w:t>发送器统一向 `task/raw` 发布；调度器订阅原始任务并根据策略向 `edge/{node_id}/task` 发布；边缘结果通过 `task/result` 回传；只有满足上云条件时才向 `cloud/diagnosis/task` 发布。</w:t>
      </w:r>
    </w:p>
    <w:p>
      <w:pPr>
        <w:pStyle w:val="Heading2"/>
      </w:pPr>
      <w:r>
        <w:t>4.1 节点异构性的表达</w:t>
      </w:r>
    </w:p>
    <w:p>
      <w:pPr>
        <w:keepLines w:val="0"/>
      </w:pPr>
      <w:r>
        <w:rPr>
          <w:rFonts w:ascii="Calibri" w:hAnsi="Calibri" w:eastAsia="Microsoft YaHei"/>
          <w:b w:val="0"/>
          <w:i w:val="0"/>
          <w:color w:val="202A35"/>
          <w:sz w:val="22"/>
        </w:rPr>
        <w:t>多个边缘节点不是同一设备的简单复制。节点可在 CPU 容量、当前负载、模型版本、特征能力和安全阈值上存在差异。调度状态中的 CR_t 与 R_t 描述瞬时资源和链路，节点能力标签则用于构建可行节点集合：不具备对应模型或最小资源的节点在决策前被屏蔽。这样可避免 Actor 选择物理上无法执行该子任务的节点。</w:t>
      </w:r>
    </w:p>
    <w:p>
      <w:pPr>
        <w:pStyle w:val="Heading2"/>
      </w:pPr>
      <w:r>
        <w:t>4.2 弱网自治边界</w:t>
      </w:r>
    </w:p>
    <w:p>
      <w:pPr>
        <w:keepLines w:val="0"/>
      </w:pPr>
      <w:r>
        <w:rPr>
          <w:rFonts w:ascii="Calibri" w:hAnsi="Calibri" w:eastAsia="Microsoft YaHei"/>
          <w:b w:val="0"/>
          <w:i w:val="0"/>
          <w:color w:val="202A35"/>
          <w:sz w:val="22"/>
        </w:rPr>
        <w:t>当边缘到云端通信波动或中断时，边缘节点继续完成基础安全判断，不等待云端才决定是否告警。对于疑似严重异常，可先执行本地保护动作或保守告警，同时缓存完整原始窗口；链路较弱但仍可用时，优先上传 RMS、Peak、峭度、频带能量、置信度和设备工况等特征摘要；链路恢复后再补传原始数据。该逻辑属于业务安全规则，不改变论文以完成时间为核心的奖励定义。</w:t>
      </w:r>
    </w:p>
    <w:p>
      <w:pPr>
        <w:pStyle w:val="Heading1"/>
      </w:pPr>
      <w:r>
        <w:t>5. 轴承数据采集、封装与通信流程</w:t>
      </w:r>
    </w:p>
    <w:p>
      <w:pPr>
        <w:pStyle w:val="Heading2"/>
      </w:pPr>
      <w:r>
        <w:t>5.1 时间与数据参数</w:t>
      </w:r>
    </w:p>
    <w:tbl>
      <w:tblPr>
        <w:tblStyle w:val="TableGrid"/>
        <w:tblW w:type="dxa" w:w="9360"/>
        <w:tblLayout w:type="fixed"/>
        <w:tblLook w:firstColumn="1" w:firstRow="1" w:lastColumn="0" w:lastRow="0" w:noHBand="0" w:noVBand="1" w:val="04A0"/>
        <w:jc w:val="left"/>
        <w:tblInd w:w="120" w:type="dxa"/>
      </w:tblPr>
      <w:tblGrid>
        <w:gridCol w:w="2400"/>
        <w:gridCol w:w="2100"/>
        <w:gridCol w:w="4860"/>
      </w:tblGrid>
      <w:tr>
        <w:trPr>
          <w:cantSplit/>
          <w:tblHeader w:val="true"/>
          <w:cantSplit/>
        </w:trPr>
        <w:tc>
          <w:tcPr>
            <w:tcW w:type="dxa" w:w="2400"/>
            <w:tcMar>
              <w:top w:w="80" w:type="dxa"/>
              <w:start w:w="120" w:type="dxa"/>
              <w:bottom w:w="80" w:type="dxa"/>
              <w:end w:w="120" w:type="dxa"/>
            </w:tcMar>
            <w:vAlign w:val="center"/>
            <w:shd w:fill="F2F4F7"/>
          </w:tcPr>
          <w:p>
            <w:pPr>
              <w:spacing w:after="0"/>
            </w:pPr>
            <w:r>
              <w:rPr>
                <w:rFonts w:ascii="Calibri" w:hAnsi="Calibri" w:eastAsia="Microsoft YaHei"/>
                <w:b/>
                <w:i w:val="0"/>
                <w:color w:val="1F4D78"/>
                <w:sz w:val="18"/>
              </w:rPr>
              <w:t>参数</w:t>
            </w:r>
          </w:p>
        </w:tc>
        <w:tc>
          <w:tcPr>
            <w:tcW w:type="dxa" w:w="2100"/>
            <w:tcMar>
              <w:top w:w="80" w:type="dxa"/>
              <w:start w:w="120" w:type="dxa"/>
              <w:bottom w:w="80" w:type="dxa"/>
              <w:end w:w="120" w:type="dxa"/>
            </w:tcMar>
            <w:vAlign w:val="center"/>
            <w:shd w:fill="F2F4F7"/>
          </w:tcPr>
          <w:p>
            <w:pPr>
              <w:spacing w:after="0"/>
            </w:pPr>
            <w:r>
              <w:rPr>
                <w:rFonts w:ascii="Calibri" w:hAnsi="Calibri" w:eastAsia="Microsoft YaHei"/>
                <w:b/>
                <w:i w:val="0"/>
                <w:color w:val="1F4D78"/>
                <w:sz w:val="18"/>
              </w:rPr>
              <w:t>设定值</w:t>
            </w:r>
          </w:p>
        </w:tc>
        <w:tc>
          <w:tcPr>
            <w:tcW w:type="dxa" w:w="4860"/>
            <w:tcMar>
              <w:top w:w="80" w:type="dxa"/>
              <w:start w:w="120" w:type="dxa"/>
              <w:bottom w:w="80" w:type="dxa"/>
              <w:end w:w="120" w:type="dxa"/>
            </w:tcMar>
            <w:vAlign w:val="center"/>
            <w:shd w:fill="F2F4F7"/>
          </w:tcPr>
          <w:p>
            <w:pPr>
              <w:spacing w:after="0"/>
            </w:pPr>
            <w:r>
              <w:rPr>
                <w:rFonts w:ascii="Calibri" w:hAnsi="Calibri" w:eastAsia="Microsoft YaHei"/>
                <w:b/>
                <w:i w:val="0"/>
                <w:color w:val="1F4D78"/>
                <w:sz w:val="18"/>
              </w:rPr>
              <w:t>在调度中的含义</w:t>
            </w:r>
          </w:p>
        </w:tc>
      </w:tr>
      <w:tr>
        <w:trPr>
          <w:cantSplit/>
        </w:trPr>
        <w:tc>
          <w:tcPr>
            <w:tcW w:type="dxa" w:w="2400"/>
            <w:tcMar>
              <w:top w:w="80" w:type="dxa"/>
              <w:start w:w="120" w:type="dxa"/>
              <w:bottom w:w="80" w:type="dxa"/>
              <w:end w:w="120" w:type="dxa"/>
            </w:tcMar>
            <w:vAlign w:val="center"/>
          </w:tcPr>
          <w:p>
            <w:pPr>
              <w:spacing w:after="0" w:line="252" w:lineRule="auto"/>
            </w:pPr>
            <w:r>
              <w:rPr>
                <w:rFonts w:ascii="Calibri" w:hAnsi="Calibri" w:eastAsia="Microsoft YaHei"/>
                <w:b w:val="0"/>
                <w:i w:val="0"/>
                <w:color w:val="202A35"/>
                <w:sz w:val="18"/>
              </w:rPr>
              <w:t>振动有效采样率</w:t>
            </w:r>
          </w:p>
        </w:tc>
        <w:tc>
          <w:tcPr>
            <w:tcW w:type="dxa" w:w="2100"/>
            <w:tcMar>
              <w:top w:w="80" w:type="dxa"/>
              <w:start w:w="120" w:type="dxa"/>
              <w:bottom w:w="80" w:type="dxa"/>
              <w:end w:w="120" w:type="dxa"/>
            </w:tcMar>
            <w:vAlign w:val="center"/>
          </w:tcPr>
          <w:p>
            <w:pPr>
              <w:spacing w:after="0" w:line="252" w:lineRule="auto"/>
            </w:pPr>
            <w:r>
              <w:rPr>
                <w:rFonts w:ascii="Calibri" w:hAnsi="Calibri" w:eastAsia="Microsoft YaHei"/>
                <w:b w:val="0"/>
                <w:i w:val="0"/>
                <w:color w:val="202A35"/>
                <w:sz w:val="18"/>
              </w:rPr>
              <w:t>16 kHz</w:t>
            </w:r>
          </w:p>
        </w:tc>
        <w:tc>
          <w:tcPr>
            <w:tcW w:type="dxa" w:w="4860"/>
            <w:tcMar>
              <w:top w:w="80" w:type="dxa"/>
              <w:start w:w="120" w:type="dxa"/>
              <w:bottom w:w="80" w:type="dxa"/>
              <w:end w:w="120" w:type="dxa"/>
            </w:tcMar>
            <w:vAlign w:val="center"/>
          </w:tcPr>
          <w:p>
            <w:pPr>
              <w:spacing w:after="0" w:line="252" w:lineRule="auto"/>
            </w:pPr>
            <w:r>
              <w:rPr>
                <w:rFonts w:ascii="Calibri" w:hAnsi="Calibri" w:eastAsia="Microsoft YaHei"/>
                <w:b w:val="0"/>
                <w:i w:val="0"/>
                <w:color w:val="202A35"/>
                <w:sz w:val="18"/>
              </w:rPr>
              <w:t>决定振动数据量和频域分析上限</w:t>
            </w:r>
          </w:p>
        </w:tc>
      </w:tr>
      <w:tr>
        <w:trPr>
          <w:cantSplit/>
        </w:trPr>
        <w:tc>
          <w:tcPr>
            <w:tcW w:type="dxa" w:w="2400"/>
            <w:shd w:fill="FAFBFC"/>
            <w:tcMar>
              <w:top w:w="80" w:type="dxa"/>
              <w:start w:w="120" w:type="dxa"/>
              <w:bottom w:w="80" w:type="dxa"/>
              <w:end w:w="120" w:type="dxa"/>
            </w:tcMar>
            <w:vAlign w:val="center"/>
          </w:tcPr>
          <w:p>
            <w:pPr>
              <w:spacing w:after="0" w:line="252" w:lineRule="auto"/>
            </w:pPr>
            <w:r>
              <w:rPr>
                <w:rFonts w:ascii="Calibri" w:hAnsi="Calibri" w:eastAsia="Microsoft YaHei"/>
                <w:b w:val="0"/>
                <w:i w:val="0"/>
                <w:color w:val="202A35"/>
                <w:sz w:val="18"/>
              </w:rPr>
              <w:t>采集读取周期</w:t>
            </w:r>
          </w:p>
        </w:tc>
        <w:tc>
          <w:tcPr>
            <w:tcW w:type="dxa" w:w="2100"/>
            <w:shd w:fill="FAFBFC"/>
            <w:tcMar>
              <w:top w:w="80" w:type="dxa"/>
              <w:start w:w="120" w:type="dxa"/>
              <w:bottom w:w="80" w:type="dxa"/>
              <w:end w:w="120" w:type="dxa"/>
            </w:tcMar>
            <w:vAlign w:val="center"/>
          </w:tcPr>
          <w:p>
            <w:pPr>
              <w:spacing w:after="0" w:line="252" w:lineRule="auto"/>
            </w:pPr>
            <w:r>
              <w:rPr>
                <w:rFonts w:ascii="Calibri" w:hAnsi="Calibri" w:eastAsia="Microsoft YaHei"/>
                <w:b w:val="0"/>
                <w:i w:val="0"/>
                <w:color w:val="202A35"/>
                <w:sz w:val="18"/>
              </w:rPr>
              <w:t>4 ms / 64 点</w:t>
            </w:r>
          </w:p>
        </w:tc>
        <w:tc>
          <w:tcPr>
            <w:tcW w:type="dxa" w:w="4860"/>
            <w:shd w:fill="FAFBFC"/>
            <w:tcMar>
              <w:top w:w="80" w:type="dxa"/>
              <w:start w:w="120" w:type="dxa"/>
              <w:bottom w:w="80" w:type="dxa"/>
              <w:end w:w="120" w:type="dxa"/>
            </w:tcMar>
            <w:vAlign w:val="center"/>
          </w:tcPr>
          <w:p>
            <w:pPr>
              <w:spacing w:after="0" w:line="252" w:lineRule="auto"/>
            </w:pPr>
            <w:r>
              <w:rPr>
                <w:rFonts w:ascii="Calibri" w:hAnsi="Calibri" w:eastAsia="Microsoft YaHei"/>
                <w:b w:val="0"/>
                <w:i w:val="0"/>
                <w:color w:val="202A35"/>
                <w:sz w:val="18"/>
              </w:rPr>
              <w:t>连续写入发送缓冲区，不单独触发网络发送</w:t>
            </w:r>
          </w:p>
        </w:tc>
      </w:tr>
      <w:tr>
        <w:trPr>
          <w:cantSplit/>
        </w:trPr>
        <w:tc>
          <w:tcPr>
            <w:tcW w:type="dxa" w:w="2400"/>
            <w:tcMar>
              <w:top w:w="80" w:type="dxa"/>
              <w:start w:w="120" w:type="dxa"/>
              <w:bottom w:w="80" w:type="dxa"/>
              <w:end w:w="120" w:type="dxa"/>
            </w:tcMar>
            <w:vAlign w:val="center"/>
          </w:tcPr>
          <w:p>
            <w:pPr>
              <w:spacing w:after="0" w:line="252" w:lineRule="auto"/>
            </w:pPr>
            <w:r>
              <w:rPr>
                <w:rFonts w:ascii="Calibri" w:hAnsi="Calibri" w:eastAsia="Microsoft YaHei"/>
                <w:b w:val="0"/>
                <w:i w:val="0"/>
                <w:color w:val="202A35"/>
                <w:sz w:val="18"/>
              </w:rPr>
              <w:t>微批量发送周期</w:t>
            </w:r>
          </w:p>
        </w:tc>
        <w:tc>
          <w:tcPr>
            <w:tcW w:type="dxa" w:w="2100"/>
            <w:tcMar>
              <w:top w:w="80" w:type="dxa"/>
              <w:start w:w="120" w:type="dxa"/>
              <w:bottom w:w="80" w:type="dxa"/>
              <w:end w:w="120" w:type="dxa"/>
            </w:tcMar>
            <w:vAlign w:val="center"/>
          </w:tcPr>
          <w:p>
            <w:pPr>
              <w:spacing w:after="0" w:line="252" w:lineRule="auto"/>
            </w:pPr>
            <w:r>
              <w:rPr>
                <w:rFonts w:ascii="Calibri" w:hAnsi="Calibri" w:eastAsia="Microsoft YaHei"/>
                <w:b w:val="0"/>
                <w:i w:val="0"/>
                <w:color w:val="202A35"/>
                <w:sz w:val="18"/>
              </w:rPr>
              <w:t>50 ms / 800 点</w:t>
            </w:r>
          </w:p>
        </w:tc>
        <w:tc>
          <w:tcPr>
            <w:tcW w:type="dxa" w:w="4860"/>
            <w:tcMar>
              <w:top w:w="80" w:type="dxa"/>
              <w:start w:w="120" w:type="dxa"/>
              <w:bottom w:w="80" w:type="dxa"/>
              <w:end w:w="120" w:type="dxa"/>
            </w:tcMar>
            <w:vAlign w:val="center"/>
          </w:tcPr>
          <w:p>
            <w:pPr>
              <w:spacing w:after="0" w:line="252" w:lineRule="auto"/>
            </w:pPr>
            <w:r>
              <w:rPr>
                <w:rFonts w:ascii="Calibri" w:hAnsi="Calibri" w:eastAsia="Microsoft YaHei"/>
                <w:b w:val="0"/>
                <w:i w:val="0"/>
                <w:color w:val="202A35"/>
                <w:sz w:val="18"/>
              </w:rPr>
              <w:t>形成 packet 到达周期和网络负载</w:t>
            </w:r>
          </w:p>
        </w:tc>
      </w:tr>
      <w:tr>
        <w:trPr>
          <w:cantSplit/>
        </w:trPr>
        <w:tc>
          <w:tcPr>
            <w:tcW w:type="dxa" w:w="2400"/>
            <w:shd w:fill="FAFBFC"/>
            <w:tcMar>
              <w:top w:w="80" w:type="dxa"/>
              <w:start w:w="120" w:type="dxa"/>
              <w:bottom w:w="80" w:type="dxa"/>
              <w:end w:w="120" w:type="dxa"/>
            </w:tcMar>
            <w:vAlign w:val="center"/>
          </w:tcPr>
          <w:p>
            <w:pPr>
              <w:spacing w:after="0" w:line="252" w:lineRule="auto"/>
            </w:pPr>
            <w:r>
              <w:rPr>
                <w:rFonts w:ascii="Calibri" w:hAnsi="Calibri" w:eastAsia="Microsoft YaHei"/>
                <w:b w:val="0"/>
                <w:i w:val="0"/>
                <w:color w:val="202A35"/>
                <w:sz w:val="18"/>
              </w:rPr>
              <w:t>边缘缓存窗口</w:t>
            </w:r>
          </w:p>
        </w:tc>
        <w:tc>
          <w:tcPr>
            <w:tcW w:type="dxa" w:w="2100"/>
            <w:shd w:fill="FAFBFC"/>
            <w:tcMar>
              <w:top w:w="80" w:type="dxa"/>
              <w:start w:w="120" w:type="dxa"/>
              <w:bottom w:w="80" w:type="dxa"/>
              <w:end w:w="120" w:type="dxa"/>
            </w:tcMar>
            <w:vAlign w:val="center"/>
          </w:tcPr>
          <w:p>
            <w:pPr>
              <w:spacing w:after="0" w:line="252" w:lineRule="auto"/>
            </w:pPr>
            <w:r>
              <w:rPr>
                <w:rFonts w:ascii="Calibri" w:hAnsi="Calibri" w:eastAsia="Microsoft YaHei"/>
                <w:b w:val="0"/>
                <w:i w:val="0"/>
                <w:color w:val="202A35"/>
                <w:sz w:val="18"/>
              </w:rPr>
              <w:t>200 ms / 3200 点</w:t>
            </w:r>
          </w:p>
        </w:tc>
        <w:tc>
          <w:tcPr>
            <w:tcW w:type="dxa" w:w="4860"/>
            <w:shd w:fill="FAFBFC"/>
            <w:tcMar>
              <w:top w:w="80" w:type="dxa"/>
              <w:start w:w="120" w:type="dxa"/>
              <w:bottom w:w="80" w:type="dxa"/>
              <w:end w:w="120" w:type="dxa"/>
            </w:tcMar>
            <w:vAlign w:val="center"/>
          </w:tcPr>
          <w:p>
            <w:pPr>
              <w:spacing w:after="0" w:line="252" w:lineRule="auto"/>
            </w:pPr>
            <w:r>
              <w:rPr>
                <w:rFonts w:ascii="Calibri" w:hAnsi="Calibri" w:eastAsia="Microsoft YaHei"/>
                <w:b w:val="0"/>
                <w:i w:val="0"/>
                <w:color w:val="202A35"/>
                <w:sz w:val="18"/>
              </w:rPr>
              <w:t>形成一次稳定的滑动诊断窗口</w:t>
            </w:r>
          </w:p>
        </w:tc>
      </w:tr>
      <w:tr>
        <w:trPr>
          <w:cantSplit/>
        </w:trPr>
        <w:tc>
          <w:tcPr>
            <w:tcW w:type="dxa" w:w="2400"/>
            <w:tcMar>
              <w:top w:w="80" w:type="dxa"/>
              <w:start w:w="120" w:type="dxa"/>
              <w:bottom w:w="80" w:type="dxa"/>
              <w:end w:w="120" w:type="dxa"/>
            </w:tcMar>
            <w:vAlign w:val="center"/>
          </w:tcPr>
          <w:p>
            <w:pPr>
              <w:spacing w:after="0" w:line="252" w:lineRule="auto"/>
            </w:pPr>
            <w:r>
              <w:rPr>
                <w:rFonts w:ascii="Calibri" w:hAnsi="Calibri" w:eastAsia="Microsoft YaHei"/>
                <w:b w:val="0"/>
                <w:i w:val="0"/>
                <w:color w:val="202A35"/>
                <w:sz w:val="18"/>
              </w:rPr>
              <w:t>边缘分析步长</w:t>
            </w:r>
          </w:p>
        </w:tc>
        <w:tc>
          <w:tcPr>
            <w:tcW w:type="dxa" w:w="2100"/>
            <w:tcMar>
              <w:top w:w="80" w:type="dxa"/>
              <w:start w:w="120" w:type="dxa"/>
              <w:bottom w:w="80" w:type="dxa"/>
              <w:end w:w="120" w:type="dxa"/>
            </w:tcMar>
            <w:vAlign w:val="center"/>
          </w:tcPr>
          <w:p>
            <w:pPr>
              <w:spacing w:after="0" w:line="252" w:lineRule="auto"/>
            </w:pPr>
            <w:r>
              <w:rPr>
                <w:rFonts w:ascii="Calibri" w:hAnsi="Calibri" w:eastAsia="Microsoft YaHei"/>
                <w:b w:val="0"/>
                <w:i w:val="0"/>
                <w:color w:val="202A35"/>
                <w:sz w:val="18"/>
              </w:rPr>
              <w:t>50 ms</w:t>
            </w:r>
          </w:p>
        </w:tc>
        <w:tc>
          <w:tcPr>
            <w:tcW w:type="dxa" w:w="4860"/>
            <w:tcMar>
              <w:top w:w="80" w:type="dxa"/>
              <w:start w:w="120" w:type="dxa"/>
              <w:bottom w:w="80" w:type="dxa"/>
              <w:end w:w="120" w:type="dxa"/>
            </w:tcMar>
            <w:vAlign w:val="center"/>
          </w:tcPr>
          <w:p>
            <w:pPr>
              <w:spacing w:after="0" w:line="252" w:lineRule="auto"/>
            </w:pPr>
            <w:r>
              <w:rPr>
                <w:rFonts w:ascii="Calibri" w:hAnsi="Calibri" w:eastAsia="Microsoft YaHei"/>
                <w:b w:val="0"/>
                <w:i w:val="0"/>
                <w:color w:val="202A35"/>
                <w:sz w:val="18"/>
              </w:rPr>
              <w:t>每个设备每秒最多形成 20 个新诊断窗口</w:t>
            </w:r>
          </w:p>
        </w:tc>
      </w:tr>
      <w:tr>
        <w:trPr>
          <w:cantSplit/>
        </w:trPr>
        <w:tc>
          <w:tcPr>
            <w:tcW w:type="dxa" w:w="2400"/>
            <w:shd w:fill="FAFBFC"/>
            <w:tcMar>
              <w:top w:w="80" w:type="dxa"/>
              <w:start w:w="120" w:type="dxa"/>
              <w:bottom w:w="80" w:type="dxa"/>
              <w:end w:w="120" w:type="dxa"/>
            </w:tcMar>
            <w:vAlign w:val="center"/>
          </w:tcPr>
          <w:p>
            <w:pPr>
              <w:spacing w:after="0" w:line="252" w:lineRule="auto"/>
            </w:pPr>
            <w:r>
              <w:rPr>
                <w:rFonts w:ascii="Calibri" w:hAnsi="Calibri" w:eastAsia="Microsoft YaHei"/>
                <w:b w:val="0"/>
                <w:i w:val="0"/>
                <w:color w:val="202A35"/>
                <w:sz w:val="18"/>
              </w:rPr>
              <w:t>电流</w:t>
            </w:r>
          </w:p>
        </w:tc>
        <w:tc>
          <w:tcPr>
            <w:tcW w:type="dxa" w:w="2100"/>
            <w:shd w:fill="FAFBFC"/>
            <w:tcMar>
              <w:top w:w="80" w:type="dxa"/>
              <w:start w:w="120" w:type="dxa"/>
              <w:bottom w:w="80" w:type="dxa"/>
              <w:end w:w="120" w:type="dxa"/>
            </w:tcMar>
            <w:vAlign w:val="center"/>
          </w:tcPr>
          <w:p>
            <w:pPr>
              <w:spacing w:after="0" w:line="252" w:lineRule="auto"/>
            </w:pPr>
            <w:r>
              <w:rPr>
                <w:rFonts w:ascii="Calibri" w:hAnsi="Calibri" w:eastAsia="Microsoft YaHei"/>
                <w:b w:val="0"/>
                <w:i w:val="0"/>
                <w:color w:val="202A35"/>
                <w:sz w:val="18"/>
              </w:rPr>
              <w:t>批次末最新瞬时值</w:t>
            </w:r>
          </w:p>
        </w:tc>
        <w:tc>
          <w:tcPr>
            <w:tcW w:type="dxa" w:w="4860"/>
            <w:shd w:fill="FAFBFC"/>
            <w:tcMar>
              <w:top w:w="80" w:type="dxa"/>
              <w:start w:w="120" w:type="dxa"/>
              <w:bottom w:w="80" w:type="dxa"/>
              <w:end w:w="120" w:type="dxa"/>
            </w:tcMar>
            <w:vAlign w:val="center"/>
          </w:tcPr>
          <w:p>
            <w:pPr>
              <w:spacing w:after="0" w:line="252" w:lineRule="auto"/>
            </w:pPr>
            <w:r>
              <w:rPr>
                <w:rFonts w:ascii="Calibri" w:hAnsi="Calibri" w:eastAsia="Microsoft YaHei"/>
                <w:b w:val="0"/>
                <w:i w:val="0"/>
                <w:color w:val="202A35"/>
                <w:sz w:val="18"/>
              </w:rPr>
              <w:t>作为运行工况辅助量，不做电流波形诊断</w:t>
            </w:r>
          </w:p>
        </w:tc>
      </w:tr>
      <w:tr>
        <w:trPr>
          <w:cantSplit/>
        </w:trPr>
        <w:tc>
          <w:tcPr>
            <w:tcW w:type="dxa" w:w="2400"/>
            <w:tcMar>
              <w:top w:w="80" w:type="dxa"/>
              <w:start w:w="120" w:type="dxa"/>
              <w:bottom w:w="80" w:type="dxa"/>
              <w:end w:w="120" w:type="dxa"/>
            </w:tcMar>
            <w:vAlign w:val="center"/>
          </w:tcPr>
          <w:p>
            <w:pPr>
              <w:spacing w:after="0" w:line="252" w:lineRule="auto"/>
            </w:pPr>
            <w:r>
              <w:rPr>
                <w:rFonts w:ascii="Calibri" w:hAnsi="Calibri" w:eastAsia="Microsoft YaHei"/>
                <w:b w:val="0"/>
                <w:i w:val="0"/>
                <w:color w:val="202A35"/>
                <w:sz w:val="18"/>
              </w:rPr>
              <w:t>温度/转速/负载</w:t>
            </w:r>
          </w:p>
        </w:tc>
        <w:tc>
          <w:tcPr>
            <w:tcW w:type="dxa" w:w="2100"/>
            <w:tcMar>
              <w:top w:w="80" w:type="dxa"/>
              <w:start w:w="120" w:type="dxa"/>
              <w:bottom w:w="80" w:type="dxa"/>
              <w:end w:w="120" w:type="dxa"/>
            </w:tcMar>
            <w:vAlign w:val="center"/>
          </w:tcPr>
          <w:p>
            <w:pPr>
              <w:spacing w:after="0" w:line="252" w:lineRule="auto"/>
            </w:pPr>
            <w:r>
              <w:rPr>
                <w:rFonts w:ascii="Calibri" w:hAnsi="Calibri" w:eastAsia="Microsoft YaHei"/>
                <w:b w:val="0"/>
                <w:i w:val="0"/>
                <w:color w:val="202A35"/>
                <w:sz w:val="18"/>
              </w:rPr>
              <w:t>批次末最新有效值</w:t>
            </w:r>
          </w:p>
        </w:tc>
        <w:tc>
          <w:tcPr>
            <w:tcW w:type="dxa" w:w="4860"/>
            <w:tcMar>
              <w:top w:w="80" w:type="dxa"/>
              <w:start w:w="120" w:type="dxa"/>
              <w:bottom w:w="80" w:type="dxa"/>
              <w:end w:w="120" w:type="dxa"/>
            </w:tcMar>
            <w:vAlign w:val="center"/>
          </w:tcPr>
          <w:p>
            <w:pPr>
              <w:spacing w:after="0" w:line="252" w:lineRule="auto"/>
            </w:pPr>
            <w:r>
              <w:rPr>
                <w:rFonts w:ascii="Calibri" w:hAnsi="Calibri" w:eastAsia="Microsoft YaHei"/>
                <w:b w:val="0"/>
                <w:i w:val="0"/>
                <w:color w:val="202A35"/>
                <w:sz w:val="18"/>
              </w:rPr>
              <w:t>用于工况归一化和规则一致性判断</w:t>
            </w:r>
          </w:p>
        </w:tc>
      </w:tr>
    </w:tbl>
    <w:p>
      <w:pPr>
        <w:spacing w:after="0"/>
      </w:pPr>
    </w:p>
    <w:p>
      <w:pPr>
        <w:pStyle w:val="Heading2"/>
      </w:pPr>
      <w:r>
        <w:t>5.2 建议的可扩展消息信封</w:t>
      </w:r>
    </w:p>
    <w:p>
      <w:pPr>
        <w:keepLines w:val="0"/>
      </w:pPr>
      <w:r>
        <w:rPr>
          <w:rFonts w:ascii="Calibri" w:hAnsi="Calibri" w:eastAsia="Microsoft YaHei"/>
          <w:b w:val="0"/>
          <w:i w:val="0"/>
          <w:color w:val="202A35"/>
          <w:sz w:val="22"/>
        </w:rPr>
        <w:t>现有 JSON 可以保留轴承字段，但应把“消息信封”和“数据载荷”分离。信封固定包含 packet_id、task_id、device_id、sensor_id、序号、起止时间、数据类型、编码、采样率、样本数、完整性校验和优先级；载荷通过 `payloads[]` 描述振动数组、标量、特征、图像或视频片段。新增传感器时只增加载荷描述，不改变调度器的基本解析框架。</w:t>
      </w:r>
    </w:p>
    <w:p>
      <w:pPr>
        <w:pStyle w:val="ListBullet"/>
      </w:pPr>
      <w:r>
        <w:rPr>
          <w:rFonts w:ascii="Calibri" w:hAnsi="Calibri" w:eastAsia="Microsoft YaHei"/>
          <w:b w:val="0"/>
          <w:i w:val="0"/>
          <w:color w:val="202A35"/>
          <w:sz w:val="22"/>
        </w:rPr>
        <w:t>`packet_id` 用于消息去重；`batch_sequence_number` 用于检测丢包、乱序和重复。</w:t>
      </w:r>
    </w:p>
    <w:p>
      <w:pPr>
        <w:pStyle w:val="ListBullet"/>
      </w:pPr>
      <w:r>
        <w:rPr>
          <w:rFonts w:ascii="Calibri" w:hAnsi="Calibri" w:eastAsia="Microsoft YaHei"/>
          <w:b w:val="0"/>
          <w:i w:val="0"/>
          <w:color w:val="202A35"/>
          <w:sz w:val="22"/>
        </w:rPr>
        <w:t>`task_id` 将同一设备、同一 200 ms 窗口中的多个 packet 关联起来。</w:t>
      </w:r>
    </w:p>
    <w:p>
      <w:pPr>
        <w:pStyle w:val="ListBullet"/>
      </w:pPr>
      <w:r>
        <w:rPr>
          <w:rFonts w:ascii="Calibri" w:hAnsi="Calibri" w:eastAsia="Microsoft YaHei"/>
          <w:b w:val="0"/>
          <w:i w:val="0"/>
          <w:color w:val="202A35"/>
          <w:sz w:val="22"/>
        </w:rPr>
        <w:t>`data_type`、`encoding`、`shape` 和 `sample_rate` 让边缘节点判断是否具备处理能力。</w:t>
      </w:r>
    </w:p>
    <w:p>
      <w:pPr>
        <w:pStyle w:val="ListBullet"/>
      </w:pPr>
      <w:r>
        <w:rPr>
          <w:rFonts w:ascii="Calibri" w:hAnsi="Calibri" w:eastAsia="Microsoft YaHei"/>
          <w:b w:val="0"/>
          <w:i w:val="0"/>
          <w:color w:val="202A35"/>
          <w:sz w:val="22"/>
        </w:rPr>
        <w:t>`quality_flags` 记录缺采样、时间漂移、校验失败和传感器离线，供调度器构建状态与可行节点。</w:t>
      </w:r>
    </w:p>
    <w:p>
      <w:pPr>
        <w:pStyle w:val="Heading2"/>
      </w:pPr>
      <w:r>
        <w:t>5.3 MQTT 主题和消息方向</w:t>
      </w:r>
    </w:p>
    <w:p>
      <w:pPr>
        <w:pStyle w:val="ListNumber"/>
      </w:pPr>
      <w:r>
        <w:rPr>
          <w:rFonts w:ascii="Calibri" w:hAnsi="Calibri" w:eastAsia="Microsoft YaHei"/>
          <w:b w:val="0"/>
          <w:i w:val="0"/>
          <w:color w:val="202A35"/>
          <w:sz w:val="22"/>
        </w:rPr>
        <w:t>采集发送器向 `task/raw/{device_id}` 发布 50 ms 微批量，QoS 根据可接受重复和丢失程度配置。</w:t>
      </w:r>
    </w:p>
    <w:p>
      <w:pPr>
        <w:pStyle w:val="ListNumber"/>
      </w:pPr>
      <w:r>
        <w:rPr>
          <w:rFonts w:ascii="Calibri" w:hAnsi="Calibri" w:eastAsia="Microsoft YaHei"/>
          <w:b w:val="0"/>
          <w:i w:val="0"/>
          <w:color w:val="202A35"/>
          <w:sz w:val="22"/>
        </w:rPr>
        <w:t>调度器订阅原始主题，完成校验、任务聚合、DAG 构造和 List_seq 生成。</w:t>
      </w:r>
    </w:p>
    <w:p>
      <w:pPr>
        <w:pStyle w:val="ListNumber"/>
      </w:pPr>
      <w:r>
        <w:rPr>
          <w:rFonts w:ascii="Calibri" w:hAnsi="Calibri" w:eastAsia="Microsoft YaHei"/>
          <w:b w:val="0"/>
          <w:i w:val="0"/>
          <w:color w:val="202A35"/>
          <w:sz w:val="22"/>
        </w:rPr>
        <w:t>调度器将当前子任务发送到 `edge/{node_id}/task`，消息包含任务类型、输入引用、最晚开始时间和资源请求。</w:t>
      </w:r>
    </w:p>
    <w:p>
      <w:pPr>
        <w:pStyle w:val="ListNumber"/>
      </w:pPr>
      <w:r>
        <w:rPr>
          <w:rFonts w:ascii="Calibri" w:hAnsi="Calibri" w:eastAsia="Microsoft YaHei"/>
          <w:b w:val="0"/>
          <w:i w:val="0"/>
          <w:color w:val="202A35"/>
          <w:sz w:val="22"/>
        </w:rPr>
        <w:t>边缘节点在 `edge/{node_id}/result` 返回特征、类别、置信度、耗时、实际 CPU 和质量标志。</w:t>
      </w:r>
    </w:p>
    <w:p>
      <w:pPr>
        <w:pStyle w:val="ListNumber"/>
      </w:pPr>
      <w:r>
        <w:rPr>
          <w:rFonts w:ascii="Calibri" w:hAnsi="Calibri" w:eastAsia="Microsoft YaHei"/>
          <w:b w:val="0"/>
          <w:i w:val="0"/>
          <w:color w:val="202A35"/>
          <w:sz w:val="22"/>
        </w:rPr>
        <w:t>调度器依据结果决定结束、复核或向 `cloud/diagnosis/task` 升级，并在最终主题发布诊断结论。</w:t>
      </w:r>
    </w:p>
    <w:p>
      <w:pPr>
        <w:pStyle w:val="Heading1"/>
      </w:pPr>
      <w:r>
        <w:t>6. 轴承检测任务的 DAG 建模与排序</w:t>
      </w:r>
    </w:p>
    <w:p>
      <w:pPr>
        <w:keepLines w:val="0"/>
      </w:pPr>
      <w:r>
        <w:rPr>
          <w:rFonts w:ascii="Calibri" w:hAnsi="Calibri" w:eastAsia="Microsoft YaHei"/>
          <w:b w:val="0"/>
          <w:i w:val="0"/>
          <w:color w:val="202A35"/>
          <w:sz w:val="22"/>
        </w:rPr>
        <w:t>一次 200 ms 轴承诊断窗口被拆分为下列子任务。可选复核和云端任务采用条件门控：其前驱关系预先定义，但只有触发条件成立时才进入就绪队列；未触发时记录为跳过，不占用计算资源。</w:t>
      </w:r>
    </w:p>
    <w:tbl>
      <w:tblPr>
        <w:tblStyle w:val="TableGrid"/>
        <w:tblW w:type="dxa" w:w="9360"/>
        <w:tblLayout w:type="fixed"/>
        <w:tblLook w:firstColumn="1" w:firstRow="1" w:lastColumn="0" w:lastRow="0" w:noHBand="0" w:noVBand="1" w:val="04A0"/>
        <w:jc w:val="left"/>
        <w:tblInd w:w="120" w:type="dxa"/>
      </w:tblPr>
      <w:tblGrid>
        <w:gridCol w:w="650"/>
        <w:gridCol w:w="2500"/>
        <w:gridCol w:w="2200"/>
        <w:gridCol w:w="1500"/>
        <w:gridCol w:w="2510"/>
      </w:tblGrid>
      <w:tr>
        <w:trPr>
          <w:cantSplit/>
          <w:tblHeader w:val="true"/>
          <w:cantSplit/>
        </w:trPr>
        <w:tc>
          <w:tcPr>
            <w:tcW w:type="dxa" w:w="650"/>
            <w:tcMar>
              <w:top w:w="80" w:type="dxa"/>
              <w:start w:w="120" w:type="dxa"/>
              <w:bottom w:w="80" w:type="dxa"/>
              <w:end w:w="120" w:type="dxa"/>
            </w:tcMar>
            <w:vAlign w:val="center"/>
            <w:shd w:fill="F2F4F7"/>
          </w:tcPr>
          <w:p>
            <w:pPr>
              <w:spacing w:after="0"/>
            </w:pPr>
            <w:r>
              <w:rPr>
                <w:rFonts w:ascii="Calibri" w:hAnsi="Calibri" w:eastAsia="Microsoft YaHei"/>
                <w:b/>
                <w:i w:val="0"/>
                <w:color w:val="1F4D78"/>
                <w:sz w:val="16"/>
              </w:rPr>
              <w:t>编号</w:t>
            </w:r>
          </w:p>
        </w:tc>
        <w:tc>
          <w:tcPr>
            <w:tcW w:type="dxa" w:w="2500"/>
            <w:tcMar>
              <w:top w:w="80" w:type="dxa"/>
              <w:start w:w="120" w:type="dxa"/>
              <w:bottom w:w="80" w:type="dxa"/>
              <w:end w:w="120" w:type="dxa"/>
            </w:tcMar>
            <w:vAlign w:val="center"/>
            <w:shd w:fill="F2F4F7"/>
          </w:tcPr>
          <w:p>
            <w:pPr>
              <w:spacing w:after="0"/>
            </w:pPr>
            <w:r>
              <w:rPr>
                <w:rFonts w:ascii="Calibri" w:hAnsi="Calibri" w:eastAsia="Microsoft YaHei"/>
                <w:b/>
                <w:i w:val="0"/>
                <w:color w:val="1F4D78"/>
                <w:sz w:val="16"/>
              </w:rPr>
              <w:t>子任务</w:t>
            </w:r>
          </w:p>
        </w:tc>
        <w:tc>
          <w:tcPr>
            <w:tcW w:type="dxa" w:w="2200"/>
            <w:tcMar>
              <w:top w:w="80" w:type="dxa"/>
              <w:start w:w="120" w:type="dxa"/>
              <w:bottom w:w="80" w:type="dxa"/>
              <w:end w:w="120" w:type="dxa"/>
            </w:tcMar>
            <w:vAlign w:val="center"/>
            <w:shd w:fill="F2F4F7"/>
          </w:tcPr>
          <w:p>
            <w:pPr>
              <w:spacing w:after="0"/>
            </w:pPr>
            <w:r>
              <w:rPr>
                <w:rFonts w:ascii="Calibri" w:hAnsi="Calibri" w:eastAsia="Microsoft YaHei"/>
                <w:b/>
                <w:i w:val="0"/>
                <w:color w:val="1F4D78"/>
                <w:sz w:val="16"/>
              </w:rPr>
              <w:t>主要输入</w:t>
            </w:r>
          </w:p>
        </w:tc>
        <w:tc>
          <w:tcPr>
            <w:tcW w:type="dxa" w:w="1500"/>
            <w:tcMar>
              <w:top w:w="80" w:type="dxa"/>
              <w:start w:w="120" w:type="dxa"/>
              <w:bottom w:w="80" w:type="dxa"/>
              <w:end w:w="120" w:type="dxa"/>
            </w:tcMar>
            <w:vAlign w:val="center"/>
            <w:shd w:fill="F2F4F7"/>
          </w:tcPr>
          <w:p>
            <w:pPr>
              <w:spacing w:after="0"/>
            </w:pPr>
            <w:r>
              <w:rPr>
                <w:rFonts w:ascii="Calibri" w:hAnsi="Calibri" w:eastAsia="Microsoft YaHei"/>
                <w:b/>
                <w:i w:val="0"/>
                <w:color w:val="1F4D78"/>
                <w:sz w:val="16"/>
              </w:rPr>
              <w:t>直接前驱</w:t>
            </w:r>
          </w:p>
        </w:tc>
        <w:tc>
          <w:tcPr>
            <w:tcW w:type="dxa" w:w="2510"/>
            <w:tcMar>
              <w:top w:w="80" w:type="dxa"/>
              <w:start w:w="120" w:type="dxa"/>
              <w:bottom w:w="80" w:type="dxa"/>
              <w:end w:w="120" w:type="dxa"/>
            </w:tcMar>
            <w:vAlign w:val="center"/>
            <w:shd w:fill="F2F4F7"/>
          </w:tcPr>
          <w:p>
            <w:pPr>
              <w:spacing w:after="0"/>
            </w:pPr>
            <w:r>
              <w:rPr>
                <w:rFonts w:ascii="Calibri" w:hAnsi="Calibri" w:eastAsia="Microsoft YaHei"/>
                <w:b/>
                <w:i w:val="0"/>
                <w:color w:val="1F4D78"/>
                <w:sz w:val="16"/>
              </w:rPr>
              <w:t>可执行位置</w:t>
            </w:r>
          </w:p>
        </w:tc>
      </w:tr>
      <w:tr>
        <w:trPr>
          <w:cantSplit/>
        </w:trPr>
        <w:tc>
          <w:tcPr>
            <w:tcW w:type="dxa" w:w="650"/>
            <w:tcMar>
              <w:top w:w="80" w:type="dxa"/>
              <w:start w:w="120" w:type="dxa"/>
              <w:bottom w:w="80" w:type="dxa"/>
              <w:end w:w="120" w:type="dxa"/>
            </w:tcMar>
            <w:vAlign w:val="center"/>
          </w:tcPr>
          <w:p>
            <w:pPr>
              <w:spacing w:after="0" w:line="252" w:lineRule="auto"/>
            </w:pPr>
            <w:r>
              <w:rPr>
                <w:rFonts w:ascii="Calibri" w:hAnsi="Calibri" w:eastAsia="Microsoft YaHei"/>
                <w:b w:val="0"/>
                <w:i w:val="0"/>
                <w:color w:val="202A35"/>
                <w:sz w:val="16"/>
              </w:rPr>
              <w:t>T1</w:t>
            </w:r>
          </w:p>
        </w:tc>
        <w:tc>
          <w:tcPr>
            <w:tcW w:type="dxa" w:w="2500"/>
            <w:tcMar>
              <w:top w:w="80" w:type="dxa"/>
              <w:start w:w="120" w:type="dxa"/>
              <w:bottom w:w="80" w:type="dxa"/>
              <w:end w:w="120" w:type="dxa"/>
            </w:tcMar>
            <w:vAlign w:val="center"/>
          </w:tcPr>
          <w:p>
            <w:pPr>
              <w:spacing w:after="0" w:line="252" w:lineRule="auto"/>
            </w:pPr>
            <w:r>
              <w:rPr>
                <w:rFonts w:ascii="Calibri" w:hAnsi="Calibri" w:eastAsia="Microsoft YaHei"/>
                <w:b w:val="0"/>
                <w:i w:val="0"/>
                <w:color w:val="202A35"/>
                <w:sz w:val="16"/>
              </w:rPr>
              <w:t>接收、去重与完整性校验</w:t>
            </w:r>
          </w:p>
        </w:tc>
        <w:tc>
          <w:tcPr>
            <w:tcW w:type="dxa" w:w="2200"/>
            <w:tcMar>
              <w:top w:w="80" w:type="dxa"/>
              <w:start w:w="120" w:type="dxa"/>
              <w:bottom w:w="80" w:type="dxa"/>
              <w:end w:w="120" w:type="dxa"/>
            </w:tcMar>
            <w:vAlign w:val="center"/>
          </w:tcPr>
          <w:p>
            <w:pPr>
              <w:spacing w:after="0" w:line="252" w:lineRule="auto"/>
            </w:pPr>
            <w:r>
              <w:rPr>
                <w:rFonts w:ascii="Calibri" w:hAnsi="Calibri" w:eastAsia="Microsoft YaHei"/>
                <w:b w:val="0"/>
                <w:i w:val="0"/>
                <w:color w:val="202A35"/>
                <w:sz w:val="16"/>
              </w:rPr>
              <w:t>4 个微批量及元数据</w:t>
            </w:r>
          </w:p>
        </w:tc>
        <w:tc>
          <w:tcPr>
            <w:tcW w:type="dxa" w:w="1500"/>
            <w:tcMar>
              <w:top w:w="80" w:type="dxa"/>
              <w:start w:w="120" w:type="dxa"/>
              <w:bottom w:w="80" w:type="dxa"/>
              <w:end w:w="120" w:type="dxa"/>
            </w:tcMar>
            <w:vAlign w:val="center"/>
          </w:tcPr>
          <w:p>
            <w:pPr>
              <w:spacing w:after="0" w:line="252" w:lineRule="auto"/>
            </w:pPr>
            <w:r>
              <w:rPr>
                <w:rFonts w:ascii="Calibri" w:hAnsi="Calibri" w:eastAsia="Microsoft YaHei"/>
                <w:b w:val="0"/>
                <w:i w:val="0"/>
                <w:color w:val="202A35"/>
                <w:sz w:val="16"/>
              </w:rPr>
              <w:t>无</w:t>
            </w:r>
          </w:p>
        </w:tc>
        <w:tc>
          <w:tcPr>
            <w:tcW w:type="dxa" w:w="2510"/>
            <w:tcMar>
              <w:top w:w="80" w:type="dxa"/>
              <w:start w:w="120" w:type="dxa"/>
              <w:bottom w:w="80" w:type="dxa"/>
              <w:end w:w="120" w:type="dxa"/>
            </w:tcMar>
            <w:vAlign w:val="center"/>
          </w:tcPr>
          <w:p>
            <w:pPr>
              <w:spacing w:after="0" w:line="252" w:lineRule="auto"/>
            </w:pPr>
            <w:r>
              <w:rPr>
                <w:rFonts w:ascii="Calibri" w:hAnsi="Calibri" w:eastAsia="Microsoft YaHei"/>
                <w:b w:val="0"/>
                <w:i w:val="0"/>
                <w:color w:val="202A35"/>
                <w:sz w:val="16"/>
              </w:rPr>
              <w:t>任一通用边缘节点</w:t>
            </w:r>
          </w:p>
        </w:tc>
      </w:tr>
      <w:tr>
        <w:trPr>
          <w:cantSplit/>
        </w:trPr>
        <w:tc>
          <w:tcPr>
            <w:tcW w:type="dxa" w:w="650"/>
            <w:shd w:fill="FAFBFC"/>
            <w:tcMar>
              <w:top w:w="80" w:type="dxa"/>
              <w:start w:w="120" w:type="dxa"/>
              <w:bottom w:w="80" w:type="dxa"/>
              <w:end w:w="120" w:type="dxa"/>
            </w:tcMar>
            <w:vAlign w:val="center"/>
          </w:tcPr>
          <w:p>
            <w:pPr>
              <w:spacing w:after="0" w:line="252" w:lineRule="auto"/>
            </w:pPr>
            <w:r>
              <w:rPr>
                <w:rFonts w:ascii="Calibri" w:hAnsi="Calibri" w:eastAsia="Microsoft YaHei"/>
                <w:b w:val="0"/>
                <w:i w:val="0"/>
                <w:color w:val="202A35"/>
                <w:sz w:val="16"/>
              </w:rPr>
              <w:t>T2</w:t>
            </w:r>
          </w:p>
        </w:tc>
        <w:tc>
          <w:tcPr>
            <w:tcW w:type="dxa" w:w="2500"/>
            <w:shd w:fill="FAFBFC"/>
            <w:tcMar>
              <w:top w:w="80" w:type="dxa"/>
              <w:start w:w="120" w:type="dxa"/>
              <w:bottom w:w="80" w:type="dxa"/>
              <w:end w:w="120" w:type="dxa"/>
            </w:tcMar>
            <w:vAlign w:val="center"/>
          </w:tcPr>
          <w:p>
            <w:pPr>
              <w:spacing w:after="0" w:line="252" w:lineRule="auto"/>
            </w:pPr>
            <w:r>
              <w:rPr>
                <w:rFonts w:ascii="Calibri" w:hAnsi="Calibri" w:eastAsia="Microsoft YaHei"/>
                <w:b w:val="0"/>
                <w:i w:val="0"/>
                <w:color w:val="202A35"/>
                <w:sz w:val="16"/>
              </w:rPr>
              <w:t>振动去趋势、滤波与窗口化</w:t>
            </w:r>
          </w:p>
        </w:tc>
        <w:tc>
          <w:tcPr>
            <w:tcW w:type="dxa" w:w="2200"/>
            <w:shd w:fill="FAFBFC"/>
            <w:tcMar>
              <w:top w:w="80" w:type="dxa"/>
              <w:start w:w="120" w:type="dxa"/>
              <w:bottom w:w="80" w:type="dxa"/>
              <w:end w:w="120" w:type="dxa"/>
            </w:tcMar>
            <w:vAlign w:val="center"/>
          </w:tcPr>
          <w:p>
            <w:pPr>
              <w:spacing w:after="0" w:line="252" w:lineRule="auto"/>
            </w:pPr>
            <w:r>
              <w:rPr>
                <w:rFonts w:ascii="Calibri" w:hAnsi="Calibri" w:eastAsia="Microsoft YaHei"/>
                <w:b w:val="0"/>
                <w:i w:val="0"/>
                <w:color w:val="202A35"/>
                <w:sz w:val="16"/>
              </w:rPr>
              <w:t>3200 点振动</w:t>
            </w:r>
          </w:p>
        </w:tc>
        <w:tc>
          <w:tcPr>
            <w:tcW w:type="dxa" w:w="1500"/>
            <w:shd w:fill="FAFBFC"/>
            <w:tcMar>
              <w:top w:w="80" w:type="dxa"/>
              <w:start w:w="120" w:type="dxa"/>
              <w:bottom w:w="80" w:type="dxa"/>
              <w:end w:w="120" w:type="dxa"/>
            </w:tcMar>
            <w:vAlign w:val="center"/>
          </w:tcPr>
          <w:p>
            <w:pPr>
              <w:spacing w:after="0" w:line="252" w:lineRule="auto"/>
            </w:pPr>
            <w:r>
              <w:rPr>
                <w:rFonts w:ascii="Calibri" w:hAnsi="Calibri" w:eastAsia="Microsoft YaHei"/>
                <w:b w:val="0"/>
                <w:i w:val="0"/>
                <w:color w:val="202A35"/>
                <w:sz w:val="16"/>
              </w:rPr>
              <w:t>T1</w:t>
            </w:r>
          </w:p>
        </w:tc>
        <w:tc>
          <w:tcPr>
            <w:tcW w:type="dxa" w:w="2510"/>
            <w:shd w:fill="FAFBFC"/>
            <w:tcMar>
              <w:top w:w="80" w:type="dxa"/>
              <w:start w:w="120" w:type="dxa"/>
              <w:bottom w:w="80" w:type="dxa"/>
              <w:end w:w="120" w:type="dxa"/>
            </w:tcMar>
            <w:vAlign w:val="center"/>
          </w:tcPr>
          <w:p>
            <w:pPr>
              <w:spacing w:after="0" w:line="252" w:lineRule="auto"/>
            </w:pPr>
            <w:r>
              <w:rPr>
                <w:rFonts w:ascii="Calibri" w:hAnsi="Calibri" w:eastAsia="Microsoft YaHei"/>
                <w:b w:val="0"/>
                <w:i w:val="0"/>
                <w:color w:val="202A35"/>
                <w:sz w:val="16"/>
              </w:rPr>
              <w:t>具备信号处理能力的边缘节点</w:t>
            </w:r>
          </w:p>
        </w:tc>
      </w:tr>
      <w:tr>
        <w:trPr>
          <w:cantSplit/>
        </w:trPr>
        <w:tc>
          <w:tcPr>
            <w:tcW w:type="dxa" w:w="650"/>
            <w:tcMar>
              <w:top w:w="80" w:type="dxa"/>
              <w:start w:w="120" w:type="dxa"/>
              <w:bottom w:w="80" w:type="dxa"/>
              <w:end w:w="120" w:type="dxa"/>
            </w:tcMar>
            <w:vAlign w:val="center"/>
          </w:tcPr>
          <w:p>
            <w:pPr>
              <w:spacing w:after="0" w:line="252" w:lineRule="auto"/>
            </w:pPr>
            <w:r>
              <w:rPr>
                <w:rFonts w:ascii="Calibri" w:hAnsi="Calibri" w:eastAsia="Microsoft YaHei"/>
                <w:b w:val="0"/>
                <w:i w:val="0"/>
                <w:color w:val="202A35"/>
                <w:sz w:val="16"/>
              </w:rPr>
              <w:t>T3</w:t>
            </w:r>
          </w:p>
        </w:tc>
        <w:tc>
          <w:tcPr>
            <w:tcW w:type="dxa" w:w="2500"/>
            <w:tcMar>
              <w:top w:w="80" w:type="dxa"/>
              <w:start w:w="120" w:type="dxa"/>
              <w:bottom w:w="80" w:type="dxa"/>
              <w:end w:w="120" w:type="dxa"/>
            </w:tcMar>
            <w:vAlign w:val="center"/>
          </w:tcPr>
          <w:p>
            <w:pPr>
              <w:spacing w:after="0" w:line="252" w:lineRule="auto"/>
            </w:pPr>
            <w:r>
              <w:rPr>
                <w:rFonts w:ascii="Calibri" w:hAnsi="Calibri" w:eastAsia="Microsoft YaHei"/>
                <w:b w:val="0"/>
                <w:i w:val="0"/>
                <w:color w:val="202A35"/>
                <w:sz w:val="16"/>
              </w:rPr>
              <w:t>工况标量清洗与归一化</w:t>
            </w:r>
          </w:p>
        </w:tc>
        <w:tc>
          <w:tcPr>
            <w:tcW w:type="dxa" w:w="2200"/>
            <w:tcMar>
              <w:top w:w="80" w:type="dxa"/>
              <w:start w:w="120" w:type="dxa"/>
              <w:bottom w:w="80" w:type="dxa"/>
              <w:end w:w="120" w:type="dxa"/>
            </w:tcMar>
            <w:vAlign w:val="center"/>
          </w:tcPr>
          <w:p>
            <w:pPr>
              <w:spacing w:after="0" w:line="252" w:lineRule="auto"/>
            </w:pPr>
            <w:r>
              <w:rPr>
                <w:rFonts w:ascii="Calibri" w:hAnsi="Calibri" w:eastAsia="Microsoft YaHei"/>
                <w:b w:val="0"/>
                <w:i w:val="0"/>
                <w:color w:val="202A35"/>
                <w:sz w:val="16"/>
              </w:rPr>
              <w:t>电流、温度、转速、负载</w:t>
            </w:r>
          </w:p>
        </w:tc>
        <w:tc>
          <w:tcPr>
            <w:tcW w:type="dxa" w:w="1500"/>
            <w:tcMar>
              <w:top w:w="80" w:type="dxa"/>
              <w:start w:w="120" w:type="dxa"/>
              <w:bottom w:w="80" w:type="dxa"/>
              <w:end w:w="120" w:type="dxa"/>
            </w:tcMar>
            <w:vAlign w:val="center"/>
          </w:tcPr>
          <w:p>
            <w:pPr>
              <w:spacing w:after="0" w:line="252" w:lineRule="auto"/>
            </w:pPr>
            <w:r>
              <w:rPr>
                <w:rFonts w:ascii="Calibri" w:hAnsi="Calibri" w:eastAsia="Microsoft YaHei"/>
                <w:b w:val="0"/>
                <w:i w:val="0"/>
                <w:color w:val="202A35"/>
                <w:sz w:val="16"/>
              </w:rPr>
              <w:t>T1</w:t>
            </w:r>
          </w:p>
        </w:tc>
        <w:tc>
          <w:tcPr>
            <w:tcW w:type="dxa" w:w="2510"/>
            <w:tcMar>
              <w:top w:w="80" w:type="dxa"/>
              <w:start w:w="120" w:type="dxa"/>
              <w:bottom w:w="80" w:type="dxa"/>
              <w:end w:w="120" w:type="dxa"/>
            </w:tcMar>
            <w:vAlign w:val="center"/>
          </w:tcPr>
          <w:p>
            <w:pPr>
              <w:spacing w:after="0" w:line="252" w:lineRule="auto"/>
            </w:pPr>
            <w:r>
              <w:rPr>
                <w:rFonts w:ascii="Calibri" w:hAnsi="Calibri" w:eastAsia="Microsoft YaHei"/>
                <w:b w:val="0"/>
                <w:i w:val="0"/>
                <w:color w:val="202A35"/>
                <w:sz w:val="16"/>
              </w:rPr>
              <w:t>任一通用边缘节点</w:t>
            </w:r>
          </w:p>
        </w:tc>
      </w:tr>
      <w:tr>
        <w:trPr>
          <w:cantSplit/>
        </w:trPr>
        <w:tc>
          <w:tcPr>
            <w:tcW w:type="dxa" w:w="650"/>
            <w:shd w:fill="FAFBFC"/>
            <w:tcMar>
              <w:top w:w="80" w:type="dxa"/>
              <w:start w:w="120" w:type="dxa"/>
              <w:bottom w:w="80" w:type="dxa"/>
              <w:end w:w="120" w:type="dxa"/>
            </w:tcMar>
            <w:vAlign w:val="center"/>
          </w:tcPr>
          <w:p>
            <w:pPr>
              <w:spacing w:after="0" w:line="252" w:lineRule="auto"/>
            </w:pPr>
            <w:r>
              <w:rPr>
                <w:rFonts w:ascii="Calibri" w:hAnsi="Calibri" w:eastAsia="Microsoft YaHei"/>
                <w:b w:val="0"/>
                <w:i w:val="0"/>
                <w:color w:val="202A35"/>
                <w:sz w:val="16"/>
              </w:rPr>
              <w:t>T4</w:t>
            </w:r>
          </w:p>
        </w:tc>
        <w:tc>
          <w:tcPr>
            <w:tcW w:type="dxa" w:w="2500"/>
            <w:shd w:fill="FAFBFC"/>
            <w:tcMar>
              <w:top w:w="80" w:type="dxa"/>
              <w:start w:w="120" w:type="dxa"/>
              <w:bottom w:w="80" w:type="dxa"/>
              <w:end w:w="120" w:type="dxa"/>
            </w:tcMar>
            <w:vAlign w:val="center"/>
          </w:tcPr>
          <w:p>
            <w:pPr>
              <w:spacing w:after="0" w:line="252" w:lineRule="auto"/>
            </w:pPr>
            <w:r>
              <w:rPr>
                <w:rFonts w:ascii="Calibri" w:hAnsi="Calibri" w:eastAsia="Microsoft YaHei"/>
                <w:b w:val="0"/>
                <w:i w:val="0"/>
                <w:color w:val="202A35"/>
                <w:sz w:val="16"/>
              </w:rPr>
              <w:t>时域/频域特征提取</w:t>
            </w:r>
          </w:p>
        </w:tc>
        <w:tc>
          <w:tcPr>
            <w:tcW w:type="dxa" w:w="2200"/>
            <w:shd w:fill="FAFBFC"/>
            <w:tcMar>
              <w:top w:w="80" w:type="dxa"/>
              <w:start w:w="120" w:type="dxa"/>
              <w:bottom w:w="80" w:type="dxa"/>
              <w:end w:w="120" w:type="dxa"/>
            </w:tcMar>
            <w:vAlign w:val="center"/>
          </w:tcPr>
          <w:p>
            <w:pPr>
              <w:spacing w:after="0" w:line="252" w:lineRule="auto"/>
            </w:pPr>
            <w:r>
              <w:rPr>
                <w:rFonts w:ascii="Calibri" w:hAnsi="Calibri" w:eastAsia="Microsoft YaHei"/>
                <w:b w:val="0"/>
                <w:i w:val="0"/>
                <w:color w:val="202A35"/>
                <w:sz w:val="16"/>
              </w:rPr>
              <w:t>T2 输出</w:t>
            </w:r>
          </w:p>
        </w:tc>
        <w:tc>
          <w:tcPr>
            <w:tcW w:type="dxa" w:w="1500"/>
            <w:shd w:fill="FAFBFC"/>
            <w:tcMar>
              <w:top w:w="80" w:type="dxa"/>
              <w:start w:w="120" w:type="dxa"/>
              <w:bottom w:w="80" w:type="dxa"/>
              <w:end w:w="120" w:type="dxa"/>
            </w:tcMar>
            <w:vAlign w:val="center"/>
          </w:tcPr>
          <w:p>
            <w:pPr>
              <w:spacing w:after="0" w:line="252" w:lineRule="auto"/>
            </w:pPr>
            <w:r>
              <w:rPr>
                <w:rFonts w:ascii="Calibri" w:hAnsi="Calibri" w:eastAsia="Microsoft YaHei"/>
                <w:b w:val="0"/>
                <w:i w:val="0"/>
                <w:color w:val="202A35"/>
                <w:sz w:val="16"/>
              </w:rPr>
              <w:t>T2</w:t>
            </w:r>
          </w:p>
        </w:tc>
        <w:tc>
          <w:tcPr>
            <w:tcW w:type="dxa" w:w="2510"/>
            <w:shd w:fill="FAFBFC"/>
            <w:tcMar>
              <w:top w:w="80" w:type="dxa"/>
              <w:start w:w="120" w:type="dxa"/>
              <w:bottom w:w="80" w:type="dxa"/>
              <w:end w:w="120" w:type="dxa"/>
            </w:tcMar>
            <w:vAlign w:val="center"/>
          </w:tcPr>
          <w:p>
            <w:pPr>
              <w:spacing w:after="0" w:line="252" w:lineRule="auto"/>
            </w:pPr>
            <w:r>
              <w:rPr>
                <w:rFonts w:ascii="Calibri" w:hAnsi="Calibri" w:eastAsia="Microsoft YaHei"/>
                <w:b w:val="0"/>
                <w:i w:val="0"/>
                <w:color w:val="202A35"/>
                <w:sz w:val="16"/>
              </w:rPr>
              <w:t>振动分析边缘节点</w:t>
            </w:r>
          </w:p>
        </w:tc>
      </w:tr>
      <w:tr>
        <w:trPr>
          <w:cantSplit/>
        </w:trPr>
        <w:tc>
          <w:tcPr>
            <w:tcW w:type="dxa" w:w="650"/>
            <w:tcMar>
              <w:top w:w="80" w:type="dxa"/>
              <w:start w:w="120" w:type="dxa"/>
              <w:bottom w:w="80" w:type="dxa"/>
              <w:end w:w="120" w:type="dxa"/>
            </w:tcMar>
            <w:vAlign w:val="center"/>
          </w:tcPr>
          <w:p>
            <w:pPr>
              <w:spacing w:after="0" w:line="252" w:lineRule="auto"/>
            </w:pPr>
            <w:r>
              <w:rPr>
                <w:rFonts w:ascii="Calibri" w:hAnsi="Calibri" w:eastAsia="Microsoft YaHei"/>
                <w:b w:val="0"/>
                <w:i w:val="0"/>
                <w:color w:val="202A35"/>
                <w:sz w:val="16"/>
              </w:rPr>
              <w:t>T5</w:t>
            </w:r>
          </w:p>
        </w:tc>
        <w:tc>
          <w:tcPr>
            <w:tcW w:type="dxa" w:w="2500"/>
            <w:tcMar>
              <w:top w:w="80" w:type="dxa"/>
              <w:start w:w="120" w:type="dxa"/>
              <w:bottom w:w="80" w:type="dxa"/>
              <w:end w:w="120" w:type="dxa"/>
            </w:tcMar>
            <w:vAlign w:val="center"/>
          </w:tcPr>
          <w:p>
            <w:pPr>
              <w:spacing w:after="0" w:line="252" w:lineRule="auto"/>
            </w:pPr>
            <w:r>
              <w:rPr>
                <w:rFonts w:ascii="Calibri" w:hAnsi="Calibri" w:eastAsia="Microsoft YaHei"/>
                <w:b w:val="0"/>
                <w:i w:val="0"/>
                <w:color w:val="202A35"/>
                <w:sz w:val="16"/>
              </w:rPr>
              <w:t>多传感融合与工况校正</w:t>
            </w:r>
          </w:p>
        </w:tc>
        <w:tc>
          <w:tcPr>
            <w:tcW w:type="dxa" w:w="2200"/>
            <w:tcMar>
              <w:top w:w="80" w:type="dxa"/>
              <w:start w:w="120" w:type="dxa"/>
              <w:bottom w:w="80" w:type="dxa"/>
              <w:end w:w="120" w:type="dxa"/>
            </w:tcMar>
            <w:vAlign w:val="center"/>
          </w:tcPr>
          <w:p>
            <w:pPr>
              <w:spacing w:after="0" w:line="252" w:lineRule="auto"/>
            </w:pPr>
            <w:r>
              <w:rPr>
                <w:rFonts w:ascii="Calibri" w:hAnsi="Calibri" w:eastAsia="Microsoft YaHei"/>
                <w:b w:val="0"/>
                <w:i w:val="0"/>
                <w:color w:val="202A35"/>
                <w:sz w:val="16"/>
              </w:rPr>
              <w:t>T3、T4 输出</w:t>
            </w:r>
          </w:p>
        </w:tc>
        <w:tc>
          <w:tcPr>
            <w:tcW w:type="dxa" w:w="1500"/>
            <w:tcMar>
              <w:top w:w="80" w:type="dxa"/>
              <w:start w:w="120" w:type="dxa"/>
              <w:bottom w:w="80" w:type="dxa"/>
              <w:end w:w="120" w:type="dxa"/>
            </w:tcMar>
            <w:vAlign w:val="center"/>
          </w:tcPr>
          <w:p>
            <w:pPr>
              <w:spacing w:after="0" w:line="252" w:lineRule="auto"/>
            </w:pPr>
            <w:r>
              <w:rPr>
                <w:rFonts w:ascii="Calibri" w:hAnsi="Calibri" w:eastAsia="Microsoft YaHei"/>
                <w:b w:val="0"/>
                <w:i w:val="0"/>
                <w:color w:val="202A35"/>
                <w:sz w:val="16"/>
              </w:rPr>
              <w:t>T3、T4</w:t>
            </w:r>
          </w:p>
        </w:tc>
        <w:tc>
          <w:tcPr>
            <w:tcW w:type="dxa" w:w="2510"/>
            <w:tcMar>
              <w:top w:w="80" w:type="dxa"/>
              <w:start w:w="120" w:type="dxa"/>
              <w:bottom w:w="80" w:type="dxa"/>
              <w:end w:w="120" w:type="dxa"/>
            </w:tcMar>
            <w:vAlign w:val="center"/>
          </w:tcPr>
          <w:p>
            <w:pPr>
              <w:spacing w:after="0" w:line="252" w:lineRule="auto"/>
            </w:pPr>
            <w:r>
              <w:rPr>
                <w:rFonts w:ascii="Calibri" w:hAnsi="Calibri" w:eastAsia="Microsoft YaHei"/>
                <w:b w:val="0"/>
                <w:i w:val="0"/>
                <w:color w:val="202A35"/>
                <w:sz w:val="16"/>
              </w:rPr>
              <w:t>融合型边缘节点</w:t>
            </w:r>
          </w:p>
        </w:tc>
      </w:tr>
      <w:tr>
        <w:trPr>
          <w:cantSplit/>
        </w:trPr>
        <w:tc>
          <w:tcPr>
            <w:tcW w:type="dxa" w:w="650"/>
            <w:shd w:fill="FAFBFC"/>
            <w:tcMar>
              <w:top w:w="80" w:type="dxa"/>
              <w:start w:w="120" w:type="dxa"/>
              <w:bottom w:w="80" w:type="dxa"/>
              <w:end w:w="120" w:type="dxa"/>
            </w:tcMar>
            <w:vAlign w:val="center"/>
          </w:tcPr>
          <w:p>
            <w:pPr>
              <w:spacing w:after="0" w:line="252" w:lineRule="auto"/>
            </w:pPr>
            <w:r>
              <w:rPr>
                <w:rFonts w:ascii="Calibri" w:hAnsi="Calibri" w:eastAsia="Microsoft YaHei"/>
                <w:b w:val="0"/>
                <w:i w:val="0"/>
                <w:color w:val="202A35"/>
                <w:sz w:val="16"/>
              </w:rPr>
              <w:t>T6</w:t>
            </w:r>
          </w:p>
        </w:tc>
        <w:tc>
          <w:tcPr>
            <w:tcW w:type="dxa" w:w="2500"/>
            <w:shd w:fill="FAFBFC"/>
            <w:tcMar>
              <w:top w:w="80" w:type="dxa"/>
              <w:start w:w="120" w:type="dxa"/>
              <w:bottom w:w="80" w:type="dxa"/>
              <w:end w:w="120" w:type="dxa"/>
            </w:tcMar>
            <w:vAlign w:val="center"/>
          </w:tcPr>
          <w:p>
            <w:pPr>
              <w:spacing w:after="0" w:line="252" w:lineRule="auto"/>
            </w:pPr>
            <w:r>
              <w:rPr>
                <w:rFonts w:ascii="Calibri" w:hAnsi="Calibri" w:eastAsia="Microsoft YaHei"/>
                <w:b w:val="0"/>
                <w:i w:val="0"/>
                <w:color w:val="202A35"/>
                <w:sz w:val="16"/>
              </w:rPr>
              <w:t>轻量故障初检</w:t>
            </w:r>
          </w:p>
        </w:tc>
        <w:tc>
          <w:tcPr>
            <w:tcW w:type="dxa" w:w="2200"/>
            <w:shd w:fill="FAFBFC"/>
            <w:tcMar>
              <w:top w:w="80" w:type="dxa"/>
              <w:start w:w="120" w:type="dxa"/>
              <w:bottom w:w="80" w:type="dxa"/>
              <w:end w:w="120" w:type="dxa"/>
            </w:tcMar>
            <w:vAlign w:val="center"/>
          </w:tcPr>
          <w:p>
            <w:pPr>
              <w:spacing w:after="0" w:line="252" w:lineRule="auto"/>
            </w:pPr>
            <w:r>
              <w:rPr>
                <w:rFonts w:ascii="Calibri" w:hAnsi="Calibri" w:eastAsia="Microsoft YaHei"/>
                <w:b w:val="0"/>
                <w:i w:val="0"/>
                <w:color w:val="202A35"/>
                <w:sz w:val="16"/>
              </w:rPr>
              <w:t>融合特征</w:t>
            </w:r>
          </w:p>
        </w:tc>
        <w:tc>
          <w:tcPr>
            <w:tcW w:type="dxa" w:w="1500"/>
            <w:shd w:fill="FAFBFC"/>
            <w:tcMar>
              <w:top w:w="80" w:type="dxa"/>
              <w:start w:w="120" w:type="dxa"/>
              <w:bottom w:w="80" w:type="dxa"/>
              <w:end w:w="120" w:type="dxa"/>
            </w:tcMar>
            <w:vAlign w:val="center"/>
          </w:tcPr>
          <w:p>
            <w:pPr>
              <w:spacing w:after="0" w:line="252" w:lineRule="auto"/>
            </w:pPr>
            <w:r>
              <w:rPr>
                <w:rFonts w:ascii="Calibri" w:hAnsi="Calibri" w:eastAsia="Microsoft YaHei"/>
                <w:b w:val="0"/>
                <w:i w:val="0"/>
                <w:color w:val="202A35"/>
                <w:sz w:val="16"/>
              </w:rPr>
              <w:t>T5</w:t>
            </w:r>
          </w:p>
        </w:tc>
        <w:tc>
          <w:tcPr>
            <w:tcW w:type="dxa" w:w="2510"/>
            <w:shd w:fill="FAFBFC"/>
            <w:tcMar>
              <w:top w:w="80" w:type="dxa"/>
              <w:start w:w="120" w:type="dxa"/>
              <w:bottom w:w="80" w:type="dxa"/>
              <w:end w:w="120" w:type="dxa"/>
            </w:tcMar>
            <w:vAlign w:val="center"/>
          </w:tcPr>
          <w:p>
            <w:pPr>
              <w:spacing w:after="0" w:line="252" w:lineRule="auto"/>
            </w:pPr>
            <w:r>
              <w:rPr>
                <w:rFonts w:ascii="Calibri" w:hAnsi="Calibri" w:eastAsia="Microsoft YaHei"/>
                <w:b w:val="0"/>
                <w:i w:val="0"/>
                <w:color w:val="202A35"/>
                <w:sz w:val="16"/>
              </w:rPr>
              <w:t>部署轴承模型的边缘节点</w:t>
            </w:r>
          </w:p>
        </w:tc>
      </w:tr>
      <w:tr>
        <w:trPr>
          <w:cantSplit/>
        </w:trPr>
        <w:tc>
          <w:tcPr>
            <w:tcW w:type="dxa" w:w="650"/>
            <w:tcMar>
              <w:top w:w="80" w:type="dxa"/>
              <w:start w:w="120" w:type="dxa"/>
              <w:bottom w:w="80" w:type="dxa"/>
              <w:end w:w="120" w:type="dxa"/>
            </w:tcMar>
            <w:vAlign w:val="center"/>
          </w:tcPr>
          <w:p>
            <w:pPr>
              <w:spacing w:after="0" w:line="252" w:lineRule="auto"/>
            </w:pPr>
            <w:r>
              <w:rPr>
                <w:rFonts w:ascii="Calibri" w:hAnsi="Calibri" w:eastAsia="Microsoft YaHei"/>
                <w:b w:val="0"/>
                <w:i w:val="0"/>
                <w:color w:val="202A35"/>
                <w:sz w:val="16"/>
              </w:rPr>
              <w:t>T7</w:t>
            </w:r>
          </w:p>
        </w:tc>
        <w:tc>
          <w:tcPr>
            <w:tcW w:type="dxa" w:w="2500"/>
            <w:tcMar>
              <w:top w:w="80" w:type="dxa"/>
              <w:start w:w="120" w:type="dxa"/>
              <w:bottom w:w="80" w:type="dxa"/>
              <w:end w:w="120" w:type="dxa"/>
            </w:tcMar>
            <w:vAlign w:val="center"/>
          </w:tcPr>
          <w:p>
            <w:pPr>
              <w:spacing w:after="0" w:line="252" w:lineRule="auto"/>
            </w:pPr>
            <w:r>
              <w:rPr>
                <w:rFonts w:ascii="Calibri" w:hAnsi="Calibri" w:eastAsia="Microsoft YaHei"/>
                <w:b w:val="0"/>
                <w:i w:val="0"/>
                <w:color w:val="202A35"/>
                <w:sz w:val="16"/>
              </w:rPr>
              <w:t>置信度与指标一致性评估</w:t>
            </w:r>
          </w:p>
        </w:tc>
        <w:tc>
          <w:tcPr>
            <w:tcW w:type="dxa" w:w="2200"/>
            <w:tcMar>
              <w:top w:w="80" w:type="dxa"/>
              <w:start w:w="120" w:type="dxa"/>
              <w:bottom w:w="80" w:type="dxa"/>
              <w:end w:w="120" w:type="dxa"/>
            </w:tcMar>
            <w:vAlign w:val="center"/>
          </w:tcPr>
          <w:p>
            <w:pPr>
              <w:spacing w:after="0" w:line="252" w:lineRule="auto"/>
            </w:pPr>
            <w:r>
              <w:rPr>
                <w:rFonts w:ascii="Calibri" w:hAnsi="Calibri" w:eastAsia="Microsoft YaHei"/>
                <w:b w:val="0"/>
                <w:i w:val="0"/>
                <w:color w:val="202A35"/>
                <w:sz w:val="16"/>
              </w:rPr>
              <w:t>初检结果及质量标志</w:t>
            </w:r>
          </w:p>
        </w:tc>
        <w:tc>
          <w:tcPr>
            <w:tcW w:type="dxa" w:w="1500"/>
            <w:tcMar>
              <w:top w:w="80" w:type="dxa"/>
              <w:start w:w="120" w:type="dxa"/>
              <w:bottom w:w="80" w:type="dxa"/>
              <w:end w:w="120" w:type="dxa"/>
            </w:tcMar>
            <w:vAlign w:val="center"/>
          </w:tcPr>
          <w:p>
            <w:pPr>
              <w:spacing w:after="0" w:line="252" w:lineRule="auto"/>
            </w:pPr>
            <w:r>
              <w:rPr>
                <w:rFonts w:ascii="Calibri" w:hAnsi="Calibri" w:eastAsia="Microsoft YaHei"/>
                <w:b w:val="0"/>
                <w:i w:val="0"/>
                <w:color w:val="202A35"/>
                <w:sz w:val="16"/>
              </w:rPr>
              <w:t>T6</w:t>
            </w:r>
          </w:p>
        </w:tc>
        <w:tc>
          <w:tcPr>
            <w:tcW w:type="dxa" w:w="2510"/>
            <w:tcMar>
              <w:top w:w="80" w:type="dxa"/>
              <w:start w:w="120" w:type="dxa"/>
              <w:bottom w:w="80" w:type="dxa"/>
              <w:end w:w="120" w:type="dxa"/>
            </w:tcMar>
            <w:vAlign w:val="center"/>
          </w:tcPr>
          <w:p>
            <w:pPr>
              <w:spacing w:after="0" w:line="252" w:lineRule="auto"/>
            </w:pPr>
            <w:r>
              <w:rPr>
                <w:rFonts w:ascii="Calibri" w:hAnsi="Calibri" w:eastAsia="Microsoft YaHei"/>
                <w:b w:val="0"/>
                <w:i w:val="0"/>
                <w:color w:val="202A35"/>
                <w:sz w:val="16"/>
              </w:rPr>
              <w:t>调度器/通用边缘节点</w:t>
            </w:r>
          </w:p>
        </w:tc>
      </w:tr>
      <w:tr>
        <w:trPr>
          <w:cantSplit/>
        </w:trPr>
        <w:tc>
          <w:tcPr>
            <w:tcW w:type="dxa" w:w="650"/>
            <w:shd w:fill="FAFBFC"/>
            <w:tcMar>
              <w:top w:w="80" w:type="dxa"/>
              <w:start w:w="120" w:type="dxa"/>
              <w:bottom w:w="80" w:type="dxa"/>
              <w:end w:w="120" w:type="dxa"/>
            </w:tcMar>
            <w:vAlign w:val="center"/>
          </w:tcPr>
          <w:p>
            <w:pPr>
              <w:spacing w:after="0" w:line="252" w:lineRule="auto"/>
            </w:pPr>
            <w:r>
              <w:rPr>
                <w:rFonts w:ascii="Calibri" w:hAnsi="Calibri" w:eastAsia="Microsoft YaHei"/>
                <w:b w:val="0"/>
                <w:i w:val="0"/>
                <w:color w:val="202A35"/>
                <w:sz w:val="16"/>
              </w:rPr>
              <w:t>T8</w:t>
            </w:r>
          </w:p>
        </w:tc>
        <w:tc>
          <w:tcPr>
            <w:tcW w:type="dxa" w:w="2500"/>
            <w:shd w:fill="FAFBFC"/>
            <w:tcMar>
              <w:top w:w="80" w:type="dxa"/>
              <w:start w:w="120" w:type="dxa"/>
              <w:bottom w:w="80" w:type="dxa"/>
              <w:end w:w="120" w:type="dxa"/>
            </w:tcMar>
            <w:vAlign w:val="center"/>
          </w:tcPr>
          <w:p>
            <w:pPr>
              <w:spacing w:after="0" w:line="252" w:lineRule="auto"/>
            </w:pPr>
            <w:r>
              <w:rPr>
                <w:rFonts w:ascii="Calibri" w:hAnsi="Calibri" w:eastAsia="Microsoft YaHei"/>
                <w:b w:val="0"/>
                <w:i w:val="0"/>
                <w:color w:val="202A35"/>
                <w:sz w:val="16"/>
              </w:rPr>
              <w:t>独立边缘复核（条件）</w:t>
            </w:r>
          </w:p>
        </w:tc>
        <w:tc>
          <w:tcPr>
            <w:tcW w:type="dxa" w:w="2200"/>
            <w:shd w:fill="FAFBFC"/>
            <w:tcMar>
              <w:top w:w="80" w:type="dxa"/>
              <w:start w:w="120" w:type="dxa"/>
              <w:bottom w:w="80" w:type="dxa"/>
              <w:end w:w="120" w:type="dxa"/>
            </w:tcMar>
            <w:vAlign w:val="center"/>
          </w:tcPr>
          <w:p>
            <w:pPr>
              <w:spacing w:after="0" w:line="252" w:lineRule="auto"/>
            </w:pPr>
            <w:r>
              <w:rPr>
                <w:rFonts w:ascii="Calibri" w:hAnsi="Calibri" w:eastAsia="Microsoft YaHei"/>
                <w:b w:val="0"/>
                <w:i w:val="0"/>
                <w:color w:val="202A35"/>
                <w:sz w:val="16"/>
              </w:rPr>
              <w:t>窗口或关键特征</w:t>
            </w:r>
          </w:p>
        </w:tc>
        <w:tc>
          <w:tcPr>
            <w:tcW w:type="dxa" w:w="1500"/>
            <w:shd w:fill="FAFBFC"/>
            <w:tcMar>
              <w:top w:w="80" w:type="dxa"/>
              <w:start w:w="120" w:type="dxa"/>
              <w:bottom w:w="80" w:type="dxa"/>
              <w:end w:w="120" w:type="dxa"/>
            </w:tcMar>
            <w:vAlign w:val="center"/>
          </w:tcPr>
          <w:p>
            <w:pPr>
              <w:spacing w:after="0" w:line="252" w:lineRule="auto"/>
            </w:pPr>
            <w:r>
              <w:rPr>
                <w:rFonts w:ascii="Calibri" w:hAnsi="Calibri" w:eastAsia="Microsoft YaHei"/>
                <w:b w:val="0"/>
                <w:i w:val="0"/>
                <w:color w:val="202A35"/>
                <w:sz w:val="16"/>
              </w:rPr>
              <w:t>T7</w:t>
            </w:r>
          </w:p>
        </w:tc>
        <w:tc>
          <w:tcPr>
            <w:tcW w:type="dxa" w:w="2510"/>
            <w:shd w:fill="FAFBFC"/>
            <w:tcMar>
              <w:top w:w="80" w:type="dxa"/>
              <w:start w:w="120" w:type="dxa"/>
              <w:bottom w:w="80" w:type="dxa"/>
              <w:end w:w="120" w:type="dxa"/>
            </w:tcMar>
            <w:vAlign w:val="center"/>
          </w:tcPr>
          <w:p>
            <w:pPr>
              <w:spacing w:after="0" w:line="252" w:lineRule="auto"/>
            </w:pPr>
            <w:r>
              <w:rPr>
                <w:rFonts w:ascii="Calibri" w:hAnsi="Calibri" w:eastAsia="Microsoft YaHei"/>
                <w:b w:val="0"/>
                <w:i w:val="0"/>
                <w:color w:val="202A35"/>
                <w:sz w:val="16"/>
              </w:rPr>
              <w:t>不同模型/阈值的边缘节点</w:t>
            </w:r>
          </w:p>
        </w:tc>
      </w:tr>
      <w:tr>
        <w:trPr>
          <w:cantSplit/>
        </w:trPr>
        <w:tc>
          <w:tcPr>
            <w:tcW w:type="dxa" w:w="650"/>
            <w:tcMar>
              <w:top w:w="80" w:type="dxa"/>
              <w:start w:w="120" w:type="dxa"/>
              <w:bottom w:w="80" w:type="dxa"/>
              <w:end w:w="120" w:type="dxa"/>
            </w:tcMar>
            <w:vAlign w:val="center"/>
          </w:tcPr>
          <w:p>
            <w:pPr>
              <w:spacing w:after="0" w:line="252" w:lineRule="auto"/>
            </w:pPr>
            <w:r>
              <w:rPr>
                <w:rFonts w:ascii="Calibri" w:hAnsi="Calibri" w:eastAsia="Microsoft YaHei"/>
                <w:b w:val="0"/>
                <w:i w:val="0"/>
                <w:color w:val="202A35"/>
                <w:sz w:val="16"/>
              </w:rPr>
              <w:t>T9</w:t>
            </w:r>
          </w:p>
        </w:tc>
        <w:tc>
          <w:tcPr>
            <w:tcW w:type="dxa" w:w="2500"/>
            <w:tcMar>
              <w:top w:w="80" w:type="dxa"/>
              <w:start w:w="120" w:type="dxa"/>
              <w:bottom w:w="80" w:type="dxa"/>
              <w:end w:w="120" w:type="dxa"/>
            </w:tcMar>
            <w:vAlign w:val="center"/>
          </w:tcPr>
          <w:p>
            <w:pPr>
              <w:spacing w:after="0" w:line="252" w:lineRule="auto"/>
            </w:pPr>
            <w:r>
              <w:rPr>
                <w:rFonts w:ascii="Calibri" w:hAnsi="Calibri" w:eastAsia="Microsoft YaHei"/>
                <w:b w:val="0"/>
                <w:i w:val="0"/>
                <w:color w:val="202A35"/>
                <w:sz w:val="16"/>
              </w:rPr>
              <w:t>云端深度诊断（条件）</w:t>
            </w:r>
          </w:p>
        </w:tc>
        <w:tc>
          <w:tcPr>
            <w:tcW w:type="dxa" w:w="2200"/>
            <w:tcMar>
              <w:top w:w="80" w:type="dxa"/>
              <w:start w:w="120" w:type="dxa"/>
              <w:bottom w:w="80" w:type="dxa"/>
              <w:end w:w="120" w:type="dxa"/>
            </w:tcMar>
            <w:vAlign w:val="center"/>
          </w:tcPr>
          <w:p>
            <w:pPr>
              <w:spacing w:after="0" w:line="252" w:lineRule="auto"/>
            </w:pPr>
            <w:r>
              <w:rPr>
                <w:rFonts w:ascii="Calibri" w:hAnsi="Calibri" w:eastAsia="Microsoft YaHei"/>
                <w:b w:val="0"/>
                <w:i w:val="0"/>
                <w:color w:val="202A35"/>
                <w:sz w:val="16"/>
              </w:rPr>
              <w:t>初检、复核、历史与原始数据</w:t>
            </w:r>
          </w:p>
        </w:tc>
        <w:tc>
          <w:tcPr>
            <w:tcW w:type="dxa" w:w="1500"/>
            <w:tcMar>
              <w:top w:w="80" w:type="dxa"/>
              <w:start w:w="120" w:type="dxa"/>
              <w:bottom w:w="80" w:type="dxa"/>
              <w:end w:w="120" w:type="dxa"/>
            </w:tcMar>
            <w:vAlign w:val="center"/>
          </w:tcPr>
          <w:p>
            <w:pPr>
              <w:spacing w:after="0" w:line="252" w:lineRule="auto"/>
            </w:pPr>
            <w:r>
              <w:rPr>
                <w:rFonts w:ascii="Calibri" w:hAnsi="Calibri" w:eastAsia="Microsoft YaHei"/>
                <w:b w:val="0"/>
                <w:i w:val="0"/>
                <w:color w:val="202A35"/>
                <w:sz w:val="16"/>
              </w:rPr>
              <w:t>T7 或 T8</w:t>
            </w:r>
          </w:p>
        </w:tc>
        <w:tc>
          <w:tcPr>
            <w:tcW w:type="dxa" w:w="2510"/>
            <w:tcMar>
              <w:top w:w="80" w:type="dxa"/>
              <w:start w:w="120" w:type="dxa"/>
              <w:bottom w:w="80" w:type="dxa"/>
              <w:end w:w="120" w:type="dxa"/>
            </w:tcMar>
            <w:vAlign w:val="center"/>
          </w:tcPr>
          <w:p>
            <w:pPr>
              <w:spacing w:after="0" w:line="252" w:lineRule="auto"/>
            </w:pPr>
            <w:r>
              <w:rPr>
                <w:rFonts w:ascii="Calibri" w:hAnsi="Calibri" w:eastAsia="Microsoft YaHei"/>
                <w:b w:val="0"/>
                <w:i w:val="0"/>
                <w:color w:val="202A35"/>
                <w:sz w:val="16"/>
              </w:rPr>
              <w:t>云端</w:t>
            </w:r>
          </w:p>
        </w:tc>
      </w:tr>
      <w:tr>
        <w:trPr>
          <w:cantSplit/>
        </w:trPr>
        <w:tc>
          <w:tcPr>
            <w:tcW w:type="dxa" w:w="650"/>
            <w:shd w:fill="FAFBFC"/>
            <w:tcMar>
              <w:top w:w="80" w:type="dxa"/>
              <w:start w:w="120" w:type="dxa"/>
              <w:bottom w:w="80" w:type="dxa"/>
              <w:end w:w="120" w:type="dxa"/>
            </w:tcMar>
            <w:vAlign w:val="center"/>
          </w:tcPr>
          <w:p>
            <w:pPr>
              <w:spacing w:after="0" w:line="252" w:lineRule="auto"/>
            </w:pPr>
            <w:r>
              <w:rPr>
                <w:rFonts w:ascii="Calibri" w:hAnsi="Calibri" w:eastAsia="Microsoft YaHei"/>
                <w:b w:val="0"/>
                <w:i w:val="0"/>
                <w:color w:val="202A35"/>
                <w:sz w:val="16"/>
              </w:rPr>
              <w:t>T10</w:t>
            </w:r>
          </w:p>
        </w:tc>
        <w:tc>
          <w:tcPr>
            <w:tcW w:type="dxa" w:w="2500"/>
            <w:shd w:fill="FAFBFC"/>
            <w:tcMar>
              <w:top w:w="80" w:type="dxa"/>
              <w:start w:w="120" w:type="dxa"/>
              <w:bottom w:w="80" w:type="dxa"/>
              <w:end w:w="120" w:type="dxa"/>
            </w:tcMar>
            <w:vAlign w:val="center"/>
          </w:tcPr>
          <w:p>
            <w:pPr>
              <w:spacing w:after="0" w:line="252" w:lineRule="auto"/>
            </w:pPr>
            <w:r>
              <w:rPr>
                <w:rFonts w:ascii="Calibri" w:hAnsi="Calibri" w:eastAsia="Microsoft YaHei"/>
                <w:b w:val="0"/>
                <w:i w:val="0"/>
                <w:color w:val="202A35"/>
                <w:sz w:val="16"/>
              </w:rPr>
              <w:t>告警、保护建议与结果归档</w:t>
            </w:r>
          </w:p>
        </w:tc>
        <w:tc>
          <w:tcPr>
            <w:tcW w:type="dxa" w:w="2200"/>
            <w:shd w:fill="FAFBFC"/>
            <w:tcMar>
              <w:top w:w="80" w:type="dxa"/>
              <w:start w:w="120" w:type="dxa"/>
              <w:bottom w:w="80" w:type="dxa"/>
              <w:end w:w="120" w:type="dxa"/>
            </w:tcMar>
            <w:vAlign w:val="center"/>
          </w:tcPr>
          <w:p>
            <w:pPr>
              <w:spacing w:after="0" w:line="252" w:lineRule="auto"/>
            </w:pPr>
            <w:r>
              <w:rPr>
                <w:rFonts w:ascii="Calibri" w:hAnsi="Calibri" w:eastAsia="Microsoft YaHei"/>
                <w:b w:val="0"/>
                <w:i w:val="0"/>
                <w:color w:val="202A35"/>
                <w:sz w:val="16"/>
              </w:rPr>
              <w:t>最终诊断结论</w:t>
            </w:r>
          </w:p>
        </w:tc>
        <w:tc>
          <w:tcPr>
            <w:tcW w:type="dxa" w:w="1500"/>
            <w:shd w:fill="FAFBFC"/>
            <w:tcMar>
              <w:top w:w="80" w:type="dxa"/>
              <w:start w:w="120" w:type="dxa"/>
              <w:bottom w:w="80" w:type="dxa"/>
              <w:end w:w="120" w:type="dxa"/>
            </w:tcMar>
            <w:vAlign w:val="center"/>
          </w:tcPr>
          <w:p>
            <w:pPr>
              <w:spacing w:after="0" w:line="252" w:lineRule="auto"/>
            </w:pPr>
            <w:r>
              <w:rPr>
                <w:rFonts w:ascii="Calibri" w:hAnsi="Calibri" w:eastAsia="Microsoft YaHei"/>
                <w:b w:val="0"/>
                <w:i w:val="0"/>
                <w:color w:val="202A35"/>
                <w:sz w:val="16"/>
              </w:rPr>
              <w:t>T7/T8/T9 的最终分支</w:t>
            </w:r>
          </w:p>
        </w:tc>
        <w:tc>
          <w:tcPr>
            <w:tcW w:type="dxa" w:w="2510"/>
            <w:shd w:fill="FAFBFC"/>
            <w:tcMar>
              <w:top w:w="80" w:type="dxa"/>
              <w:start w:w="120" w:type="dxa"/>
              <w:bottom w:w="80" w:type="dxa"/>
              <w:end w:w="120" w:type="dxa"/>
            </w:tcMar>
            <w:vAlign w:val="center"/>
          </w:tcPr>
          <w:p>
            <w:pPr>
              <w:spacing w:after="0" w:line="252" w:lineRule="auto"/>
            </w:pPr>
            <w:r>
              <w:rPr>
                <w:rFonts w:ascii="Calibri" w:hAnsi="Calibri" w:eastAsia="Microsoft YaHei"/>
                <w:b w:val="0"/>
                <w:i w:val="0"/>
                <w:color w:val="202A35"/>
                <w:sz w:val="16"/>
              </w:rPr>
              <w:t>边缘控制端与云端归档</w:t>
            </w:r>
          </w:p>
        </w:tc>
      </w:tr>
    </w:tbl>
    <w:p>
      <w:pPr>
        <w:spacing w:after="0"/>
      </w:pPr>
    </w:p>
    <w:p>
      <w:pPr>
        <w:pStyle w:val="Heading2"/>
      </w:pPr>
      <w:r>
        <w:t>6.1 List_seq 的生成</w:t>
      </w:r>
    </w:p>
    <w:p>
      <w:pPr>
        <w:keepLines w:val="0"/>
      </w:pPr>
      <w:r>
        <w:rPr>
          <w:rFonts w:ascii="Calibri" w:hAnsi="Calibri" w:eastAsia="Microsoft YaHei"/>
          <w:b w:val="0"/>
          <w:i w:val="0"/>
          <w:color w:val="202A35"/>
          <w:sz w:val="22"/>
        </w:rPr>
        <w:t>在一个确定窗口内，T1 是入口任务；T2 与 T3 在 T1 后可并行就绪；T5 必须等待 T3 和 T4；T8、T9 只有条件成立时才解锁。算法 3.1 对所有当前就绪任务计算 rank_i、urgency_i 和 W_i，并选择 W_i 最大者加入 List_seq。</w:t>
      </w:r>
    </w:p>
    <w:p>
      <w:pPr>
        <w:keepLines w:val="0"/>
      </w:pPr>
      <w:r>
        <w:rPr>
          <w:rFonts w:ascii="Calibri" w:hAnsi="Calibri" w:eastAsia="Microsoft YaHei"/>
          <w:b w:val="0"/>
          <w:i w:val="0"/>
          <w:color w:val="202A35"/>
          <w:sz w:val="22"/>
        </w:rPr>
        <w:t>例如，在振动数据量较大且 T4 位于关键路径时，T2/T4 的 rank 可能高于 T3；当某个任务距离全局容忍时延更近时，urgency 会提高其排序权重。最终序列可能为 `T1 -&gt; T2 -&gt; T4 -&gt; T3 -&gt; T5 -&gt; T6 -&gt; T7 -&gt; T10`，也可能因任务参数和时间预算不同而变化。该示例只说明拓扑合法性，不代表固定最优序列。</w:t>
      </w:r>
    </w:p>
    <w:p>
      <w:pPr>
        <w:pStyle w:val="Heading2"/>
      </w:pPr>
      <w:r>
        <w:t>6.2 排序与节点分配必须分开</w:t>
      </w:r>
    </w:p>
    <w:p>
      <w:pPr>
        <w:keepLines w:val="0"/>
      </w:pPr>
      <w:r>
        <w:rPr>
          <w:rFonts w:ascii="Calibri" w:hAnsi="Calibri" w:eastAsia="Microsoft YaHei"/>
          <w:b w:val="0"/>
          <w:i w:val="0"/>
          <w:color w:val="202A35"/>
          <w:sz w:val="22"/>
        </w:rPr>
        <w:t>W_i 只回答“下一个调度哪个就绪任务”。节点剩余资源和链路速率属于执行状态，交由 PER-DDPG 决定。如果把节点负载直接混入 W_i，既会改变论文算法 3.1 的含义，也会让任务顺序和执行位置耦合，难以分析究竟是哪一部分带来性能变化。</w:t>
      </w:r>
    </w:p>
    <w:p>
      <w:pPr>
        <w:pStyle w:val="Heading1"/>
      </w:pPr>
      <w:r>
        <w:t>7. PER-DDPG 节点选择与资源分配</w:t>
      </w:r>
    </w:p>
    <w:p>
      <w:pPr>
        <w:pStyle w:val="Heading2"/>
      </w:pPr>
      <w:r>
        <w:t>7.1 每个调度步的状态</w:t>
      </w:r>
    </w:p>
    <w:p>
      <w:pPr>
        <w:keepLines w:val="0"/>
      </w:pPr>
      <w:r>
        <w:rPr>
          <w:rFonts w:ascii="Calibri" w:hAnsi="Calibri" w:eastAsia="Microsoft YaHei"/>
          <w:b w:val="0"/>
          <w:i w:val="0"/>
          <w:color w:val="202A35"/>
          <w:sz w:val="22"/>
        </w:rPr>
        <w:t>对 List_seq 中当前子任务 I_t，状态由三类量组成。</w:t>
      </w:r>
    </w:p>
    <w:p>
      <w:pPr>
        <w:pStyle w:val="ListBullet"/>
      </w:pPr>
      <w:r>
        <w:rPr>
          <w:rFonts w:ascii="Calibri" w:hAnsi="Calibri" w:eastAsia="Microsoft YaHei"/>
          <w:b w:val="0"/>
          <w:i w:val="0"/>
          <w:color w:val="202A35"/>
          <w:sz w:val="22"/>
        </w:rPr>
        <w:t>任务特征 I_t：输入数据量、计算密度、最小 CPU、满足前驱依赖后的最早就绪时间。</w:t>
      </w:r>
    </w:p>
    <w:p>
      <w:pPr>
        <w:pStyle w:val="ListBullet"/>
      </w:pPr>
      <w:r>
        <w:rPr>
          <w:rFonts w:ascii="Calibri" w:hAnsi="Calibri" w:eastAsia="Microsoft YaHei"/>
          <w:b w:val="0"/>
          <w:i w:val="0"/>
          <w:color w:val="202A35"/>
          <w:sz w:val="22"/>
        </w:rPr>
        <w:t>资源状态 CR_t：每个可行边缘节点和云端的剩余 CPU，必要时通过可行性掩码排除模型不匹配或容量不足的节点。</w:t>
      </w:r>
    </w:p>
    <w:p>
      <w:pPr>
        <w:pStyle w:val="ListBullet"/>
      </w:pPr>
      <w:r>
        <w:rPr>
          <w:rFonts w:ascii="Calibri" w:hAnsi="Calibri" w:eastAsia="Microsoft YaHei"/>
          <w:b w:val="0"/>
          <w:i w:val="0"/>
          <w:color w:val="202A35"/>
          <w:sz w:val="22"/>
        </w:rPr>
        <w:t>通信状态 R_t：当前数据所在位置到各候选节点的有效传输速率，用于计算发送完整窗口、降采样数据或特征摘要的传输时间。</w:t>
      </w:r>
    </w:p>
    <w:p>
      <w:pPr>
        <w:pStyle w:val="Heading2"/>
      </w:pPr>
      <w:r>
        <w:t>7.2 动作和约束</w:t>
      </w:r>
    </w:p>
    <w:p>
      <w:pPr>
        <w:keepLines w:val="0"/>
      </w:pPr>
      <w:r>
        <w:rPr>
          <w:rFonts w:ascii="Calibri" w:hAnsi="Calibri" w:eastAsia="Microsoft YaHei"/>
          <w:b w:val="0"/>
          <w:i w:val="0"/>
          <w:color w:val="202A35"/>
          <w:sz w:val="22"/>
        </w:rPr>
        <w:t>Actor 输出候选节点概率 A_t 和资源比例 F_t。系统在可行节点中选择概率最大的节点，并将 F_t 解释为目标节点当前剩余 CPU 的请求比例。执行前必须检查任务最小 CPU、节点物理容量和整个执行区间内的可用资源；若暂时不足则等待，若物理容量永远不足则禁止该节点。</w:t>
      </w:r>
    </w:p>
    <w:p>
      <w:pPr>
        <w:keepLines/>
        <w:spacing w:before="100" w:after="180"/>
        <w:ind w:left="115" w:right="115"/>
        <w:shd w:fill="E8EEF5"/>
        <w:pBdr>
          <w:left w:val="single" w:sz="18" w:space="6" w:color="1F4D78"/>
        </w:pBdr>
      </w:pPr>
      <w:r>
        <w:rPr>
          <w:rFonts w:ascii="Calibri" w:hAnsi="Calibri" w:eastAsia="Microsoft YaHei"/>
          <w:b/>
          <w:i w:val="0"/>
          <w:color w:val="1F4D78"/>
          <w:sz w:val="22"/>
        </w:rPr>
        <w:t>资源审计：</w:t>
      </w:r>
      <w:r>
        <w:rPr>
          <w:rFonts w:ascii="Calibri" w:hAnsi="Calibri" w:eastAsia="Microsoft YaHei"/>
          <w:b w:val="0"/>
          <w:i w:val="0"/>
          <w:color w:val="202A35"/>
          <w:sz w:val="22"/>
        </w:rPr>
        <w:t>日志同时记录请求比例、请求 CPU、实际分配 CPU 和实际比例。Actor 原始动作仍用于经验学习，环境转换与时延计算使用满足硬约束后的实际资源。</w:t>
      </w:r>
    </w:p>
    <w:p>
      <w:pPr>
        <w:pStyle w:val="Heading2"/>
      </w:pPr>
      <w:r>
        <w:t>7.3 奖励、经验回放与训练闭环</w:t>
      </w:r>
    </w:p>
    <w:p>
      <w:pPr>
        <w:keepLines w:val="0"/>
      </w:pPr>
      <w:r>
        <w:rPr>
          <w:rFonts w:ascii="Calibri" w:hAnsi="Calibri" w:eastAsia="Microsoft YaHei"/>
          <w:b w:val="0"/>
          <w:i w:val="0"/>
          <w:color w:val="202A35"/>
          <w:sz w:val="22"/>
        </w:rPr>
        <w:t>每执行一个子任务，环境更新传输完成时间、排队等待时间、执行时间和当前系统总完成时刻，并给出负的当前最大完成时间作为奖励。经验 `(s_t, a_t, r_t, s_{t+1})` 写入 PER 缓冲区，TD 误差越大的样本越容易被再次采样。Critic 学习动作长期价值，Actor 根据 Critic 梯度调整策略，目标网络软更新以降低训练震荡。</w:t>
      </w:r>
    </w:p>
    <w:p>
      <w:pPr>
        <w:keepLines w:val="0"/>
      </w:pPr>
      <w:r>
        <w:rPr>
          <w:rFonts w:ascii="Calibri" w:hAnsi="Calibri" w:eastAsia="Microsoft YaHei"/>
          <w:b w:val="0"/>
          <w:i w:val="0"/>
          <w:color w:val="202A35"/>
          <w:sz w:val="22"/>
        </w:rPr>
        <w:t>训练早期加入较大的探索噪声，让策略尝试不同节点与资源比例；随着回合推进，噪声线性减小，使策略逐步稳定。完成一个 DAG 只构成一个回合样本，必须在不同负载、网络和任务参数下重复训练，才能学习对状态变化具有适应性的调度策略。</w:t>
      </w:r>
    </w:p>
    <w:p>
      <w:pPr>
        <w:pStyle w:val="Heading2"/>
      </w:pPr>
      <w:r>
        <w:t>7.4 检测准确性与奖励函数的关系</w:t>
      </w:r>
    </w:p>
    <w:p>
      <w:pPr>
        <w:keepLines w:val="0"/>
      </w:pPr>
      <w:r>
        <w:rPr>
          <w:rFonts w:ascii="Calibri" w:hAnsi="Calibri" w:eastAsia="Microsoft YaHei"/>
          <w:b w:val="0"/>
          <w:i w:val="0"/>
          <w:color w:val="202A35"/>
          <w:sz w:val="22"/>
        </w:rPr>
        <w:t>论文奖励聚焦总完成时间。轴承场景中的模型置信度、传感器完整性和严重异常不能被忽略，但为了保持论文算法思想，不把它们擅自改造成新的加权奖励项。更严谨的做法是：把模型能力、最小资源和数据完整性作为动作可行性条件，把低置信度、指标矛盾和严重异常作为复核/上云门控条件；诊断准确率作为系统验收指标单独报告。</w:t>
      </w:r>
    </w:p>
    <w:p>
      <w:pPr>
        <w:pStyle w:val="Heading1"/>
      </w:pPr>
      <w:r>
        <w:t>8. 工业轴承检测端到端流程</w:t>
      </w:r>
    </w:p>
    <w:p>
      <w:pPr>
        <w:pStyle w:val="ListNumber"/>
      </w:pPr>
      <w:r>
        <w:rPr>
          <w:rFonts w:ascii="Calibri" w:hAnsi="Calibri" w:eastAsia="Microsoft YaHei"/>
          <w:b w:val="0"/>
          <w:i w:val="0"/>
          <w:color w:val="202A35"/>
          <w:sz w:val="22"/>
        </w:rPr>
        <w:t>设备运行与连续采样：振动传感器以 16 kHz 采样；采集任务每 4 ms 写入 64 个点，同时更新电流、温度、转速和负载。</w:t>
      </w:r>
    </w:p>
    <w:p>
      <w:pPr>
        <w:pStyle w:val="ListNumber"/>
      </w:pPr>
      <w:r>
        <w:rPr>
          <w:rFonts w:ascii="Calibri" w:hAnsi="Calibri" w:eastAsia="Microsoft YaHei"/>
          <w:b w:val="0"/>
          <w:i w:val="0"/>
          <w:color w:val="202A35"/>
          <w:sz w:val="22"/>
        </w:rPr>
        <w:t>微批量封装：发送器每 50 ms 取出 800 个未发送振动点，附加最新标量、序号、时间范围、质量标志和校验信息。</w:t>
      </w:r>
    </w:p>
    <w:p>
      <w:pPr>
        <w:pStyle w:val="ListNumber"/>
      </w:pPr>
      <w:r>
        <w:rPr>
          <w:rFonts w:ascii="Calibri" w:hAnsi="Calibri" w:eastAsia="Microsoft YaHei"/>
          <w:b w:val="0"/>
          <w:i w:val="0"/>
          <w:color w:val="202A35"/>
          <w:sz w:val="22"/>
        </w:rPr>
        <w:t>原始任务发布：发送器向 MQTT 原始主题发布，不知道也不选择目标边缘节点。</w:t>
      </w:r>
    </w:p>
    <w:p>
      <w:pPr>
        <w:pStyle w:val="ListNumber"/>
      </w:pPr>
      <w:r>
        <w:rPr>
          <w:rFonts w:ascii="Calibri" w:hAnsi="Calibri" w:eastAsia="Microsoft YaHei"/>
          <w:b w:val="0"/>
          <w:i w:val="0"/>
          <w:color w:val="202A35"/>
          <w:sz w:val="22"/>
        </w:rPr>
        <w:t>窗口聚合：调度器或入口边缘节点按 task_id 将 4 个微批量组织为 200 ms、3200 点诊断窗口，处理丢包、重复和乱序。</w:t>
      </w:r>
    </w:p>
    <w:p>
      <w:pPr>
        <w:pStyle w:val="ListNumber"/>
      </w:pPr>
      <w:r>
        <w:rPr>
          <w:rFonts w:ascii="Calibri" w:hAnsi="Calibri" w:eastAsia="Microsoft YaHei"/>
          <w:b w:val="0"/>
          <w:i w:val="0"/>
          <w:color w:val="202A35"/>
          <w:sz w:val="22"/>
        </w:rPr>
        <w:t>DAG 构造与排序：根据窗口数据类型和可选分支生成子任务图，算法 3.1 计算 rank、urgency、W 并输出 List_seq。</w:t>
      </w:r>
    </w:p>
    <w:p>
      <w:pPr>
        <w:pStyle w:val="ListNumber"/>
      </w:pPr>
      <w:r>
        <w:rPr>
          <w:rFonts w:ascii="Calibri" w:hAnsi="Calibri" w:eastAsia="Microsoft YaHei"/>
          <w:b w:val="0"/>
          <w:i w:val="0"/>
          <w:color w:val="202A35"/>
          <w:sz w:val="22"/>
        </w:rPr>
        <w:t>动态调度：对 List_seq 当前任务读取 I_t、CR_t、R_t，PER-DDPG 输出节点选择和 CPU 比例，调度器经 MQTT 将任务路由到目标边缘节点或云端。</w:t>
      </w:r>
    </w:p>
    <w:p>
      <w:pPr>
        <w:pStyle w:val="ListNumber"/>
      </w:pPr>
      <w:r>
        <w:rPr>
          <w:rFonts w:ascii="Calibri" w:hAnsi="Calibri" w:eastAsia="Microsoft YaHei"/>
          <w:b w:val="0"/>
          <w:i w:val="0"/>
          <w:color w:val="202A35"/>
          <w:sz w:val="22"/>
        </w:rPr>
        <w:t>边缘执行：节点完成预处理、特征提取、融合或轻量推理，返回结果、置信度、质量标志、耗时和实际资源占用。</w:t>
      </w:r>
    </w:p>
    <w:p>
      <w:pPr>
        <w:pStyle w:val="ListNumber"/>
      </w:pPr>
      <w:r>
        <w:rPr>
          <w:rFonts w:ascii="Calibri" w:hAnsi="Calibri" w:eastAsia="Microsoft YaHei"/>
          <w:b w:val="0"/>
          <w:i w:val="0"/>
          <w:color w:val="202A35"/>
          <w:sz w:val="22"/>
        </w:rPr>
        <w:t>复核判断：若初检置信度充分、指标一致且无关键异常，直接形成边缘结论；若低置信度、边界状态、指标矛盾或严重异常，触发第二边缘节点独立复核。</w:t>
      </w:r>
    </w:p>
    <w:p>
      <w:pPr>
        <w:pStyle w:val="ListNumber"/>
      </w:pPr>
      <w:r>
        <w:rPr>
          <w:rFonts w:ascii="Calibri" w:hAnsi="Calibri" w:eastAsia="Microsoft YaHei"/>
          <w:b w:val="0"/>
          <w:i w:val="0"/>
          <w:color w:val="202A35"/>
          <w:sz w:val="22"/>
        </w:rPr>
        <w:t>冲突升级：若两次结果一致，采用复核后的边缘结论；若结果冲突、数据质量不足或需复杂历史模型，向云端上传特征或原始窗口进行深度诊断。</w:t>
      </w:r>
    </w:p>
    <w:p>
      <w:pPr>
        <w:pStyle w:val="ListNumber"/>
      </w:pPr>
      <w:r>
        <w:rPr>
          <w:rFonts w:ascii="Calibri" w:hAnsi="Calibri" w:eastAsia="Microsoft YaHei"/>
          <w:b w:val="0"/>
          <w:i w:val="0"/>
          <w:color w:val="202A35"/>
          <w:sz w:val="22"/>
        </w:rPr>
        <w:t>弱网自治：云端不可达时，边缘按安全规则执行本地告警/保护，优先上传特征摘要并缓存原始窗口，恢复通信后补传。</w:t>
      </w:r>
    </w:p>
    <w:p>
      <w:pPr>
        <w:pStyle w:val="ListNumber"/>
      </w:pPr>
      <w:r>
        <w:rPr>
          <w:rFonts w:ascii="Calibri" w:hAnsi="Calibri" w:eastAsia="Microsoft YaHei"/>
          <w:b w:val="0"/>
          <w:i w:val="0"/>
          <w:color w:val="202A35"/>
          <w:sz w:val="22"/>
        </w:rPr>
        <w:t>结果闭环：最终诊断、告警级别、保护建议和追溯信息写入结果主题及数据库；执行转移写入 PER 经验池，支持后续训练。</w:t>
      </w:r>
    </w:p>
    <w:p>
      <w:pPr>
        <w:keepLines/>
        <w:spacing w:before="100" w:after="180"/>
        <w:ind w:left="115" w:right="115"/>
        <w:shd w:fill="E8EEF5"/>
        <w:pBdr>
          <w:left w:val="single" w:sz="18" w:space="6" w:color="1F4D78"/>
        </w:pBdr>
      </w:pPr>
      <w:r>
        <w:rPr>
          <w:rFonts w:ascii="Calibri" w:hAnsi="Calibri" w:eastAsia="Microsoft YaHei"/>
          <w:b/>
          <w:i w:val="0"/>
          <w:color w:val="1F4D78"/>
          <w:sz w:val="22"/>
        </w:rPr>
        <w:t>流程主线：</w:t>
      </w:r>
      <w:r>
        <w:rPr>
          <w:rFonts w:ascii="Calibri" w:hAnsi="Calibri" w:eastAsia="Microsoft YaHei"/>
          <w:b w:val="0"/>
          <w:i w:val="0"/>
          <w:color w:val="202A35"/>
          <w:sz w:val="22"/>
        </w:rPr>
        <w:t>采集数据 -&gt; 形成诊断窗口 -&gt; 构造 DAG -&gt; 生成 List_seq -&gt; 按步选择节点和资源 -&gt; 边缘初检 -&gt; 条件复核 -&gt; 冲突上云 -&gt; 告警与归档 -&gt; 经验反馈。</w:t>
      </w:r>
    </w:p>
    <w:p>
      <w:pPr>
        <w:pStyle w:val="Heading1"/>
      </w:pPr>
      <w:r>
        <w:t>9. 当前问题、风险与解决方案</w:t>
      </w:r>
    </w:p>
    <w:tbl>
      <w:tblPr>
        <w:tblStyle w:val="TableGrid"/>
        <w:tblW w:type="dxa" w:w="9360"/>
        <w:tblLayout w:type="fixed"/>
        <w:tblLook w:firstColumn="1" w:firstRow="1" w:lastColumn="0" w:lastRow="0" w:noHBand="0" w:noVBand="1" w:val="04A0"/>
        <w:jc w:val="left"/>
        <w:tblInd w:w="120" w:type="dxa"/>
      </w:tblPr>
      <w:tblGrid>
        <w:gridCol w:w="2200"/>
        <w:gridCol w:w="2900"/>
        <w:gridCol w:w="4260"/>
      </w:tblGrid>
      <w:tr>
        <w:trPr>
          <w:cantSplit/>
          <w:tblHeader w:val="true"/>
          <w:cantSplit/>
        </w:trPr>
        <w:tc>
          <w:tcPr>
            <w:tcW w:type="dxa" w:w="2200"/>
            <w:tcMar>
              <w:top w:w="80" w:type="dxa"/>
              <w:start w:w="120" w:type="dxa"/>
              <w:bottom w:w="80" w:type="dxa"/>
              <w:end w:w="120" w:type="dxa"/>
            </w:tcMar>
            <w:vAlign w:val="center"/>
            <w:shd w:fill="F2F4F7"/>
          </w:tcPr>
          <w:p>
            <w:pPr>
              <w:spacing w:after="0"/>
            </w:pPr>
            <w:r>
              <w:rPr>
                <w:rFonts w:ascii="Calibri" w:hAnsi="Calibri" w:eastAsia="Microsoft YaHei"/>
                <w:b/>
                <w:i w:val="0"/>
                <w:color w:val="1F4D78"/>
                <w:sz w:val="16"/>
              </w:rPr>
              <w:t>问题</w:t>
            </w:r>
          </w:p>
        </w:tc>
        <w:tc>
          <w:tcPr>
            <w:tcW w:type="dxa" w:w="2900"/>
            <w:tcMar>
              <w:top w:w="80" w:type="dxa"/>
              <w:start w:w="120" w:type="dxa"/>
              <w:bottom w:w="80" w:type="dxa"/>
              <w:end w:w="120" w:type="dxa"/>
            </w:tcMar>
            <w:vAlign w:val="center"/>
            <w:shd w:fill="F2F4F7"/>
          </w:tcPr>
          <w:p>
            <w:pPr>
              <w:spacing w:after="0"/>
            </w:pPr>
            <w:r>
              <w:rPr>
                <w:rFonts w:ascii="Calibri" w:hAnsi="Calibri" w:eastAsia="Microsoft YaHei"/>
                <w:b/>
                <w:i w:val="0"/>
                <w:color w:val="1F4D78"/>
                <w:sz w:val="16"/>
              </w:rPr>
              <w:t>风险或原因</w:t>
            </w:r>
          </w:p>
        </w:tc>
        <w:tc>
          <w:tcPr>
            <w:tcW w:type="dxa" w:w="4260"/>
            <w:tcMar>
              <w:top w:w="80" w:type="dxa"/>
              <w:start w:w="120" w:type="dxa"/>
              <w:bottom w:w="80" w:type="dxa"/>
              <w:end w:w="120" w:type="dxa"/>
            </w:tcMar>
            <w:vAlign w:val="center"/>
            <w:shd w:fill="F2F4F7"/>
          </w:tcPr>
          <w:p>
            <w:pPr>
              <w:spacing w:after="0"/>
            </w:pPr>
            <w:r>
              <w:rPr>
                <w:rFonts w:ascii="Calibri" w:hAnsi="Calibri" w:eastAsia="Microsoft YaHei"/>
                <w:b/>
                <w:i w:val="0"/>
                <w:color w:val="1F4D78"/>
                <w:sz w:val="16"/>
              </w:rPr>
              <w:t>解决方案</w:t>
            </w:r>
          </w:p>
        </w:tc>
      </w:tr>
      <w:tr>
        <w:trPr>
          <w:cantSplit/>
        </w:trPr>
        <w:tc>
          <w:tcPr>
            <w:tcW w:type="dxa" w:w="2200"/>
            <w:tcMar>
              <w:top w:w="80" w:type="dxa"/>
              <w:start w:w="120" w:type="dxa"/>
              <w:bottom w:w="80" w:type="dxa"/>
              <w:end w:w="120" w:type="dxa"/>
            </w:tcMar>
            <w:vAlign w:val="center"/>
          </w:tcPr>
          <w:p>
            <w:pPr>
              <w:spacing w:after="0" w:line="252" w:lineRule="auto"/>
            </w:pPr>
            <w:r>
              <w:rPr>
                <w:rFonts w:ascii="Calibri" w:hAnsi="Calibri" w:eastAsia="Microsoft YaHei"/>
                <w:b w:val="0"/>
                <w:i w:val="0"/>
                <w:color w:val="202A35"/>
                <w:sz w:val="16"/>
              </w:rPr>
              <w:t>接口只适配固定传感器</w:t>
            </w:r>
          </w:p>
        </w:tc>
        <w:tc>
          <w:tcPr>
            <w:tcW w:type="dxa" w:w="2900"/>
            <w:tcMar>
              <w:top w:w="80" w:type="dxa"/>
              <w:start w:w="120" w:type="dxa"/>
              <w:bottom w:w="80" w:type="dxa"/>
              <w:end w:w="120" w:type="dxa"/>
            </w:tcMar>
            <w:vAlign w:val="center"/>
          </w:tcPr>
          <w:p>
            <w:pPr>
              <w:spacing w:after="0" w:line="252" w:lineRule="auto"/>
            </w:pPr>
            <w:r>
              <w:rPr>
                <w:rFonts w:ascii="Calibri" w:hAnsi="Calibri" w:eastAsia="Microsoft YaHei"/>
                <w:b w:val="0"/>
                <w:i w:val="0"/>
                <w:color w:val="202A35"/>
                <w:sz w:val="16"/>
              </w:rPr>
              <w:t>新增声学、图像或其他设备时需要改代码</w:t>
            </w:r>
          </w:p>
        </w:tc>
        <w:tc>
          <w:tcPr>
            <w:tcW w:type="dxa" w:w="4260"/>
            <w:tcMar>
              <w:top w:w="80" w:type="dxa"/>
              <w:start w:w="120" w:type="dxa"/>
              <w:bottom w:w="80" w:type="dxa"/>
              <w:end w:w="120" w:type="dxa"/>
            </w:tcMar>
            <w:vAlign w:val="center"/>
          </w:tcPr>
          <w:p>
            <w:pPr>
              <w:spacing w:after="0" w:line="252" w:lineRule="auto"/>
            </w:pPr>
            <w:r>
              <w:rPr>
                <w:rFonts w:ascii="Calibri" w:hAnsi="Calibri" w:eastAsia="Microsoft YaHei"/>
                <w:b w:val="0"/>
                <w:i w:val="0"/>
                <w:color w:val="202A35"/>
                <w:sz w:val="16"/>
              </w:rPr>
              <w:t>采用固定消息信封 + `payloads[]` 描述数据类型、编码、形状与采样率；调度器按能力标签匹配节点</w:t>
            </w:r>
          </w:p>
        </w:tc>
      </w:tr>
      <w:tr>
        <w:trPr>
          <w:cantSplit/>
        </w:trPr>
        <w:tc>
          <w:tcPr>
            <w:tcW w:type="dxa" w:w="2200"/>
            <w:shd w:fill="FAFBFC"/>
            <w:tcMar>
              <w:top w:w="80" w:type="dxa"/>
              <w:start w:w="120" w:type="dxa"/>
              <w:bottom w:w="80" w:type="dxa"/>
              <w:end w:w="120" w:type="dxa"/>
            </w:tcMar>
            <w:vAlign w:val="center"/>
          </w:tcPr>
          <w:p>
            <w:pPr>
              <w:spacing w:after="0" w:line="252" w:lineRule="auto"/>
            </w:pPr>
            <w:r>
              <w:rPr>
                <w:rFonts w:ascii="Calibri" w:hAnsi="Calibri" w:eastAsia="Microsoft YaHei"/>
                <w:b w:val="0"/>
                <w:i w:val="0"/>
                <w:color w:val="202A35"/>
                <w:sz w:val="16"/>
              </w:rPr>
              <w:t>发送器直接选节点</w:t>
            </w:r>
          </w:p>
        </w:tc>
        <w:tc>
          <w:tcPr>
            <w:tcW w:type="dxa" w:w="2900"/>
            <w:shd w:fill="FAFBFC"/>
            <w:tcMar>
              <w:top w:w="80" w:type="dxa"/>
              <w:start w:w="120" w:type="dxa"/>
              <w:bottom w:w="80" w:type="dxa"/>
              <w:end w:w="120" w:type="dxa"/>
            </w:tcMar>
            <w:vAlign w:val="center"/>
          </w:tcPr>
          <w:p>
            <w:pPr>
              <w:spacing w:after="0" w:line="252" w:lineRule="auto"/>
            </w:pPr>
            <w:r>
              <w:rPr>
                <w:rFonts w:ascii="Calibri" w:hAnsi="Calibri" w:eastAsia="Microsoft YaHei"/>
                <w:b w:val="0"/>
                <w:i w:val="0"/>
                <w:color w:val="202A35"/>
                <w:sz w:val="16"/>
              </w:rPr>
              <w:t>采集端需要维护节点 IP，难扩容且无法全局负载均衡</w:t>
            </w:r>
          </w:p>
        </w:tc>
        <w:tc>
          <w:tcPr>
            <w:tcW w:type="dxa" w:w="4260"/>
            <w:shd w:fill="FAFBFC"/>
            <w:tcMar>
              <w:top w:w="80" w:type="dxa"/>
              <w:start w:w="120" w:type="dxa"/>
              <w:bottom w:w="80" w:type="dxa"/>
              <w:end w:w="120" w:type="dxa"/>
            </w:tcMar>
            <w:vAlign w:val="center"/>
          </w:tcPr>
          <w:p>
            <w:pPr>
              <w:spacing w:after="0" w:line="252" w:lineRule="auto"/>
            </w:pPr>
            <w:r>
              <w:rPr>
                <w:rFonts w:ascii="Calibri" w:hAnsi="Calibri" w:eastAsia="Microsoft YaHei"/>
                <w:b w:val="0"/>
                <w:i w:val="0"/>
                <w:color w:val="202A35"/>
                <w:sz w:val="16"/>
              </w:rPr>
              <w:t>发送器只发布 `task/raw`；调度器集中读取状态并控制 MQTT 路由</w:t>
            </w:r>
          </w:p>
        </w:tc>
      </w:tr>
      <w:tr>
        <w:trPr>
          <w:cantSplit/>
        </w:trPr>
        <w:tc>
          <w:tcPr>
            <w:tcW w:type="dxa" w:w="2200"/>
            <w:tcMar>
              <w:top w:w="80" w:type="dxa"/>
              <w:start w:w="120" w:type="dxa"/>
              <w:bottom w:w="80" w:type="dxa"/>
              <w:end w:w="120" w:type="dxa"/>
            </w:tcMar>
            <w:vAlign w:val="center"/>
          </w:tcPr>
          <w:p>
            <w:pPr>
              <w:spacing w:after="0" w:line="252" w:lineRule="auto"/>
            </w:pPr>
            <w:r>
              <w:rPr>
                <w:rFonts w:ascii="Calibri" w:hAnsi="Calibri" w:eastAsia="Microsoft YaHei"/>
                <w:b w:val="0"/>
                <w:i w:val="0"/>
                <w:color w:val="202A35"/>
                <w:sz w:val="16"/>
              </w:rPr>
              <w:t>一条数据广播给全部节点</w:t>
            </w:r>
          </w:p>
        </w:tc>
        <w:tc>
          <w:tcPr>
            <w:tcW w:type="dxa" w:w="2900"/>
            <w:tcMar>
              <w:top w:w="80" w:type="dxa"/>
              <w:start w:w="120" w:type="dxa"/>
              <w:bottom w:w="80" w:type="dxa"/>
              <w:end w:w="120" w:type="dxa"/>
            </w:tcMar>
            <w:vAlign w:val="center"/>
          </w:tcPr>
          <w:p>
            <w:pPr>
              <w:spacing w:after="0" w:line="252" w:lineRule="auto"/>
            </w:pPr>
            <w:r>
              <w:rPr>
                <w:rFonts w:ascii="Calibri" w:hAnsi="Calibri" w:eastAsia="Microsoft YaHei"/>
                <w:b w:val="0"/>
                <w:i w:val="0"/>
                <w:color w:val="202A35"/>
                <w:sz w:val="16"/>
              </w:rPr>
              <w:t>重复计算、网络开销大，结果冲突难管理</w:t>
            </w:r>
          </w:p>
        </w:tc>
        <w:tc>
          <w:tcPr>
            <w:tcW w:type="dxa" w:w="4260"/>
            <w:tcMar>
              <w:top w:w="80" w:type="dxa"/>
              <w:start w:w="120" w:type="dxa"/>
              <w:bottom w:w="80" w:type="dxa"/>
              <w:end w:w="120" w:type="dxa"/>
            </w:tcMar>
            <w:vAlign w:val="center"/>
          </w:tcPr>
          <w:p>
            <w:pPr>
              <w:spacing w:after="0" w:line="252" w:lineRule="auto"/>
            </w:pPr>
            <w:r>
              <w:rPr>
                <w:rFonts w:ascii="Calibri" w:hAnsi="Calibri" w:eastAsia="Microsoft YaHei"/>
                <w:b w:val="0"/>
                <w:i w:val="0"/>
                <w:color w:val="202A35"/>
                <w:sz w:val="16"/>
              </w:rPr>
              <w:t>默认单节点初检；仅在低置信度、边界、矛盾或严重异常时触发第二节点</w:t>
            </w:r>
          </w:p>
        </w:tc>
      </w:tr>
      <w:tr>
        <w:trPr>
          <w:cantSplit/>
        </w:trPr>
        <w:tc>
          <w:tcPr>
            <w:tcW w:type="dxa" w:w="2200"/>
            <w:shd w:fill="FAFBFC"/>
            <w:tcMar>
              <w:top w:w="80" w:type="dxa"/>
              <w:start w:w="120" w:type="dxa"/>
              <w:bottom w:w="80" w:type="dxa"/>
              <w:end w:w="120" w:type="dxa"/>
            </w:tcMar>
            <w:vAlign w:val="center"/>
          </w:tcPr>
          <w:p>
            <w:pPr>
              <w:spacing w:after="0" w:line="252" w:lineRule="auto"/>
            </w:pPr>
            <w:r>
              <w:rPr>
                <w:rFonts w:ascii="Calibri" w:hAnsi="Calibri" w:eastAsia="Microsoft YaHei"/>
                <w:b w:val="0"/>
                <w:i w:val="0"/>
                <w:color w:val="202A35"/>
                <w:sz w:val="16"/>
              </w:rPr>
              <w:t>节点职责与能力不清</w:t>
            </w:r>
          </w:p>
        </w:tc>
        <w:tc>
          <w:tcPr>
            <w:tcW w:type="dxa" w:w="2900"/>
            <w:shd w:fill="FAFBFC"/>
            <w:tcMar>
              <w:top w:w="80" w:type="dxa"/>
              <w:start w:w="120" w:type="dxa"/>
              <w:bottom w:w="80" w:type="dxa"/>
              <w:end w:w="120" w:type="dxa"/>
            </w:tcMar>
            <w:vAlign w:val="center"/>
          </w:tcPr>
          <w:p>
            <w:pPr>
              <w:spacing w:after="0" w:line="252" w:lineRule="auto"/>
            </w:pPr>
            <w:r>
              <w:rPr>
                <w:rFonts w:ascii="Calibri" w:hAnsi="Calibri" w:eastAsia="Microsoft YaHei"/>
                <w:b w:val="0"/>
                <w:i w:val="0"/>
                <w:color w:val="202A35"/>
                <w:sz w:val="16"/>
              </w:rPr>
              <w:t>Actor 可能选择未部署对应模型的节点</w:t>
            </w:r>
          </w:p>
        </w:tc>
        <w:tc>
          <w:tcPr>
            <w:tcW w:type="dxa" w:w="4260"/>
            <w:shd w:fill="FAFBFC"/>
            <w:tcMar>
              <w:top w:w="80" w:type="dxa"/>
              <w:start w:w="120" w:type="dxa"/>
              <w:bottom w:w="80" w:type="dxa"/>
              <w:end w:w="120" w:type="dxa"/>
            </w:tcMar>
            <w:vAlign w:val="center"/>
          </w:tcPr>
          <w:p>
            <w:pPr>
              <w:spacing w:after="0" w:line="252" w:lineRule="auto"/>
            </w:pPr>
            <w:r>
              <w:rPr>
                <w:rFonts w:ascii="Calibri" w:hAnsi="Calibri" w:eastAsia="Microsoft YaHei"/>
                <w:b w:val="0"/>
                <w:i w:val="0"/>
                <w:color w:val="202A35"/>
                <w:sz w:val="16"/>
              </w:rPr>
              <w:t>建立节点能力注册表和可行性掩码，容量/模型不满足时不进入候选集合</w:t>
            </w:r>
          </w:p>
        </w:tc>
      </w:tr>
      <w:tr>
        <w:trPr>
          <w:cantSplit/>
        </w:trPr>
        <w:tc>
          <w:tcPr>
            <w:tcW w:type="dxa" w:w="2200"/>
            <w:tcMar>
              <w:top w:w="80" w:type="dxa"/>
              <w:start w:w="120" w:type="dxa"/>
              <w:bottom w:w="80" w:type="dxa"/>
              <w:end w:w="120" w:type="dxa"/>
            </w:tcMar>
            <w:vAlign w:val="center"/>
          </w:tcPr>
          <w:p>
            <w:pPr>
              <w:spacing w:after="0" w:line="252" w:lineRule="auto"/>
            </w:pPr>
            <w:r>
              <w:rPr>
                <w:rFonts w:ascii="Calibri" w:hAnsi="Calibri" w:eastAsia="Microsoft YaHei"/>
                <w:b w:val="0"/>
                <w:i w:val="0"/>
                <w:color w:val="202A35"/>
                <w:sz w:val="16"/>
              </w:rPr>
              <w:t>网络波动或云端中断</w:t>
            </w:r>
          </w:p>
        </w:tc>
        <w:tc>
          <w:tcPr>
            <w:tcW w:type="dxa" w:w="2900"/>
            <w:tcMar>
              <w:top w:w="80" w:type="dxa"/>
              <w:start w:w="120" w:type="dxa"/>
              <w:bottom w:w="80" w:type="dxa"/>
              <w:end w:w="120" w:type="dxa"/>
            </w:tcMar>
            <w:vAlign w:val="center"/>
          </w:tcPr>
          <w:p>
            <w:pPr>
              <w:spacing w:after="0" w:line="252" w:lineRule="auto"/>
            </w:pPr>
            <w:r>
              <w:rPr>
                <w:rFonts w:ascii="Calibri" w:hAnsi="Calibri" w:eastAsia="Microsoft YaHei"/>
                <w:b w:val="0"/>
                <w:i w:val="0"/>
                <w:color w:val="202A35"/>
                <w:sz w:val="16"/>
              </w:rPr>
              <w:t>传输时延增加，边缘等待云端导致业务停摆</w:t>
            </w:r>
          </w:p>
        </w:tc>
        <w:tc>
          <w:tcPr>
            <w:tcW w:type="dxa" w:w="4260"/>
            <w:tcMar>
              <w:top w:w="80" w:type="dxa"/>
              <w:start w:w="120" w:type="dxa"/>
              <w:bottom w:w="80" w:type="dxa"/>
              <w:end w:w="120" w:type="dxa"/>
            </w:tcMar>
            <w:vAlign w:val="center"/>
          </w:tcPr>
          <w:p>
            <w:pPr>
              <w:spacing w:after="0" w:line="252" w:lineRule="auto"/>
            </w:pPr>
            <w:r>
              <w:rPr>
                <w:rFonts w:ascii="Calibri" w:hAnsi="Calibri" w:eastAsia="Microsoft YaHei"/>
                <w:b w:val="0"/>
                <w:i w:val="0"/>
                <w:color w:val="202A35"/>
                <w:sz w:val="16"/>
              </w:rPr>
              <w:t>边缘保留基础安全规则；特征优先上传；原始数据本地缓存并支持断点补传</w:t>
            </w:r>
          </w:p>
        </w:tc>
      </w:tr>
      <w:tr>
        <w:trPr>
          <w:cantSplit/>
        </w:trPr>
        <w:tc>
          <w:tcPr>
            <w:tcW w:type="dxa" w:w="2200"/>
            <w:shd w:fill="FAFBFC"/>
            <w:tcMar>
              <w:top w:w="80" w:type="dxa"/>
              <w:start w:w="120" w:type="dxa"/>
              <w:bottom w:w="80" w:type="dxa"/>
              <w:end w:w="120" w:type="dxa"/>
            </w:tcMar>
            <w:vAlign w:val="center"/>
          </w:tcPr>
          <w:p>
            <w:pPr>
              <w:spacing w:after="0" w:line="252" w:lineRule="auto"/>
            </w:pPr>
            <w:r>
              <w:rPr>
                <w:rFonts w:ascii="Calibri" w:hAnsi="Calibri" w:eastAsia="Microsoft YaHei"/>
                <w:b w:val="0"/>
                <w:i w:val="0"/>
                <w:color w:val="202A35"/>
                <w:sz w:val="16"/>
              </w:rPr>
              <w:t>丢包、重复和乱序</w:t>
            </w:r>
          </w:p>
        </w:tc>
        <w:tc>
          <w:tcPr>
            <w:tcW w:type="dxa" w:w="2900"/>
            <w:shd w:fill="FAFBFC"/>
            <w:tcMar>
              <w:top w:w="80" w:type="dxa"/>
              <w:start w:w="120" w:type="dxa"/>
              <w:bottom w:w="80" w:type="dxa"/>
              <w:end w:w="120" w:type="dxa"/>
            </w:tcMar>
            <w:vAlign w:val="center"/>
          </w:tcPr>
          <w:p>
            <w:pPr>
              <w:spacing w:after="0" w:line="252" w:lineRule="auto"/>
            </w:pPr>
            <w:r>
              <w:rPr>
                <w:rFonts w:ascii="Calibri" w:hAnsi="Calibri" w:eastAsia="Microsoft YaHei"/>
                <w:b w:val="0"/>
                <w:i w:val="0"/>
                <w:color w:val="202A35"/>
                <w:sz w:val="16"/>
              </w:rPr>
              <w:t>200 ms 窗口不完整导致误判</w:t>
            </w:r>
          </w:p>
        </w:tc>
        <w:tc>
          <w:tcPr>
            <w:tcW w:type="dxa" w:w="4260"/>
            <w:shd w:fill="FAFBFC"/>
            <w:tcMar>
              <w:top w:w="80" w:type="dxa"/>
              <w:start w:w="120" w:type="dxa"/>
              <w:bottom w:w="80" w:type="dxa"/>
              <w:end w:w="120" w:type="dxa"/>
            </w:tcMar>
            <w:vAlign w:val="center"/>
          </w:tcPr>
          <w:p>
            <w:pPr>
              <w:spacing w:after="0" w:line="252" w:lineRule="auto"/>
            </w:pPr>
            <w:r>
              <w:rPr>
                <w:rFonts w:ascii="Calibri" w:hAnsi="Calibri" w:eastAsia="Microsoft YaHei"/>
                <w:b w:val="0"/>
                <w:i w:val="0"/>
                <w:color w:val="202A35"/>
                <w:sz w:val="16"/>
              </w:rPr>
              <w:t>使用序号、起止时间、样本数和校验值；缺失窗口打质量标志并决定重传/降级</w:t>
            </w:r>
          </w:p>
        </w:tc>
      </w:tr>
      <w:tr>
        <w:trPr>
          <w:cantSplit/>
        </w:trPr>
        <w:tc>
          <w:tcPr>
            <w:tcW w:type="dxa" w:w="2200"/>
            <w:tcMar>
              <w:top w:w="80" w:type="dxa"/>
              <w:start w:w="120" w:type="dxa"/>
              <w:bottom w:w="80" w:type="dxa"/>
              <w:end w:w="120" w:type="dxa"/>
            </w:tcMar>
            <w:vAlign w:val="center"/>
          </w:tcPr>
          <w:p>
            <w:pPr>
              <w:spacing w:after="0" w:line="252" w:lineRule="auto"/>
            </w:pPr>
            <w:r>
              <w:rPr>
                <w:rFonts w:ascii="Calibri" w:hAnsi="Calibri" w:eastAsia="Microsoft YaHei"/>
                <w:b w:val="0"/>
                <w:i w:val="0"/>
                <w:color w:val="202A35"/>
                <w:sz w:val="16"/>
              </w:rPr>
              <w:t>条件复核与固定 DAG 不一致</w:t>
            </w:r>
          </w:p>
        </w:tc>
        <w:tc>
          <w:tcPr>
            <w:tcW w:type="dxa" w:w="2900"/>
            <w:tcMar>
              <w:top w:w="80" w:type="dxa"/>
              <w:start w:w="120" w:type="dxa"/>
              <w:bottom w:w="80" w:type="dxa"/>
              <w:end w:w="120" w:type="dxa"/>
            </w:tcMar>
            <w:vAlign w:val="center"/>
          </w:tcPr>
          <w:p>
            <w:pPr>
              <w:spacing w:after="0" w:line="252" w:lineRule="auto"/>
            </w:pPr>
            <w:r>
              <w:rPr>
                <w:rFonts w:ascii="Calibri" w:hAnsi="Calibri" w:eastAsia="Microsoft YaHei"/>
                <w:b w:val="0"/>
                <w:i w:val="0"/>
                <w:color w:val="202A35"/>
                <w:sz w:val="16"/>
              </w:rPr>
              <w:t>可选任务可能被错误地提前执行</w:t>
            </w:r>
          </w:p>
        </w:tc>
        <w:tc>
          <w:tcPr>
            <w:tcW w:type="dxa" w:w="4260"/>
            <w:tcMar>
              <w:top w:w="80" w:type="dxa"/>
              <w:start w:w="120" w:type="dxa"/>
              <w:bottom w:w="80" w:type="dxa"/>
              <w:end w:w="120" w:type="dxa"/>
            </w:tcMar>
            <w:vAlign w:val="center"/>
          </w:tcPr>
          <w:p>
            <w:pPr>
              <w:spacing w:after="0" w:line="252" w:lineRule="auto"/>
            </w:pPr>
            <w:r>
              <w:rPr>
                <w:rFonts w:ascii="Calibri" w:hAnsi="Calibri" w:eastAsia="Microsoft YaHei"/>
                <w:b w:val="0"/>
                <w:i w:val="0"/>
                <w:color w:val="202A35"/>
                <w:sz w:val="16"/>
              </w:rPr>
              <w:t>将复核和云端分析建模为门控子任务，条件成立才进入就绪队列，未触发则跳过</w:t>
            </w:r>
          </w:p>
        </w:tc>
      </w:tr>
      <w:tr>
        <w:trPr>
          <w:cantSplit/>
        </w:trPr>
        <w:tc>
          <w:tcPr>
            <w:tcW w:type="dxa" w:w="2200"/>
            <w:shd w:fill="FAFBFC"/>
            <w:tcMar>
              <w:top w:w="80" w:type="dxa"/>
              <w:start w:w="120" w:type="dxa"/>
              <w:bottom w:w="80" w:type="dxa"/>
              <w:end w:w="120" w:type="dxa"/>
            </w:tcMar>
            <w:vAlign w:val="center"/>
          </w:tcPr>
          <w:p>
            <w:pPr>
              <w:spacing w:after="0" w:line="252" w:lineRule="auto"/>
            </w:pPr>
            <w:r>
              <w:rPr>
                <w:rFonts w:ascii="Calibri" w:hAnsi="Calibri" w:eastAsia="Microsoft YaHei"/>
                <w:b w:val="0"/>
                <w:i w:val="0"/>
                <w:color w:val="202A35"/>
                <w:sz w:val="16"/>
              </w:rPr>
              <w:t>把 List_seq 当成全局最优</w:t>
            </w:r>
          </w:p>
        </w:tc>
        <w:tc>
          <w:tcPr>
            <w:tcW w:type="dxa" w:w="2900"/>
            <w:shd w:fill="FAFBFC"/>
            <w:tcMar>
              <w:top w:w="80" w:type="dxa"/>
              <w:start w:w="120" w:type="dxa"/>
              <w:bottom w:w="80" w:type="dxa"/>
              <w:end w:w="120" w:type="dxa"/>
            </w:tcMar>
            <w:vAlign w:val="center"/>
          </w:tcPr>
          <w:p>
            <w:pPr>
              <w:spacing w:after="0" w:line="252" w:lineRule="auto"/>
            </w:pPr>
            <w:r>
              <w:rPr>
                <w:rFonts w:ascii="Calibri" w:hAnsi="Calibri" w:eastAsia="Microsoft YaHei"/>
                <w:b w:val="0"/>
                <w:i w:val="0"/>
                <w:color w:val="202A35"/>
                <w:sz w:val="16"/>
              </w:rPr>
              <w:t>忽视节点选择和动态资源状态</w:t>
            </w:r>
          </w:p>
        </w:tc>
        <w:tc>
          <w:tcPr>
            <w:tcW w:type="dxa" w:w="4260"/>
            <w:shd w:fill="FAFBFC"/>
            <w:tcMar>
              <w:top w:w="80" w:type="dxa"/>
              <w:start w:w="120" w:type="dxa"/>
              <w:bottom w:w="80" w:type="dxa"/>
              <w:end w:w="120" w:type="dxa"/>
            </w:tcMar>
            <w:vAlign w:val="center"/>
          </w:tcPr>
          <w:p>
            <w:pPr>
              <w:spacing w:after="0" w:line="252" w:lineRule="auto"/>
            </w:pPr>
            <w:r>
              <w:rPr>
                <w:rFonts w:ascii="Calibri" w:hAnsi="Calibri" w:eastAsia="Microsoft YaHei"/>
                <w:b w:val="0"/>
                <w:i w:val="0"/>
                <w:color w:val="202A35"/>
                <w:sz w:val="16"/>
              </w:rPr>
              <w:t>明确 List_seq 只保证依赖合法并提供启发式顺序；节点与资源仍由 PER-DDPG 学习</w:t>
            </w:r>
          </w:p>
        </w:tc>
      </w:tr>
      <w:tr>
        <w:trPr>
          <w:cantSplit/>
        </w:trPr>
        <w:tc>
          <w:tcPr>
            <w:tcW w:type="dxa" w:w="2200"/>
            <w:tcMar>
              <w:top w:w="80" w:type="dxa"/>
              <w:start w:w="120" w:type="dxa"/>
              <w:bottom w:w="80" w:type="dxa"/>
              <w:end w:w="120" w:type="dxa"/>
            </w:tcMar>
            <w:vAlign w:val="center"/>
          </w:tcPr>
          <w:p>
            <w:pPr>
              <w:spacing w:after="0" w:line="252" w:lineRule="auto"/>
            </w:pPr>
            <w:r>
              <w:rPr>
                <w:rFonts w:ascii="Calibri" w:hAnsi="Calibri" w:eastAsia="Microsoft YaHei"/>
                <w:b w:val="0"/>
                <w:i w:val="0"/>
                <w:color w:val="202A35"/>
                <w:sz w:val="16"/>
              </w:rPr>
              <w:t>认为第一轮即可完成学习</w:t>
            </w:r>
          </w:p>
        </w:tc>
        <w:tc>
          <w:tcPr>
            <w:tcW w:type="dxa" w:w="2900"/>
            <w:tcMar>
              <w:top w:w="80" w:type="dxa"/>
              <w:start w:w="120" w:type="dxa"/>
              <w:bottom w:w="80" w:type="dxa"/>
              <w:end w:w="120" w:type="dxa"/>
            </w:tcMar>
            <w:vAlign w:val="center"/>
          </w:tcPr>
          <w:p>
            <w:pPr>
              <w:spacing w:after="0" w:line="252" w:lineRule="auto"/>
            </w:pPr>
            <w:r>
              <w:rPr>
                <w:rFonts w:ascii="Calibri" w:hAnsi="Calibri" w:eastAsia="Microsoft YaHei"/>
                <w:b w:val="0"/>
                <w:i w:val="0"/>
                <w:color w:val="202A35"/>
                <w:sz w:val="16"/>
              </w:rPr>
              <w:t>把一次策略输出误认为最优策略</w:t>
            </w:r>
          </w:p>
        </w:tc>
        <w:tc>
          <w:tcPr>
            <w:tcW w:type="dxa" w:w="4260"/>
            <w:tcMar>
              <w:top w:w="80" w:type="dxa"/>
              <w:start w:w="120" w:type="dxa"/>
              <w:bottom w:w="80" w:type="dxa"/>
              <w:end w:w="120" w:type="dxa"/>
            </w:tcMar>
            <w:vAlign w:val="center"/>
          </w:tcPr>
          <w:p>
            <w:pPr>
              <w:spacing w:after="0" w:line="252" w:lineRule="auto"/>
            </w:pPr>
            <w:r>
              <w:rPr>
                <w:rFonts w:ascii="Calibri" w:hAnsi="Calibri" w:eastAsia="Microsoft YaHei"/>
                <w:b w:val="0"/>
                <w:i w:val="0"/>
                <w:color w:val="202A35"/>
                <w:sz w:val="16"/>
              </w:rPr>
              <w:t>保留探索、经验回放、Critic 估值和多回合训练，并使用独立评估回合验证</w:t>
            </w:r>
          </w:p>
        </w:tc>
      </w:tr>
      <w:tr>
        <w:trPr>
          <w:cantSplit/>
        </w:trPr>
        <w:tc>
          <w:tcPr>
            <w:tcW w:type="dxa" w:w="2200"/>
            <w:shd w:fill="FAFBFC"/>
            <w:tcMar>
              <w:top w:w="80" w:type="dxa"/>
              <w:start w:w="120" w:type="dxa"/>
              <w:bottom w:w="80" w:type="dxa"/>
              <w:end w:w="120" w:type="dxa"/>
            </w:tcMar>
            <w:vAlign w:val="center"/>
          </w:tcPr>
          <w:p>
            <w:pPr>
              <w:spacing w:after="0" w:line="252" w:lineRule="auto"/>
            </w:pPr>
            <w:r>
              <w:rPr>
                <w:rFonts w:ascii="Calibri" w:hAnsi="Calibri" w:eastAsia="Microsoft YaHei"/>
                <w:b w:val="0"/>
                <w:i w:val="0"/>
                <w:color w:val="202A35"/>
                <w:sz w:val="16"/>
              </w:rPr>
              <w:t>只看请求资源比例</w:t>
            </w:r>
          </w:p>
        </w:tc>
        <w:tc>
          <w:tcPr>
            <w:tcW w:type="dxa" w:w="2900"/>
            <w:shd w:fill="FAFBFC"/>
            <w:tcMar>
              <w:top w:w="80" w:type="dxa"/>
              <w:start w:w="120" w:type="dxa"/>
              <w:bottom w:w="80" w:type="dxa"/>
              <w:end w:w="120" w:type="dxa"/>
            </w:tcMar>
            <w:vAlign w:val="center"/>
          </w:tcPr>
          <w:p>
            <w:pPr>
              <w:spacing w:after="0" w:line="252" w:lineRule="auto"/>
            </w:pPr>
            <w:r>
              <w:rPr>
                <w:rFonts w:ascii="Calibri" w:hAnsi="Calibri" w:eastAsia="Microsoft YaHei"/>
                <w:b w:val="0"/>
                <w:i w:val="0"/>
                <w:color w:val="202A35"/>
                <w:sz w:val="16"/>
              </w:rPr>
              <w:t>实际 CPU 可能因最小资源和并发约束被修正</w:t>
            </w:r>
          </w:p>
        </w:tc>
        <w:tc>
          <w:tcPr>
            <w:tcW w:type="dxa" w:w="4260"/>
            <w:shd w:fill="FAFBFC"/>
            <w:tcMar>
              <w:top w:w="80" w:type="dxa"/>
              <w:start w:w="120" w:type="dxa"/>
              <w:bottom w:w="80" w:type="dxa"/>
              <w:end w:w="120" w:type="dxa"/>
            </w:tcMar>
            <w:vAlign w:val="center"/>
          </w:tcPr>
          <w:p>
            <w:pPr>
              <w:spacing w:after="0" w:line="252" w:lineRule="auto"/>
            </w:pPr>
            <w:r>
              <w:rPr>
                <w:rFonts w:ascii="Calibri" w:hAnsi="Calibri" w:eastAsia="Microsoft YaHei"/>
                <w:b w:val="0"/>
                <w:i w:val="0"/>
                <w:color w:val="202A35"/>
                <w:sz w:val="16"/>
              </w:rPr>
              <w:t>同时记录请求比例、请求 CPU、实际 CPU 和实际比例，并用实际值计算时延</w:t>
            </w:r>
          </w:p>
        </w:tc>
      </w:tr>
      <w:tr>
        <w:trPr>
          <w:cantSplit/>
        </w:trPr>
        <w:tc>
          <w:tcPr>
            <w:tcW w:type="dxa" w:w="2200"/>
            <w:tcMar>
              <w:top w:w="80" w:type="dxa"/>
              <w:start w:w="120" w:type="dxa"/>
              <w:bottom w:w="80" w:type="dxa"/>
              <w:end w:w="120" w:type="dxa"/>
            </w:tcMar>
            <w:vAlign w:val="center"/>
          </w:tcPr>
          <w:p>
            <w:pPr>
              <w:spacing w:after="0" w:line="252" w:lineRule="auto"/>
            </w:pPr>
            <w:r>
              <w:rPr>
                <w:rFonts w:ascii="Calibri" w:hAnsi="Calibri" w:eastAsia="Microsoft YaHei"/>
                <w:b w:val="0"/>
                <w:i w:val="0"/>
                <w:color w:val="202A35"/>
                <w:sz w:val="16"/>
              </w:rPr>
              <w:t>奖励只优化时间</w:t>
            </w:r>
          </w:p>
        </w:tc>
        <w:tc>
          <w:tcPr>
            <w:tcW w:type="dxa" w:w="2900"/>
            <w:tcMar>
              <w:top w:w="80" w:type="dxa"/>
              <w:start w:w="120" w:type="dxa"/>
              <w:bottom w:w="80" w:type="dxa"/>
              <w:end w:w="120" w:type="dxa"/>
            </w:tcMar>
            <w:vAlign w:val="center"/>
          </w:tcPr>
          <w:p>
            <w:pPr>
              <w:spacing w:after="0" w:line="252" w:lineRule="auto"/>
            </w:pPr>
            <w:r>
              <w:rPr>
                <w:rFonts w:ascii="Calibri" w:hAnsi="Calibri" w:eastAsia="Microsoft YaHei"/>
                <w:b w:val="0"/>
                <w:i w:val="0"/>
                <w:color w:val="202A35"/>
                <w:sz w:val="16"/>
              </w:rPr>
              <w:t>可能误解为算法同时自动保证诊断准确率</w:t>
            </w:r>
          </w:p>
        </w:tc>
        <w:tc>
          <w:tcPr>
            <w:tcW w:type="dxa" w:w="4260"/>
            <w:tcMar>
              <w:top w:w="80" w:type="dxa"/>
              <w:start w:w="120" w:type="dxa"/>
              <w:bottom w:w="80" w:type="dxa"/>
              <w:end w:w="120" w:type="dxa"/>
            </w:tcMar>
            <w:vAlign w:val="center"/>
          </w:tcPr>
          <w:p>
            <w:pPr>
              <w:spacing w:after="0" w:line="252" w:lineRule="auto"/>
            </w:pPr>
            <w:r>
              <w:rPr>
                <w:rFonts w:ascii="Calibri" w:hAnsi="Calibri" w:eastAsia="Microsoft YaHei"/>
                <w:b w:val="0"/>
                <w:i w:val="0"/>
                <w:color w:val="202A35"/>
                <w:sz w:val="16"/>
              </w:rPr>
              <w:t>准确性通过模型准入、数据完整性、复核门控和独立验收指标保障，不虚构额外论文奖励</w:t>
            </w:r>
          </w:p>
        </w:tc>
      </w:tr>
      <w:tr>
        <w:trPr>
          <w:cantSplit/>
        </w:trPr>
        <w:tc>
          <w:tcPr>
            <w:tcW w:type="dxa" w:w="2200"/>
            <w:shd w:fill="FAFBFC"/>
            <w:tcMar>
              <w:top w:w="80" w:type="dxa"/>
              <w:start w:w="120" w:type="dxa"/>
              <w:bottom w:w="80" w:type="dxa"/>
              <w:end w:w="120" w:type="dxa"/>
            </w:tcMar>
            <w:vAlign w:val="center"/>
          </w:tcPr>
          <w:p>
            <w:pPr>
              <w:spacing w:after="0" w:line="252" w:lineRule="auto"/>
            </w:pPr>
            <w:r>
              <w:rPr>
                <w:rFonts w:ascii="Calibri" w:hAnsi="Calibri" w:eastAsia="Microsoft YaHei"/>
                <w:b w:val="0"/>
                <w:i w:val="0"/>
                <w:color w:val="202A35"/>
                <w:sz w:val="16"/>
              </w:rPr>
              <w:t>缺少可复现评价</w:t>
            </w:r>
          </w:p>
        </w:tc>
        <w:tc>
          <w:tcPr>
            <w:tcW w:type="dxa" w:w="2900"/>
            <w:shd w:fill="FAFBFC"/>
            <w:tcMar>
              <w:top w:w="80" w:type="dxa"/>
              <w:start w:w="120" w:type="dxa"/>
              <w:bottom w:w="80" w:type="dxa"/>
              <w:end w:w="120" w:type="dxa"/>
            </w:tcMar>
            <w:vAlign w:val="center"/>
          </w:tcPr>
          <w:p>
            <w:pPr>
              <w:spacing w:after="0" w:line="252" w:lineRule="auto"/>
            </w:pPr>
            <w:r>
              <w:rPr>
                <w:rFonts w:ascii="Calibri" w:hAnsi="Calibri" w:eastAsia="Microsoft YaHei"/>
                <w:b w:val="0"/>
                <w:i w:val="0"/>
                <w:color w:val="202A35"/>
                <w:sz w:val="16"/>
              </w:rPr>
              <w:t>单次曲线或单随机种子结论不稳定</w:t>
            </w:r>
          </w:p>
        </w:tc>
        <w:tc>
          <w:tcPr>
            <w:tcW w:type="dxa" w:w="4260"/>
            <w:shd w:fill="FAFBFC"/>
            <w:tcMar>
              <w:top w:w="80" w:type="dxa"/>
              <w:start w:w="120" w:type="dxa"/>
              <w:bottom w:w="80" w:type="dxa"/>
              <w:end w:w="120" w:type="dxa"/>
            </w:tcMar>
            <w:vAlign w:val="center"/>
          </w:tcPr>
          <w:p>
            <w:pPr>
              <w:spacing w:after="0" w:line="252" w:lineRule="auto"/>
            </w:pPr>
            <w:r>
              <w:rPr>
                <w:rFonts w:ascii="Calibri" w:hAnsi="Calibri" w:eastAsia="Microsoft YaHei"/>
                <w:b w:val="0"/>
                <w:i w:val="0"/>
                <w:color w:val="202A35"/>
                <w:sz w:val="16"/>
              </w:rPr>
              <w:t>至少使用多个训练种子，对 FLE、RO、DQN、DDPG、PER-DDPG 进行相同场景比较，并报告均值和标准差</w:t>
            </w:r>
          </w:p>
        </w:tc>
      </w:tr>
    </w:tbl>
    <w:p>
      <w:pPr>
        <w:spacing w:after="0"/>
      </w:pPr>
    </w:p>
    <w:p>
      <w:pPr>
        <w:pStyle w:val="Heading1"/>
      </w:pPr>
      <w:r>
        <w:t>10. 实施与验证指标</w:t>
      </w:r>
    </w:p>
    <w:p>
      <w:pPr>
        <w:keepLines w:val="0"/>
      </w:pPr>
      <w:r>
        <w:rPr>
          <w:rFonts w:ascii="Calibri" w:hAnsi="Calibri" w:eastAsia="Microsoft YaHei"/>
          <w:b w:val="0"/>
          <w:i w:val="0"/>
          <w:color w:val="202A35"/>
          <w:sz w:val="22"/>
        </w:rPr>
        <w:t>验证分为通信链路、调度正确性、算法训练和工业诊断四层。工业诊断指标用于证明系统可用，但不与论文奖励函数混为一谈。</w:t>
      </w:r>
    </w:p>
    <w:tbl>
      <w:tblPr>
        <w:tblStyle w:val="TableGrid"/>
        <w:tblW w:type="dxa" w:w="9360"/>
        <w:tblLayout w:type="fixed"/>
        <w:tblLook w:firstColumn="1" w:firstRow="1" w:lastColumn="0" w:lastRow="0" w:noHBand="0" w:noVBand="1" w:val="04A0"/>
        <w:jc w:val="left"/>
        <w:tblInd w:w="120" w:type="dxa"/>
      </w:tblPr>
      <w:tblGrid>
        <w:gridCol w:w="1700"/>
        <w:gridCol w:w="3300"/>
        <w:gridCol w:w="4360"/>
      </w:tblGrid>
      <w:tr>
        <w:trPr>
          <w:cantSplit/>
          <w:tblHeader w:val="true"/>
          <w:cantSplit/>
        </w:trPr>
        <w:tc>
          <w:tcPr>
            <w:tcW w:type="dxa" w:w="1700"/>
            <w:tcMar>
              <w:top w:w="80" w:type="dxa"/>
              <w:start w:w="120" w:type="dxa"/>
              <w:bottom w:w="80" w:type="dxa"/>
              <w:end w:w="120" w:type="dxa"/>
            </w:tcMar>
            <w:vAlign w:val="center"/>
            <w:shd w:fill="F2F4F7"/>
          </w:tcPr>
          <w:p>
            <w:pPr>
              <w:spacing w:after="0"/>
            </w:pPr>
            <w:r>
              <w:rPr>
                <w:rFonts w:ascii="Calibri" w:hAnsi="Calibri" w:eastAsia="Microsoft YaHei"/>
                <w:b/>
                <w:i w:val="0"/>
                <w:color w:val="1F4D78"/>
                <w:sz w:val="17"/>
              </w:rPr>
              <w:t>验证层</w:t>
            </w:r>
          </w:p>
        </w:tc>
        <w:tc>
          <w:tcPr>
            <w:tcW w:type="dxa" w:w="3300"/>
            <w:tcMar>
              <w:top w:w="80" w:type="dxa"/>
              <w:start w:w="120" w:type="dxa"/>
              <w:bottom w:w="80" w:type="dxa"/>
              <w:end w:w="120" w:type="dxa"/>
            </w:tcMar>
            <w:vAlign w:val="center"/>
            <w:shd w:fill="F2F4F7"/>
          </w:tcPr>
          <w:p>
            <w:pPr>
              <w:spacing w:after="0"/>
            </w:pPr>
            <w:r>
              <w:rPr>
                <w:rFonts w:ascii="Calibri" w:hAnsi="Calibri" w:eastAsia="Microsoft YaHei"/>
                <w:b/>
                <w:i w:val="0"/>
                <w:color w:val="1F4D78"/>
                <w:sz w:val="17"/>
              </w:rPr>
              <w:t>核心指标</w:t>
            </w:r>
          </w:p>
        </w:tc>
        <w:tc>
          <w:tcPr>
            <w:tcW w:type="dxa" w:w="4360"/>
            <w:tcMar>
              <w:top w:w="80" w:type="dxa"/>
              <w:start w:w="120" w:type="dxa"/>
              <w:bottom w:w="80" w:type="dxa"/>
              <w:end w:w="120" w:type="dxa"/>
            </w:tcMar>
            <w:vAlign w:val="center"/>
            <w:shd w:fill="F2F4F7"/>
          </w:tcPr>
          <w:p>
            <w:pPr>
              <w:spacing w:after="0"/>
            </w:pPr>
            <w:r>
              <w:rPr>
                <w:rFonts w:ascii="Calibri" w:hAnsi="Calibri" w:eastAsia="Microsoft YaHei"/>
                <w:b/>
                <w:i w:val="0"/>
                <w:color w:val="1F4D78"/>
                <w:sz w:val="17"/>
              </w:rPr>
              <w:t>通过标准或观察方式</w:t>
            </w:r>
          </w:p>
        </w:tc>
      </w:tr>
      <w:tr>
        <w:trPr>
          <w:cantSplit/>
        </w:trPr>
        <w:tc>
          <w:tcPr>
            <w:tcW w:type="dxa" w:w="1700"/>
            <w:tcMar>
              <w:top w:w="80" w:type="dxa"/>
              <w:start w:w="120" w:type="dxa"/>
              <w:bottom w:w="80" w:type="dxa"/>
              <w:end w:w="120" w:type="dxa"/>
            </w:tcMar>
            <w:vAlign w:val="center"/>
          </w:tcPr>
          <w:p>
            <w:pPr>
              <w:spacing w:after="0" w:line="252" w:lineRule="auto"/>
            </w:pPr>
            <w:r>
              <w:rPr>
                <w:rFonts w:ascii="Calibri" w:hAnsi="Calibri" w:eastAsia="Microsoft YaHei"/>
                <w:b w:val="0"/>
                <w:i w:val="0"/>
                <w:color w:val="202A35"/>
                <w:sz w:val="17"/>
              </w:rPr>
              <w:t>采集与通信</w:t>
            </w:r>
          </w:p>
        </w:tc>
        <w:tc>
          <w:tcPr>
            <w:tcW w:type="dxa" w:w="3300"/>
            <w:tcMar>
              <w:top w:w="80" w:type="dxa"/>
              <w:start w:w="120" w:type="dxa"/>
              <w:bottom w:w="80" w:type="dxa"/>
              <w:end w:w="120" w:type="dxa"/>
            </w:tcMar>
            <w:vAlign w:val="center"/>
          </w:tcPr>
          <w:p>
            <w:pPr>
              <w:spacing w:after="0" w:line="252" w:lineRule="auto"/>
            </w:pPr>
            <w:r>
              <w:rPr>
                <w:rFonts w:ascii="Calibri" w:hAnsi="Calibri" w:eastAsia="Microsoft YaHei"/>
                <w:b w:val="0"/>
                <w:i w:val="0"/>
                <w:color w:val="202A35"/>
                <w:sz w:val="17"/>
              </w:rPr>
              <w:t>采样点数、批次周期、丢包/重复/乱序率、重连时间</w:t>
            </w:r>
          </w:p>
        </w:tc>
        <w:tc>
          <w:tcPr>
            <w:tcW w:type="dxa" w:w="4360"/>
            <w:tcMar>
              <w:top w:w="80" w:type="dxa"/>
              <w:start w:w="120" w:type="dxa"/>
              <w:bottom w:w="80" w:type="dxa"/>
              <w:end w:w="120" w:type="dxa"/>
            </w:tcMar>
            <w:vAlign w:val="center"/>
          </w:tcPr>
          <w:p>
            <w:pPr>
              <w:spacing w:after="0" w:line="252" w:lineRule="auto"/>
            </w:pPr>
            <w:r>
              <w:rPr>
                <w:rFonts w:ascii="Calibri" w:hAnsi="Calibri" w:eastAsia="Microsoft YaHei"/>
                <w:b w:val="0"/>
                <w:i w:val="0"/>
                <w:color w:val="202A35"/>
                <w:sz w:val="17"/>
              </w:rPr>
              <w:t>确认 4 ms/64 点、50 ms/800 点、200 ms/3200 点一致；异常可追溯</w:t>
            </w:r>
          </w:p>
        </w:tc>
      </w:tr>
      <w:tr>
        <w:trPr>
          <w:cantSplit/>
        </w:trPr>
        <w:tc>
          <w:tcPr>
            <w:tcW w:type="dxa" w:w="1700"/>
            <w:shd w:fill="FAFBFC"/>
            <w:tcMar>
              <w:top w:w="80" w:type="dxa"/>
              <w:start w:w="120" w:type="dxa"/>
              <w:bottom w:w="80" w:type="dxa"/>
              <w:end w:w="120" w:type="dxa"/>
            </w:tcMar>
            <w:vAlign w:val="center"/>
          </w:tcPr>
          <w:p>
            <w:pPr>
              <w:spacing w:after="0" w:line="252" w:lineRule="auto"/>
            </w:pPr>
            <w:r>
              <w:rPr>
                <w:rFonts w:ascii="Calibri" w:hAnsi="Calibri" w:eastAsia="Microsoft YaHei"/>
                <w:b w:val="0"/>
                <w:i w:val="0"/>
                <w:color w:val="202A35"/>
                <w:sz w:val="17"/>
              </w:rPr>
              <w:t>DAG 与排序</w:t>
            </w:r>
          </w:p>
        </w:tc>
        <w:tc>
          <w:tcPr>
            <w:tcW w:type="dxa" w:w="3300"/>
            <w:shd w:fill="FAFBFC"/>
            <w:tcMar>
              <w:top w:w="80" w:type="dxa"/>
              <w:start w:w="120" w:type="dxa"/>
              <w:bottom w:w="80" w:type="dxa"/>
              <w:end w:w="120" w:type="dxa"/>
            </w:tcMar>
            <w:vAlign w:val="center"/>
          </w:tcPr>
          <w:p>
            <w:pPr>
              <w:spacing w:after="0" w:line="252" w:lineRule="auto"/>
            </w:pPr>
            <w:r>
              <w:rPr>
                <w:rFonts w:ascii="Calibri" w:hAnsi="Calibri" w:eastAsia="Microsoft YaHei"/>
                <w:b w:val="0"/>
                <w:i w:val="0"/>
                <w:color w:val="202A35"/>
                <w:sz w:val="17"/>
              </w:rPr>
              <w:t>前驱合法性、入口/出口、List_seq 拓扑顺序、门控任务状态</w:t>
            </w:r>
          </w:p>
        </w:tc>
        <w:tc>
          <w:tcPr>
            <w:tcW w:type="dxa" w:w="4360"/>
            <w:shd w:fill="FAFBFC"/>
            <w:tcMar>
              <w:top w:w="80" w:type="dxa"/>
              <w:start w:w="120" w:type="dxa"/>
              <w:bottom w:w="80" w:type="dxa"/>
              <w:end w:w="120" w:type="dxa"/>
            </w:tcMar>
            <w:vAlign w:val="center"/>
          </w:tcPr>
          <w:p>
            <w:pPr>
              <w:spacing w:after="0" w:line="252" w:lineRule="auto"/>
            </w:pPr>
            <w:r>
              <w:rPr>
                <w:rFonts w:ascii="Calibri" w:hAnsi="Calibri" w:eastAsia="Microsoft YaHei"/>
                <w:b w:val="0"/>
                <w:i w:val="0"/>
                <w:color w:val="202A35"/>
                <w:sz w:val="17"/>
              </w:rPr>
              <w:t>任一后继不得早于前驱；未触发分支不占用资源</w:t>
            </w:r>
          </w:p>
        </w:tc>
      </w:tr>
      <w:tr>
        <w:trPr>
          <w:cantSplit/>
        </w:trPr>
        <w:tc>
          <w:tcPr>
            <w:tcW w:type="dxa" w:w="1700"/>
            <w:tcMar>
              <w:top w:w="80" w:type="dxa"/>
              <w:start w:w="120" w:type="dxa"/>
              <w:bottom w:w="80" w:type="dxa"/>
              <w:end w:w="120" w:type="dxa"/>
            </w:tcMar>
            <w:vAlign w:val="center"/>
          </w:tcPr>
          <w:p>
            <w:pPr>
              <w:spacing w:after="0" w:line="252" w:lineRule="auto"/>
            </w:pPr>
            <w:r>
              <w:rPr>
                <w:rFonts w:ascii="Calibri" w:hAnsi="Calibri" w:eastAsia="Microsoft YaHei"/>
                <w:b w:val="0"/>
                <w:i w:val="0"/>
                <w:color w:val="202A35"/>
                <w:sz w:val="17"/>
              </w:rPr>
              <w:t>资源调度</w:t>
            </w:r>
          </w:p>
        </w:tc>
        <w:tc>
          <w:tcPr>
            <w:tcW w:type="dxa" w:w="3300"/>
            <w:tcMar>
              <w:top w:w="80" w:type="dxa"/>
              <w:start w:w="120" w:type="dxa"/>
              <w:bottom w:w="80" w:type="dxa"/>
              <w:end w:w="120" w:type="dxa"/>
            </w:tcMar>
            <w:vAlign w:val="center"/>
          </w:tcPr>
          <w:p>
            <w:pPr>
              <w:spacing w:after="0" w:line="252" w:lineRule="auto"/>
            </w:pPr>
            <w:r>
              <w:rPr>
                <w:rFonts w:ascii="Calibri" w:hAnsi="Calibri" w:eastAsia="Microsoft YaHei"/>
                <w:b w:val="0"/>
                <w:i w:val="0"/>
                <w:color w:val="202A35"/>
                <w:sz w:val="17"/>
              </w:rPr>
              <w:t>传输/等待/执行时延、makespan、节点利用率、请求与实际 CPU</w:t>
            </w:r>
          </w:p>
        </w:tc>
        <w:tc>
          <w:tcPr>
            <w:tcW w:type="dxa" w:w="4360"/>
            <w:tcMar>
              <w:top w:w="80" w:type="dxa"/>
              <w:start w:w="120" w:type="dxa"/>
              <w:bottom w:w="80" w:type="dxa"/>
              <w:end w:w="120" w:type="dxa"/>
            </w:tcMar>
            <w:vAlign w:val="center"/>
          </w:tcPr>
          <w:p>
            <w:pPr>
              <w:spacing w:after="0" w:line="252" w:lineRule="auto"/>
            </w:pPr>
            <w:r>
              <w:rPr>
                <w:rFonts w:ascii="Calibri" w:hAnsi="Calibri" w:eastAsia="Microsoft YaHei"/>
                <w:b w:val="0"/>
                <w:i w:val="0"/>
                <w:color w:val="202A35"/>
                <w:sz w:val="17"/>
              </w:rPr>
              <w:t>无超配；最小 CPU 满足；日志可复核</w:t>
            </w:r>
          </w:p>
        </w:tc>
      </w:tr>
      <w:tr>
        <w:trPr>
          <w:cantSplit/>
        </w:trPr>
        <w:tc>
          <w:tcPr>
            <w:tcW w:type="dxa" w:w="1700"/>
            <w:shd w:fill="FAFBFC"/>
            <w:tcMar>
              <w:top w:w="80" w:type="dxa"/>
              <w:start w:w="120" w:type="dxa"/>
              <w:bottom w:w="80" w:type="dxa"/>
              <w:end w:w="120" w:type="dxa"/>
            </w:tcMar>
            <w:vAlign w:val="center"/>
          </w:tcPr>
          <w:p>
            <w:pPr>
              <w:spacing w:after="0" w:line="252" w:lineRule="auto"/>
            </w:pPr>
            <w:r>
              <w:rPr>
                <w:rFonts w:ascii="Calibri" w:hAnsi="Calibri" w:eastAsia="Microsoft YaHei"/>
                <w:b w:val="0"/>
                <w:i w:val="0"/>
                <w:color w:val="202A35"/>
                <w:sz w:val="17"/>
              </w:rPr>
              <w:t>强化学习</w:t>
            </w:r>
          </w:p>
        </w:tc>
        <w:tc>
          <w:tcPr>
            <w:tcW w:type="dxa" w:w="3300"/>
            <w:shd w:fill="FAFBFC"/>
            <w:tcMar>
              <w:top w:w="80" w:type="dxa"/>
              <w:start w:w="120" w:type="dxa"/>
              <w:bottom w:w="80" w:type="dxa"/>
              <w:end w:w="120" w:type="dxa"/>
            </w:tcMar>
            <w:vAlign w:val="center"/>
          </w:tcPr>
          <w:p>
            <w:pPr>
              <w:spacing w:after="0" w:line="252" w:lineRule="auto"/>
            </w:pPr>
            <w:r>
              <w:rPr>
                <w:rFonts w:ascii="Calibri" w:hAnsi="Calibri" w:eastAsia="Microsoft YaHei"/>
                <w:b w:val="0"/>
                <w:i w:val="0"/>
                <w:color w:val="202A35"/>
                <w:sz w:val="17"/>
              </w:rPr>
              <w:t>回合奖励、评估 makespan、收敛波动、多种子均值和标准差</w:t>
            </w:r>
          </w:p>
        </w:tc>
        <w:tc>
          <w:tcPr>
            <w:tcW w:type="dxa" w:w="4360"/>
            <w:shd w:fill="FAFBFC"/>
            <w:tcMar>
              <w:top w:w="80" w:type="dxa"/>
              <w:start w:w="120" w:type="dxa"/>
              <w:bottom w:w="80" w:type="dxa"/>
              <w:end w:w="120" w:type="dxa"/>
            </w:tcMar>
            <w:vAlign w:val="center"/>
          </w:tcPr>
          <w:p>
            <w:pPr>
              <w:spacing w:after="0" w:line="252" w:lineRule="auto"/>
            </w:pPr>
            <w:r>
              <w:rPr>
                <w:rFonts w:ascii="Calibri" w:hAnsi="Calibri" w:eastAsia="Microsoft YaHei"/>
                <w:b w:val="0"/>
                <w:i w:val="0"/>
                <w:color w:val="202A35"/>
                <w:sz w:val="17"/>
              </w:rPr>
              <w:t>训练与评估分离；smoke 只验证链路，不冒充性能结论</w:t>
            </w:r>
          </w:p>
        </w:tc>
      </w:tr>
      <w:tr>
        <w:trPr>
          <w:cantSplit/>
        </w:trPr>
        <w:tc>
          <w:tcPr>
            <w:tcW w:type="dxa" w:w="1700"/>
            <w:tcMar>
              <w:top w:w="80" w:type="dxa"/>
              <w:start w:w="120" w:type="dxa"/>
              <w:bottom w:w="80" w:type="dxa"/>
              <w:end w:w="120" w:type="dxa"/>
            </w:tcMar>
            <w:vAlign w:val="center"/>
          </w:tcPr>
          <w:p>
            <w:pPr>
              <w:spacing w:after="0" w:line="252" w:lineRule="auto"/>
            </w:pPr>
            <w:r>
              <w:rPr>
                <w:rFonts w:ascii="Calibri" w:hAnsi="Calibri" w:eastAsia="Microsoft YaHei"/>
                <w:b w:val="0"/>
                <w:i w:val="0"/>
                <w:color w:val="202A35"/>
                <w:sz w:val="17"/>
              </w:rPr>
              <w:t>复核机制</w:t>
            </w:r>
          </w:p>
        </w:tc>
        <w:tc>
          <w:tcPr>
            <w:tcW w:type="dxa" w:w="3300"/>
            <w:tcMar>
              <w:top w:w="80" w:type="dxa"/>
              <w:start w:w="120" w:type="dxa"/>
              <w:bottom w:w="80" w:type="dxa"/>
              <w:end w:w="120" w:type="dxa"/>
            </w:tcMar>
            <w:vAlign w:val="center"/>
          </w:tcPr>
          <w:p>
            <w:pPr>
              <w:spacing w:after="0" w:line="252" w:lineRule="auto"/>
            </w:pPr>
            <w:r>
              <w:rPr>
                <w:rFonts w:ascii="Calibri" w:hAnsi="Calibri" w:eastAsia="Microsoft YaHei"/>
                <w:b w:val="0"/>
                <w:i w:val="0"/>
                <w:color w:val="202A35"/>
                <w:sz w:val="17"/>
              </w:rPr>
              <w:t>复核触发率、结果一致率、冲突上云率、云端上传比例</w:t>
            </w:r>
          </w:p>
        </w:tc>
        <w:tc>
          <w:tcPr>
            <w:tcW w:type="dxa" w:w="4360"/>
            <w:tcMar>
              <w:top w:w="80" w:type="dxa"/>
              <w:start w:w="120" w:type="dxa"/>
              <w:bottom w:w="80" w:type="dxa"/>
              <w:end w:w="120" w:type="dxa"/>
            </w:tcMar>
            <w:vAlign w:val="center"/>
          </w:tcPr>
          <w:p>
            <w:pPr>
              <w:spacing w:after="0" w:line="252" w:lineRule="auto"/>
            </w:pPr>
            <w:r>
              <w:rPr>
                <w:rFonts w:ascii="Calibri" w:hAnsi="Calibri" w:eastAsia="Microsoft YaHei"/>
                <w:b w:val="0"/>
                <w:i w:val="0"/>
                <w:color w:val="202A35"/>
                <w:sz w:val="17"/>
              </w:rPr>
              <w:t>常规任务不重复计算；高风险样本可升级</w:t>
            </w:r>
          </w:p>
        </w:tc>
      </w:tr>
      <w:tr>
        <w:trPr>
          <w:cantSplit/>
        </w:trPr>
        <w:tc>
          <w:tcPr>
            <w:tcW w:type="dxa" w:w="1700"/>
            <w:shd w:fill="FAFBFC"/>
            <w:tcMar>
              <w:top w:w="80" w:type="dxa"/>
              <w:start w:w="120" w:type="dxa"/>
              <w:bottom w:w="80" w:type="dxa"/>
              <w:end w:w="120" w:type="dxa"/>
            </w:tcMar>
            <w:vAlign w:val="center"/>
          </w:tcPr>
          <w:p>
            <w:pPr>
              <w:spacing w:after="0" w:line="252" w:lineRule="auto"/>
            </w:pPr>
            <w:r>
              <w:rPr>
                <w:rFonts w:ascii="Calibri" w:hAnsi="Calibri" w:eastAsia="Microsoft YaHei"/>
                <w:b w:val="0"/>
                <w:i w:val="0"/>
                <w:color w:val="202A35"/>
                <w:sz w:val="17"/>
              </w:rPr>
              <w:t>弱网自治</w:t>
            </w:r>
          </w:p>
        </w:tc>
        <w:tc>
          <w:tcPr>
            <w:tcW w:type="dxa" w:w="3300"/>
            <w:shd w:fill="FAFBFC"/>
            <w:tcMar>
              <w:top w:w="80" w:type="dxa"/>
              <w:start w:w="120" w:type="dxa"/>
              <w:bottom w:w="80" w:type="dxa"/>
              <w:end w:w="120" w:type="dxa"/>
            </w:tcMar>
            <w:vAlign w:val="center"/>
          </w:tcPr>
          <w:p>
            <w:pPr>
              <w:spacing w:after="0" w:line="252" w:lineRule="auto"/>
            </w:pPr>
            <w:r>
              <w:rPr>
                <w:rFonts w:ascii="Calibri" w:hAnsi="Calibri" w:eastAsia="Microsoft YaHei"/>
                <w:b w:val="0"/>
                <w:i w:val="0"/>
                <w:color w:val="202A35"/>
                <w:sz w:val="17"/>
              </w:rPr>
              <w:t>断网本地告警成功率、特征摘要时延、补传完整率</w:t>
            </w:r>
          </w:p>
        </w:tc>
        <w:tc>
          <w:tcPr>
            <w:tcW w:type="dxa" w:w="4360"/>
            <w:shd w:fill="FAFBFC"/>
            <w:tcMar>
              <w:top w:w="80" w:type="dxa"/>
              <w:start w:w="120" w:type="dxa"/>
              <w:bottom w:w="80" w:type="dxa"/>
              <w:end w:w="120" w:type="dxa"/>
            </w:tcMar>
            <w:vAlign w:val="center"/>
          </w:tcPr>
          <w:p>
            <w:pPr>
              <w:spacing w:after="0" w:line="252" w:lineRule="auto"/>
            </w:pPr>
            <w:r>
              <w:rPr>
                <w:rFonts w:ascii="Calibri" w:hAnsi="Calibri" w:eastAsia="Microsoft YaHei"/>
                <w:b w:val="0"/>
                <w:i w:val="0"/>
                <w:color w:val="202A35"/>
                <w:sz w:val="17"/>
              </w:rPr>
              <w:t>云端不可达时边缘仍能完成基础安全判断</w:t>
            </w:r>
          </w:p>
        </w:tc>
      </w:tr>
      <w:tr>
        <w:trPr>
          <w:cantSplit/>
        </w:trPr>
        <w:tc>
          <w:tcPr>
            <w:tcW w:type="dxa" w:w="1700"/>
            <w:tcMar>
              <w:top w:w="80" w:type="dxa"/>
              <w:start w:w="120" w:type="dxa"/>
              <w:bottom w:w="80" w:type="dxa"/>
              <w:end w:w="120" w:type="dxa"/>
            </w:tcMar>
            <w:vAlign w:val="center"/>
          </w:tcPr>
          <w:p>
            <w:pPr>
              <w:spacing w:after="0" w:line="252" w:lineRule="auto"/>
            </w:pPr>
            <w:r>
              <w:rPr>
                <w:rFonts w:ascii="Calibri" w:hAnsi="Calibri" w:eastAsia="Microsoft YaHei"/>
                <w:b w:val="0"/>
                <w:i w:val="0"/>
                <w:color w:val="202A35"/>
                <w:sz w:val="17"/>
              </w:rPr>
              <w:t>诊断效果</w:t>
            </w:r>
          </w:p>
        </w:tc>
        <w:tc>
          <w:tcPr>
            <w:tcW w:type="dxa" w:w="3300"/>
            <w:tcMar>
              <w:top w:w="80" w:type="dxa"/>
              <w:start w:w="120" w:type="dxa"/>
              <w:bottom w:w="80" w:type="dxa"/>
              <w:end w:w="120" w:type="dxa"/>
            </w:tcMar>
            <w:vAlign w:val="center"/>
          </w:tcPr>
          <w:p>
            <w:pPr>
              <w:spacing w:after="0" w:line="252" w:lineRule="auto"/>
            </w:pPr>
            <w:r>
              <w:rPr>
                <w:rFonts w:ascii="Calibri" w:hAnsi="Calibri" w:eastAsia="Microsoft YaHei"/>
                <w:b w:val="0"/>
                <w:i w:val="0"/>
                <w:color w:val="202A35"/>
                <w:sz w:val="17"/>
              </w:rPr>
              <w:t>准确率、召回率、漏报率、误报率、置信度校准</w:t>
            </w:r>
          </w:p>
        </w:tc>
        <w:tc>
          <w:tcPr>
            <w:tcW w:type="dxa" w:w="4360"/>
            <w:tcMar>
              <w:top w:w="80" w:type="dxa"/>
              <w:start w:w="120" w:type="dxa"/>
              <w:bottom w:w="80" w:type="dxa"/>
              <w:end w:w="120" w:type="dxa"/>
            </w:tcMar>
            <w:vAlign w:val="center"/>
          </w:tcPr>
          <w:p>
            <w:pPr>
              <w:spacing w:after="0" w:line="252" w:lineRule="auto"/>
            </w:pPr>
            <w:r>
              <w:rPr>
                <w:rFonts w:ascii="Calibri" w:hAnsi="Calibri" w:eastAsia="Microsoft YaHei"/>
                <w:b w:val="0"/>
                <w:i w:val="0"/>
                <w:color w:val="202A35"/>
                <w:sz w:val="17"/>
              </w:rPr>
              <w:t>按轴承故障类别和工况独立评估，不由调度奖励替代</w:t>
            </w:r>
          </w:p>
        </w:tc>
      </w:tr>
    </w:tbl>
    <w:p>
      <w:pPr>
        <w:spacing w:after="0"/>
      </w:pPr>
    </w:p>
    <w:p>
      <w:pPr>
        <w:pStyle w:val="Heading2"/>
      </w:pPr>
      <w:r>
        <w:t>10.1 推荐实施顺序</w:t>
      </w:r>
    </w:p>
    <w:p>
      <w:pPr>
        <w:pStyle w:val="ListNumber"/>
      </w:pPr>
      <w:r>
        <w:rPr>
          <w:rFonts w:ascii="Calibri" w:hAnsi="Calibri" w:eastAsia="Microsoft YaHei"/>
          <w:b w:val="0"/>
          <w:i w:val="0"/>
          <w:color w:val="202A35"/>
          <w:sz w:val="22"/>
        </w:rPr>
        <w:t>先冻结 50 ms 微批量接口和 200 ms 任务窗口，完成序号、时间戳、校验与质量标志。</w:t>
      </w:r>
    </w:p>
    <w:p>
      <w:pPr>
        <w:pStyle w:val="ListNumber"/>
      </w:pPr>
      <w:r>
        <w:rPr>
          <w:rFonts w:ascii="Calibri" w:hAnsi="Calibri" w:eastAsia="Microsoft YaHei"/>
          <w:b w:val="0"/>
          <w:i w:val="0"/>
          <w:color w:val="202A35"/>
          <w:sz w:val="22"/>
        </w:rPr>
        <w:t>搭建 MQTT Broker、调度器、两个异构边缘节点和云端模拟节点，打通主题与回执。</w:t>
      </w:r>
    </w:p>
    <w:p>
      <w:pPr>
        <w:pStyle w:val="ListNumber"/>
      </w:pPr>
      <w:r>
        <w:rPr>
          <w:rFonts w:ascii="Calibri" w:hAnsi="Calibri" w:eastAsia="Microsoft YaHei"/>
          <w:b w:val="0"/>
          <w:i w:val="0"/>
          <w:color w:val="202A35"/>
          <w:sz w:val="22"/>
        </w:rPr>
        <w:t>实现固定 DAG、门控分支和算法 3.1，先用规则动作验证每个任务时间与依赖。</w:t>
      </w:r>
    </w:p>
    <w:p>
      <w:pPr>
        <w:pStyle w:val="ListNumber"/>
      </w:pPr>
      <w:r>
        <w:rPr>
          <w:rFonts w:ascii="Calibri" w:hAnsi="Calibri" w:eastAsia="Microsoft YaHei"/>
          <w:b w:val="0"/>
          <w:i w:val="0"/>
          <w:color w:val="202A35"/>
          <w:sz w:val="22"/>
        </w:rPr>
        <w:t>接入 PER-DDPG，验证动作可行性、资源约束、奖励、经验优先级和探索噪声。</w:t>
      </w:r>
    </w:p>
    <w:p>
      <w:pPr>
        <w:pStyle w:val="ListNumber"/>
      </w:pPr>
      <w:r>
        <w:rPr>
          <w:rFonts w:ascii="Calibri" w:hAnsi="Calibri" w:eastAsia="Microsoft YaHei"/>
          <w:b w:val="0"/>
          <w:i w:val="0"/>
          <w:color w:val="202A35"/>
          <w:sz w:val="22"/>
        </w:rPr>
        <w:t>加入弱网、节点忙、低置信度、复核冲突和严重异常场景，进行多种子训练与独立评估。</w:t>
      </w:r>
    </w:p>
    <w:p>
      <w:pPr>
        <w:pStyle w:val="Heading1"/>
      </w:pPr>
      <w:r>
        <w:t>11. 结论</w:t>
      </w:r>
    </w:p>
    <w:p>
      <w:pPr>
        <w:keepLines w:val="0"/>
      </w:pPr>
      <w:r>
        <w:rPr>
          <w:rFonts w:ascii="Calibri" w:hAnsi="Calibri" w:eastAsia="Microsoft YaHei"/>
          <w:b w:val="0"/>
          <w:i w:val="0"/>
          <w:color w:val="202A35"/>
          <w:sz w:val="22"/>
        </w:rPr>
        <w:t>两份文档可以被统一为一条清晰的工业轴承检测链路：第二份文档提供采集频率、批量周期、缓存窗口和基础接口；第一份文档补充网络影响、MQTT 路由、边缘自治、复核和云端升级机制；PER-DDPG 论文则为具有依赖关系的子任务提供排序、节点选择和连续资源分配方法。</w:t>
      </w:r>
    </w:p>
    <w:p>
      <w:pPr>
        <w:keepLines w:val="0"/>
      </w:pPr>
      <w:r>
        <w:rPr>
          <w:rFonts w:ascii="Calibri" w:hAnsi="Calibri" w:eastAsia="Microsoft YaHei"/>
          <w:b w:val="0"/>
          <w:i w:val="0"/>
          <w:color w:val="202A35"/>
          <w:sz w:val="22"/>
        </w:rPr>
        <w:t>严谨实现时必须保持职责分离：算法 3.1 决定就绪任务顺序，PER-DDPG 决定当前任务的节点和资源，边缘模型负责轴承诊断，业务规则决定是否复核与上云。排序序列不是最优证明，第一轮动作也不是学习完成；算法需要在变化的任务、资源和网络状态中反复交互，利用 PER 和 Critic 反馈逐步改进策略。</w:t>
      </w:r>
    </w:p>
    <w:p>
      <w:pPr>
        <w:keepLines w:val="0"/>
      </w:pPr>
      <w:r>
        <w:rPr>
          <w:rFonts w:ascii="Calibri" w:hAnsi="Calibri" w:eastAsia="Microsoft YaHei"/>
          <w:b w:val="0"/>
          <w:i w:val="0"/>
          <w:color w:val="202A35"/>
          <w:sz w:val="22"/>
        </w:rPr>
        <w:t>去除中间计算层后，方案仍保留论文核心思想，同时更贴合当前工程边界。常规窗口在边缘闭环，疑难和冲突样本按需复核或上云，弱网时保持本地安全能力，最终形成“采集—调度—执行—复核—升级—反馈”的完整工业流程。</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icrosoft YaHei"/>
        <w:b w:val="0"/>
        <w:i w:val="0"/>
        <w:color w:val="5D6670"/>
        <w:sz w:val="18"/>
      </w:rPr>
      <w:t xml:space="preserve">第 </w:t>
      <w:fldChar w:fldCharType="begin"/>
      <w:instrText xml:space="preserve"> PAGE </w:instrText>
      <w:fldChar w:fldCharType="separate"/>
      <w:t>1</w:t>
      <w:fldChar w:fldCharType="end"/>
    </w:r>
    <w:r>
      <w:rPr>
        <w:rFonts w:ascii="Calibri" w:hAnsi="Calibri" w:eastAsia="Microsoft YaHei"/>
        <w:b w:val="0"/>
        <w:i w:val="0"/>
        <w:color w:val="5D6670"/>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Microsoft YaHei"/>
        <w:b/>
        <w:i w:val="0"/>
        <w:color w:val="5D6670"/>
        <w:sz w:val="18"/>
      </w:rPr>
      <w:t>工业轴承检测场景 | PER-DDPG 调度技术方案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64" w:lineRule="auto"/>
    </w:pPr>
    <w:rPr>
      <w:rFonts w:ascii="Calibri" w:hAnsi="Calibri" w:eastAsia="Microsoft YaHei"/>
      <w:color w:val="202A3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eastAsia="Microsoft YaHe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eastAsia="Microsoft YaHe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工业轴承检测场景下的 PER-DDPG 任务调度与资源分配方案</dc:title>
  <dc:subject>工业轴承检测、DAG 任务排序、PER-DDPG、边缘计算</dc:subject>
  <dc:creator>项目技术方案</dc:creator>
  <cp:keywords>工业轴承, PER-DDPG, DAG, MQTT, 边缘计算</cp:keywords>
  <dc:description>generated by python-docx</dc:description>
  <cp:lastModifiedBy/>
  <cp:revision>1</cp:revision>
  <dcterms:created xsi:type="dcterms:W3CDTF">2013-12-23T23:15:00Z</dcterms:created>
  <dcterms:modified xsi:type="dcterms:W3CDTF">2013-12-23T23:15:00Z</dcterms:modified>
  <cp:category/>
</cp:coreProperties>
</file>