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  <w:sz w:val="28"/>
        </w:rPr>
        <w:t>Cuadro de Alcance y Responsabilidades — Sistemas de Control (PCS/SCADA/PSS/ESD/F&amp;G) e IT/OT</w:t>
      </w:r>
    </w:p>
    <w:p>
      <w:r>
        <w:rPr>
          <w:i/>
        </w:rPr>
        <w:t>EPC CPF2 — La Calera · Actores: AESA (Contratista) y PP (Pluspetrol)</w:t>
      </w:r>
    </w:p>
    <w:p>
      <w:r>
        <w:rPr>
          <w:sz w:val="16"/>
        </w:rPr>
        <w:t>P = ANEXO A - EPC CPF 2 (682 págs) · Ad = CPF 2 - AESA - Adenda Dic25 (221 págs)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69"/>
        <w:gridCol w:w="2069"/>
        <w:gridCol w:w="2069"/>
        <w:gridCol w:w="2069"/>
        <w:gridCol w:w="2069"/>
        <w:gridCol w:w="2069"/>
        <w:gridCol w:w="2069"/>
      </w:tblGrid>
      <w:tr>
        <w:tc>
          <w:tcPr>
            <w:tcW w:type="dxa" w:w="2069"/>
          </w:tcPr>
          <w:p>
            <w:r>
              <w:rPr>
                <w:b/>
                <w:sz w:val="17"/>
              </w:rPr>
              <w:t>#</w:t>
            </w:r>
          </w:p>
        </w:tc>
        <w:tc>
          <w:tcPr>
            <w:tcW w:type="dxa" w:w="2069"/>
          </w:tcPr>
          <w:p>
            <w:r>
              <w:rPr>
                <w:b/>
                <w:sz w:val="17"/>
              </w:rPr>
              <w:t>Sistema</w:t>
            </w:r>
          </w:p>
        </w:tc>
        <w:tc>
          <w:tcPr>
            <w:tcW w:type="dxa" w:w="2069"/>
          </w:tcPr>
          <w:p>
            <w:r>
              <w:rPr>
                <w:b/>
                <w:sz w:val="17"/>
              </w:rPr>
              <w:t>Alcance (ítem)</w:t>
            </w:r>
          </w:p>
        </w:tc>
        <w:tc>
          <w:tcPr>
            <w:tcW w:type="dxa" w:w="2069"/>
          </w:tcPr>
          <w:p>
            <w:r>
              <w:rPr>
                <w:b/>
                <w:sz w:val="17"/>
              </w:rPr>
              <w:t>Breve descripción</w:t>
            </w:r>
          </w:p>
        </w:tc>
        <w:tc>
          <w:tcPr>
            <w:tcW w:type="dxa" w:w="2069"/>
          </w:tcPr>
          <w:p>
            <w:r>
              <w:rPr>
                <w:b/>
                <w:sz w:val="17"/>
              </w:rPr>
              <w:t>Procura</w:t>
            </w:r>
          </w:p>
        </w:tc>
        <w:tc>
          <w:tcPr>
            <w:tcW w:type="dxa" w:w="2069"/>
          </w:tcPr>
          <w:p>
            <w:r>
              <w:rPr>
                <w:b/>
                <w:sz w:val="17"/>
              </w:rPr>
              <w:t>Instalación / Montaje</w:t>
            </w:r>
          </w:p>
        </w:tc>
        <w:tc>
          <w:tcPr>
            <w:tcW w:type="dxa" w:w="2069"/>
          </w:tcPr>
          <w:p>
            <w:r>
              <w:rPr>
                <w:b/>
                <w:sz w:val="17"/>
              </w:rPr>
              <w:t>Páginas</w:t>
            </w:r>
          </w:p>
        </w:tc>
      </w:tr>
      <w:tr>
        <w:tc>
          <w:tcPr>
            <w:tcW w:type="dxa" w:w="2069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PCS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Gabinetes de sistema PCS (CPF2-PCS-SC-07A/B, -08)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Tableros del sistema de control de proceso para las nuevas salas remotas INS-007/008. Marcas: Rockwell/Allen Bradley (ControlLogix, Stratix).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P-144, P-408</w:t>
            </w:r>
          </w:p>
        </w:tc>
      </w:tr>
      <w:tr>
        <w:tc>
          <w:tcPr>
            <w:tcW w:type="dxa" w:w="2069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PCS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Gabinetes de marshalling PCS (CPF2-PCS-MC-07A/B, -08A)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Marshalling para conexionado de campo, reserva mín. 20% capacidad / 25% ocupación; cables FTA.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P-144/145, P-408</w:t>
            </w:r>
          </w:p>
        </w:tc>
      </w:tr>
      <w:tr>
        <w:tc>
          <w:tcPr>
            <w:tcW w:type="dxa" w:w="2069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PCS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Tableros de comunicaciones (equipos activos) en salas remotas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Switches y equipos activos de la red de control en cada sala remota nueva.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P-144</w:t>
            </w:r>
          </w:p>
        </w:tc>
      </w:tr>
      <w:tr>
        <w:tc>
          <w:tcPr>
            <w:tcW w:type="dxa" w:w="2069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PCS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Programación de lógicas de control PCS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Nuevas lógicas (tableros nuevos y señales cableadas a remotas existentes). Subcontrato INAUCO.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P-144/145, P-303</w:t>
            </w:r>
          </w:p>
        </w:tc>
      </w:tr>
      <w:tr>
        <w:tc>
          <w:tcPr>
            <w:tcW w:type="dxa" w:w="2069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PCS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Instrumentos de campo off-skid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Provisión y montaje/contraste de transmisores, válvulas de control, caudalímetros, etc.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Ad-67 (01.C.07.03)</w:t>
            </w:r>
          </w:p>
        </w:tc>
      </w:tr>
      <w:tr>
        <w:tc>
          <w:tcPr>
            <w:tcW w:type="dxa" w:w="2069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PCS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Instrumentos sobre equipos/skids provistos por PP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Vienen montados y cableados a cajas de conexión sobre su propio skid (excepto P&amp;ID de proveedores, p.ej. Propak).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PP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PP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P-408</w:t>
            </w:r>
          </w:p>
        </w:tc>
      </w:tr>
      <w:tr>
        <w:tc>
          <w:tcPr>
            <w:tcW w:type="dxa" w:w="2069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SCADA proceso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Actualización e integración del SCADA de CPF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Nuevas pantallas, adecuación de existentes, base OPC, vínculos y documentación. Wonderware/OMI (AVEVA), integrador INAUCO.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P-145, P-155</w:t>
            </w:r>
          </w:p>
        </w:tc>
      </w:tr>
      <w:tr>
        <w:tc>
          <w:tcPr>
            <w:tcW w:type="dxa" w:w="2069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SCADA proceso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Integración a nivel lógico / configuración al sistema existente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La solución de AESA es completa SALVO la integración a nivel lógico/configuración al sistema en operación.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PP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PP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P-297</w:t>
            </w:r>
          </w:p>
        </w:tc>
      </w:tr>
      <w:tr>
        <w:tc>
          <w:tcPr>
            <w:tcW w:type="dxa" w:w="2069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SCADA proceso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Pruebas de integración (SIT) PCS↔SCADA anticipadas en taller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Para el PCS, dentro del subcontrato de AESA. Se anticipa el SIT respecto a IEC-62381.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P-303</w:t>
            </w:r>
          </w:p>
        </w:tc>
      </w:tr>
      <w:tr>
        <w:tc>
          <w:tcPr>
            <w:tcW w:type="dxa" w:w="2069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SCADA proceso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Ampliación de SCADA CPF1/CPF2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Incluida en montaje/programación/integración (sin precio separado en la planilla).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Ad-68 (01.C.07.04.03), P-282</w:t>
            </w:r>
          </w:p>
        </w:tc>
      </w:tr>
      <w:tr>
        <w:tc>
          <w:tcPr>
            <w:tcW w:type="dxa" w:w="2069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SCADA eléctrico (PMS)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Ampliación del SCADA Eléctrico / PMS (ABB)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Ampliación de HW con tableros ABB, nuevas pantallas y modificación de existentes; desconexión de cargas.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P-144, P-281, Ad-67 (01.C.06.05.18)</w:t>
            </w:r>
          </w:p>
        </w:tc>
      </w:tr>
      <w:tr>
        <w:tc>
          <w:tcPr>
            <w:tcW w:type="dxa" w:w="2069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SCADA eléctrico (PMS)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Red redundante IEC 61850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Criterio de red redundante para SCADA eléctrico confirmado.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P-304</w:t>
            </w:r>
          </w:p>
        </w:tc>
      </w:tr>
      <w:tr>
        <w:tc>
          <w:tcPr>
            <w:tcW w:type="dxa" w:w="2069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PSS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Gabinetes de seguridad PSS — hardware (CPF-PSS-SC-07/08)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Hardware del sistema de seguridad de proceso (HIMA/HIMAX). PP provee; AESA monta y cablea.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PP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P-144, P-408</w:t>
            </w:r>
          </w:p>
        </w:tc>
      </w:tr>
      <w:tr>
        <w:tc>
          <w:tcPr>
            <w:tcW w:type="dxa" w:w="2069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PSS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Ampliación de remota PSS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Módulos de I/O (según listado de señales + reserva), connector boards, cables FTA y tablero de marshalling completo (sala remota 6).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P-145, P-303</w:t>
            </w:r>
          </w:p>
        </w:tc>
      </w:tr>
      <w:tr>
        <w:tc>
          <w:tcPr>
            <w:tcW w:type="dxa" w:w="2069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PSS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Configuración del sistema PSS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Excluida del alcance del Contratista.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PP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PP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P-303</w:t>
            </w:r>
          </w:p>
        </w:tc>
      </w:tr>
      <w:tr>
        <w:tc>
          <w:tcPr>
            <w:tcW w:type="dxa" w:w="2069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ESD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Gabinetes de seguridad ESD — hardware (CPF-ESD-SC-07/08)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Hardware del sistema de parada de emergencia (HIMA/HIMAX). PP provee; AESA monta y cablea.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PP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P-144, P-408</w:t>
            </w:r>
          </w:p>
        </w:tc>
      </w:tr>
      <w:tr>
        <w:tc>
          <w:tcPr>
            <w:tcW w:type="dxa" w:w="2069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ESD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Gabinetes de marshalling ESD (CPF2-ESD-MC-07A/08A)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Marshalling del ESD (ingeniería, provisión y montaje).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P-144/145, P-408</w:t>
            </w:r>
          </w:p>
        </w:tc>
      </w:tr>
      <w:tr>
        <w:tc>
          <w:tcPr>
            <w:tcW w:type="dxa" w:w="2069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ESD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Configuración del sistema ESD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Excluida del Contratista; PP entrega un controlador demo para las pruebas.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PP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PP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P-303</w:t>
            </w:r>
          </w:p>
        </w:tc>
      </w:tr>
      <w:tr>
        <w:tc>
          <w:tcPr>
            <w:tcW w:type="dxa" w:w="2069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ESD/PSS/USS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Controlador demo para pruebas de integración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Provisto por PP para las pruebas de integración al SCADA.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PP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PP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P-303</w:t>
            </w:r>
          </w:p>
        </w:tc>
      </w:tr>
      <w:tr>
        <w:tc>
          <w:tcPr>
            <w:tcW w:type="dxa" w:w="2069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F&amp;G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Estudio de Fire &amp; Gas (ISA-TR 84.00.07)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Determina cantidad, ubicación y orientación de detectores de mezcla explosiva y llama (votación NooM).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P-171, P-242</w:t>
            </w:r>
          </w:p>
        </w:tc>
      </w:tr>
      <w:tr>
        <w:tc>
          <w:tcPr>
            <w:tcW w:type="dxa" w:w="2069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F&amp;G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Detectores de campo (gas/mezcla explosiva, llama, térmico lineal), pulsadores, sirenas-balizas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Sistema de detección de campo F&amp;G.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Ad-69 (01.G.08), P-242/250</w:t>
            </w:r>
          </w:p>
        </w:tc>
      </w:tr>
      <w:tr>
        <w:tc>
          <w:tcPr>
            <w:tcW w:type="dxa" w:w="2069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F&amp;G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Sistema Fire &amp; Gas — Hardware y Software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Partida 01.G.08 (montaje de alarmas, detectores, pulsadores, sirenas).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Ad-69 (01.G.08), P-233</w:t>
            </w:r>
          </w:p>
        </w:tc>
      </w:tr>
      <w:tr>
        <w:tc>
          <w:tcPr>
            <w:tcW w:type="dxa" w:w="2069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F&amp;G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Centrales / controladores F&amp;G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Considerados dentro de los instrumentos de campo; parte provistos con el proveedor de shelter (subcontrato).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PP / Prov. shelter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 / Prov.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P-232</w:t>
            </w:r>
          </w:p>
        </w:tc>
      </w:tr>
      <w:tr>
        <w:tc>
          <w:tcPr>
            <w:tcW w:type="dxa" w:w="2069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F&amp;G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Cajas de conexión F&amp;G + cableado resistente al fuego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Multitriadas (analógicas) y multipares (digitales) desde JB al shelter. ESD-F&amp;G comparten bandeja.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Ad-61 (Redef. Rev.1)</w:t>
            </w:r>
          </w:p>
        </w:tc>
      </w:tr>
      <w:tr>
        <w:tc>
          <w:tcPr>
            <w:tcW w:type="dxa" w:w="2069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F&amp;G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Habilitación de la red F&amp;G / auditoría entes provinciales (red húmeda)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Se excluye la habilitación de la red de F&amp;G; la auditoría de habilitación está a cargo de PPSA.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PP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PP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P-234</w:t>
            </w:r>
          </w:p>
        </w:tc>
      </w:tr>
      <w:tr>
        <w:tc>
          <w:tcPr>
            <w:tcW w:type="dxa" w:w="2069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OT/IT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Sistemas IT/OT (general) — provisión y montaje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Incluye ingeniería constructiva y de detalle para el montaje.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P-409</w:t>
            </w:r>
          </w:p>
        </w:tc>
      </w:tr>
      <w:tr>
        <w:tc>
          <w:tcPr>
            <w:tcW w:type="dxa" w:w="2069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OT/IT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Servicios de Seguridad y CCTV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Cobertura de seguridad física-patrimonial y operaciones (CCTV Bosch, radares Spotter).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P-146, P-409</w:t>
            </w:r>
          </w:p>
        </w:tc>
      </w:tr>
      <w:tr>
        <w:tc>
          <w:tcPr>
            <w:tcW w:type="dxa" w:w="2069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OT/IT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Control de Acceso — ingeniería y canalizaciones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Solo desarrollo de ingeniería e instalación de canalizaciones para implementación futura.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P-146</w:t>
            </w:r>
          </w:p>
        </w:tc>
      </w:tr>
      <w:tr>
        <w:tc>
          <w:tcPr>
            <w:tcW w:type="dxa" w:w="2069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OT/IT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Equipamiento de control de acceso + licencias + integración a seguridad patrimonial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Fuera del alcance de AESA.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PP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PP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P-146</w:t>
            </w:r>
          </w:p>
        </w:tc>
      </w:tr>
      <w:tr>
        <w:tc>
          <w:tcPr>
            <w:tcW w:type="dxa" w:w="2069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OT/IT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Servicios WIFI In/Out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Cobertura de áreas exteriores y salas/shelters interiores.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P-146/147, P-409</w:t>
            </w:r>
          </w:p>
        </w:tc>
      </w:tr>
      <w:tr>
        <w:tc>
          <w:tcPr>
            <w:tcW w:type="dxa" w:w="2069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OT/IT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Rack de Comunicaciones IT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Provisión e instalación del rack; tendidos y fusionado certificado de FO/UTP; alimentación redundante; espejos de FO.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P-147, P-409</w:t>
            </w:r>
          </w:p>
        </w:tc>
      </w:tr>
      <w:tr>
        <w:tc>
          <w:tcPr>
            <w:tcW w:type="dxa" w:w="2069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OT/IT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Licencias e integración a la infraestructura IT Local de CPF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Fuera del alcance de AESA (aplica a WIFI y Rack IT).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PP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PP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P-147</w:t>
            </w:r>
          </w:p>
        </w:tc>
      </w:tr>
      <w:tr>
        <w:tc>
          <w:tcPr>
            <w:tcW w:type="dxa" w:w="2069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OT/IT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Infraestructura OT - FO (anillo de fibra óptica)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Provisión, instalación, fusionado y certificación de FO; continuidad del anillo de 24h con caminos disjuntos; arquitectura PRP + redbox / anillos DLR.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P-147, P-305, P-409</w:t>
            </w:r>
          </w:p>
        </w:tc>
      </w:tr>
      <w:tr>
        <w:tc>
          <w:tcPr>
            <w:tcW w:type="dxa" w:w="2069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OT/IT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Tendidos y canalizaciones I&amp;C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Bandejas portacables, cañeros de PVC, tritubo PEAD para FO.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P-409</w:t>
            </w:r>
          </w:p>
        </w:tc>
      </w:tr>
      <w:tr>
        <w:tc>
          <w:tcPr>
            <w:tcW w:type="dxa" w:w="2069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OT/IT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Provisión de equipos IT/OT (servidores, switches, firewalls, radios)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Según lista de vendors aprobados por PPSA (Cisco, Fortinet, Hirschmann, Stratix, MPLS Hitachi-ABB, Dell, etc.).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P-148, P-409</w:t>
            </w:r>
          </w:p>
        </w:tc>
      </w:tr>
      <w:tr>
        <w:tc>
          <w:tcPr>
            <w:tcW w:type="dxa" w:w="2069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Ciberseg./Red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Configuración de routers, switches y firewalls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ELIMINADO del alcance de AESA (según respuestas del Anexo 3.8).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PP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PP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P-409</w:t>
            </w:r>
          </w:p>
        </w:tc>
      </w:tr>
      <w:tr>
        <w:tc>
          <w:tcPr>
            <w:tcW w:type="dxa" w:w="2069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Ciberseg./Red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Diagramas de zonas y conductos de ciberseguridad (IEC 62443)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ELIMINADO del alcance de AESA.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PP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P-409</w:t>
            </w:r>
          </w:p>
        </w:tc>
      </w:tr>
      <w:tr>
        <w:tc>
          <w:tcPr>
            <w:tcW w:type="dxa" w:w="2069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Ciberseg./Red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Cálculo de niveles de disponibilidad · Tabla de IPS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ELIMINADO del alcance de AESA.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PP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P-409</w:t>
            </w:r>
          </w:p>
        </w:tc>
      </w:tr>
      <w:tr>
        <w:tc>
          <w:tcPr>
            <w:tcW w:type="dxa" w:w="2069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Ciberseguridad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Cláusula contractual 43.15 Ciberseguridad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Marco COBIT / IEC 62443 / RGPD — obligaciones del Contratista ('Ciberseguridad en AESA').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P-118, P-521</w:t>
            </w:r>
          </w:p>
        </w:tc>
      </w:tr>
      <w:tr>
        <w:tc>
          <w:tcPr>
            <w:tcW w:type="dxa" w:w="2069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General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Regla por defecto (Adenda cláusula 3.1.4)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 suministra todo lo no indicado expresamente como provisión de PP en el Apéndice A, necesario para la obra.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Ad-5</w:t>
            </w:r>
          </w:p>
        </w:tc>
      </w:tr>
      <w:tr>
        <w:tc>
          <w:tcPr>
            <w:tcW w:type="dxa" w:w="2069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General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Equipos de proceso provistos por PP (Apéndice A)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Equipos suministrados por Pluspetrol; AESA ejecuta su montaje.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PP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P-408, Ad-5</w:t>
            </w:r>
          </w:p>
        </w:tc>
      </w:tr>
      <w:tr>
        <w:tc>
          <w:tcPr>
            <w:tcW w:type="dxa" w:w="2069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Pruebas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FAT / iFAT / SAT / SIT, sintonía de lazos, taller de pantallas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Pruebas y puesta a punto de tableros y sistemas (con participación/insumos de PP).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AESA</w:t>
            </w:r>
          </w:p>
        </w:tc>
        <w:tc>
          <w:tcPr>
            <w:tcW w:type="dxa" w:w="2069"/>
          </w:tcPr>
          <w:p>
            <w:r>
              <w:rPr>
                <w:sz w:val="16"/>
              </w:rPr>
              <w:t>P-145, P-303</w:t>
            </w:r>
          </w:p>
        </w:tc>
      </w:tr>
    </w:tbl>
    <w:p/>
    <w:p>
      <w:r>
        <w:rPr>
          <w:i/>
          <w:color w:val="9C5700"/>
          <w:sz w:val="17"/>
        </w:rPr>
        <w:t>Nota de inconsistencia documental: en P-408 los gabinetes de seguridad aparecen rotulados con el código del PCS (CPF2-PCS-SC-07A/B). Según §3.7 (P-144), PP provee los gabinetes de seguridad CPF-ESD-SC-07/08 y CPF-PSS-SC-07/08, y AESA provee los del PCS. Conviene reconciliar la codificación de gabinetes en la ingeniería de detalle.</w:t>
      </w:r>
    </w:p>
    <w:p>
      <w:r>
        <w:rPr>
          <w:b/>
        </w:rPr>
        <w:t xml:space="preserve">Leyenda: </w:t>
      </w:r>
      <w:r>
        <w:t>AESA = Contratista · PP = Pluspetrol · '—' = no aplica · 'Mixto' = compartido.</w:t>
      </w:r>
    </w:p>
    <w:p>
      <w:pPr>
        <w:jc w:val="center"/>
      </w:pPr>
      <w:r>
        <w:rPr>
          <w:color w:val="808080"/>
          <w:sz w:val="14"/>
        </w:rPr>
        <w:t>Documento generado automáticamente — 2026-06-06 14:35</w:t>
      </w:r>
    </w:p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