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Evaluación de Alcance — Sistema de Control (PCS/SCADA) e Integración OT/IT</w:t>
      </w:r>
    </w:p>
    <w:p>
      <w:r>
        <w:rPr>
          <w:i/>
        </w:rPr>
        <w:t>EPC CPF2 — Yacimiento La Calera, Neuquén (AESA / Pluspetrol)</w:t>
      </w:r>
    </w:p>
    <w:p>
      <w:r>
        <w:rPr>
          <w:b/>
        </w:rPr>
        <w:t xml:space="preserve">Proyecto: </w:t>
      </w:r>
      <w:r>
        <w:t>Legal PP Project LC</w:t>
        <w:br/>
      </w:r>
      <w:r>
        <w:rPr>
          <w:b/>
        </w:rPr>
        <w:t xml:space="preserve">Fuentes: </w:t>
      </w:r>
      <w:r>
        <w:t>ANEXO A - EPC CPF 2 (682 págs) + CPF 2 - AESA - Adenda Dic25 (221 págs)</w:t>
        <w:br/>
      </w:r>
      <w:r>
        <w:rPr>
          <w:b/>
        </w:rPr>
        <w:t xml:space="preserve">Fecha: </w:t>
      </w:r>
      <w:r>
        <w:t xml:space="preserve">2026-06-06    </w:t>
      </w:r>
      <w:r>
        <w:rPr>
          <w:b/>
        </w:rPr>
        <w:t xml:space="preserve">Analista: </w:t>
      </w:r>
      <w:r>
        <w:t>Daro</w:t>
      </w:r>
    </w:p>
    <w:p>
      <w:pPr>
        <w:pStyle w:val="Heading1"/>
      </w:pPr>
      <w:r>
        <w:rPr>
          <w:color w:val="2E5496"/>
        </w:rPr>
        <w:t>1. Identificación del contrato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Oferta irrevocable — Contrato de Obra EPC (Ingeniería, Compras y Construcción)</w:t>
            </w:r>
          </w:p>
        </w:tc>
      </w:tr>
      <w:tr>
        <w:tc>
          <w:tcPr>
            <w:tcW w:type="dxa" w:w="4320"/>
          </w:tcPr>
          <w:p>
            <w:r>
              <w:t>Obra</w:t>
            </w:r>
          </w:p>
        </w:tc>
        <w:tc>
          <w:tcPr>
            <w:tcW w:type="dxa" w:w="4320"/>
          </w:tcPr>
          <w:p>
            <w:r>
              <w:t>Central Production Facilities 2 (CPF2), ampliación — Fase 2 (17 MMm3/d)</w:t>
            </w:r>
          </w:p>
        </w:tc>
      </w:tr>
      <w:tr>
        <w:tc>
          <w:tcPr>
            <w:tcW w:type="dxa" w:w="4320"/>
          </w:tcPr>
          <w:p>
            <w:r>
              <w:t>Contratista</w:t>
            </w:r>
          </w:p>
        </w:tc>
        <w:tc>
          <w:tcPr>
            <w:tcW w:type="dxa" w:w="4320"/>
          </w:tcPr>
          <w:p>
            <w:r>
              <w:t>A-Evangelista S.A. (AESA)</w:t>
            </w:r>
          </w:p>
        </w:tc>
      </w:tr>
      <w:tr>
        <w:tc>
          <w:tcPr>
            <w:tcW w:type="dxa" w:w="4320"/>
          </w:tcPr>
          <w:p>
            <w:r>
              <w:t>Comitente</w:t>
            </w:r>
          </w:p>
        </w:tc>
        <w:tc>
          <w:tcPr>
            <w:tcW w:type="dxa" w:w="4320"/>
          </w:tcPr>
          <w:p>
            <w:r>
              <w:t>Pluspetrol S.A., como representante de la UTE La Calera (Pluspetrol / YSUR-YPF, Área CNQ-26)</w:t>
            </w:r>
          </w:p>
        </w:tc>
      </w:tr>
      <w:tr>
        <w:tc>
          <w:tcPr>
            <w:tcW w:type="dxa" w:w="4320"/>
          </w:tcPr>
          <w:p>
            <w:r>
              <w:t>Ley aplicable</w:t>
            </w:r>
          </w:p>
        </w:tc>
        <w:tc>
          <w:tcPr>
            <w:tcW w:type="dxa" w:w="4320"/>
          </w:tcPr>
          <w:p>
            <w:r>
              <w:t>República Argentina</w:t>
            </w:r>
          </w:p>
        </w:tc>
      </w:tr>
      <w:tr>
        <w:tc>
          <w:tcPr>
            <w:tcW w:type="dxa" w:w="4320"/>
          </w:tcPr>
          <w:p>
            <w:r>
              <w:t>Modalidad</w:t>
            </w:r>
          </w:p>
        </w:tc>
        <w:tc>
          <w:tcPr>
            <w:tcW w:type="dxa" w:w="4320"/>
          </w:tcPr>
          <w:p>
            <w:r>
              <w:t>Mixta: Ingeniería de detalle (Ajuste Alzado) · Construcción (Precios Unitarios) · Suministros (Costos Reembolsables)</w:t>
            </w:r>
          </w:p>
        </w:tc>
      </w:tr>
      <w:tr>
        <w:tc>
          <w:tcPr>
            <w:tcW w:type="dxa" w:w="4320"/>
          </w:tcPr>
          <w:p>
            <w:r>
              <w:t>Documentos analizados</w:t>
            </w:r>
          </w:p>
        </w:tc>
        <w:tc>
          <w:tcPr>
            <w:tcW w:type="dxa" w:w="4320"/>
          </w:tcPr>
          <w:p>
            <w:r>
              <w:t>Contrato principal (Anexo A) + Adenda Dic25 (incl. 'Redefinición/Reducción de Alcance Rev.1' y Planilla de Cotización)</w:t>
            </w:r>
          </w:p>
        </w:tc>
      </w:tr>
    </w:tbl>
    <w:p>
      <w:pPr>
        <w:pStyle w:val="Heading1"/>
      </w:pPr>
      <w:r>
        <w:rPr>
          <w:color w:val="2E5496"/>
        </w:rPr>
        <w:t>2. Arquitectura de control existente que se debe replicar/ampliar</w:t>
      </w:r>
    </w:p>
    <w:p>
      <w:r>
        <w:t>El contrato obliga a mantener marcas, modelos, arquitecturas e integradores de la instalación actual (CPF1) para unificar los sistemas. Esto fija la base tecnológica y genera dependencia (lock-in) de proveedores y subcontratos.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Tecnología / Marca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Integrador / Notas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Ref.</w:t>
            </w:r>
          </w:p>
        </w:tc>
      </w:tr>
      <w:tr>
        <w:tc>
          <w:tcPr>
            <w:tcW w:type="dxa" w:w="2160"/>
          </w:tcPr>
          <w:p>
            <w:r>
              <w:t>PCS (Process Control System)</w:t>
            </w:r>
          </w:p>
        </w:tc>
        <w:tc>
          <w:tcPr>
            <w:tcW w:type="dxa" w:w="2160"/>
          </w:tcPr>
          <w:p>
            <w:r>
              <w:t>Allen Bradley / Rockwell — ControlLogix, Stratix, Westermo</w:t>
            </w:r>
          </w:p>
        </w:tc>
        <w:tc>
          <w:tcPr>
            <w:tcW w:type="dxa" w:w="2160"/>
          </w:tcPr>
          <w:p>
            <w:r>
              <w:t>INAUCO · Arq. ACAL-100-PL-K-100</w:t>
            </w:r>
          </w:p>
        </w:tc>
        <w:tc>
          <w:tcPr>
            <w:tcW w:type="dxa" w:w="2160"/>
          </w:tcPr>
          <w:p>
            <w:r>
              <w:t>p144-145, 271-272</w:t>
            </w:r>
          </w:p>
        </w:tc>
      </w:tr>
      <w:tr>
        <w:tc>
          <w:tcPr>
            <w:tcW w:type="dxa" w:w="2160"/>
          </w:tcPr>
          <w:p>
            <w:r>
              <w:t>ESD (Emergency Shutdown)</w:t>
            </w:r>
          </w:p>
        </w:tc>
        <w:tc>
          <w:tcPr>
            <w:tcW w:type="dxa" w:w="2160"/>
          </w:tcPr>
          <w:p>
            <w:r>
              <w:t>HIMA — HIMAX</w:t>
            </w:r>
          </w:p>
        </w:tc>
        <w:tc>
          <w:tcPr>
            <w:tcW w:type="dxa" w:w="2160"/>
          </w:tcPr>
          <w:p>
            <w:r>
              <w:t>Gabinetes CPF2-ESD-SC-07/08</w:t>
            </w:r>
          </w:p>
        </w:tc>
        <w:tc>
          <w:tcPr>
            <w:tcW w:type="dxa" w:w="2160"/>
          </w:tcPr>
          <w:p>
            <w:r>
              <w:t>p144-145, 408</w:t>
            </w:r>
          </w:p>
        </w:tc>
      </w:tr>
      <w:tr>
        <w:tc>
          <w:tcPr>
            <w:tcW w:type="dxa" w:w="2160"/>
          </w:tcPr>
          <w:p>
            <w:r>
              <w:t>PSS (Process Shutdown / Seguridad)</w:t>
            </w:r>
          </w:p>
        </w:tc>
        <w:tc>
          <w:tcPr>
            <w:tcW w:type="dxa" w:w="2160"/>
          </w:tcPr>
          <w:p>
            <w:r>
              <w:t>HIMA — HIMAX</w:t>
            </w:r>
          </w:p>
        </w:tc>
        <w:tc>
          <w:tcPr>
            <w:tcW w:type="dxa" w:w="2160"/>
          </w:tcPr>
          <w:p>
            <w:r>
              <w:t>Requiere ampliación de I/O</w:t>
            </w:r>
          </w:p>
        </w:tc>
        <w:tc>
          <w:tcPr>
            <w:tcW w:type="dxa" w:w="2160"/>
          </w:tcPr>
          <w:p>
            <w:r>
              <w:t>p145, 303</w:t>
            </w:r>
          </w:p>
        </w:tc>
      </w:tr>
      <w:tr>
        <w:tc>
          <w:tcPr>
            <w:tcW w:type="dxa" w:w="2160"/>
          </w:tcPr>
          <w:p>
            <w:r>
              <w:t>USS</w:t>
            </w:r>
          </w:p>
        </w:tc>
        <w:tc>
          <w:tcPr>
            <w:tcW w:type="dxa" w:w="2160"/>
          </w:tcPr>
          <w:p>
            <w:r>
              <w:t>(sistema de seguridad existente)</w:t>
            </w:r>
          </w:p>
        </w:tc>
        <w:tc>
          <w:tcPr>
            <w:tcW w:type="dxa" w:w="2160"/>
          </w:tcPr>
          <w:p>
            <w:r>
              <w:t>Configuración excluida del contratista</w:t>
            </w:r>
          </w:p>
        </w:tc>
        <w:tc>
          <w:tcPr>
            <w:tcW w:type="dxa" w:w="2160"/>
          </w:tcPr>
          <w:p>
            <w:r>
              <w:t>p303</w:t>
            </w:r>
          </w:p>
        </w:tc>
      </w:tr>
      <w:tr>
        <w:tc>
          <w:tcPr>
            <w:tcW w:type="dxa" w:w="2160"/>
          </w:tcPr>
          <w:p>
            <w:r>
              <w:t>SCADA de proceso</w:t>
            </w:r>
          </w:p>
        </w:tc>
        <w:tc>
          <w:tcPr>
            <w:tcW w:type="dxa" w:w="2160"/>
          </w:tcPr>
          <w:p>
            <w:r>
              <w:t>Wonderware OMI (AVEVA) — base OPC</w:t>
            </w:r>
          </w:p>
        </w:tc>
        <w:tc>
          <w:tcPr>
            <w:tcW w:type="dxa" w:w="2160"/>
          </w:tcPr>
          <w:p>
            <w:r>
              <w:t>INAUCO (subcontrato)</w:t>
            </w:r>
          </w:p>
        </w:tc>
        <w:tc>
          <w:tcPr>
            <w:tcW w:type="dxa" w:w="2160"/>
          </w:tcPr>
          <w:p>
            <w:r>
              <w:t>p145, 155</w:t>
            </w:r>
          </w:p>
        </w:tc>
      </w:tr>
      <w:tr>
        <w:tc>
          <w:tcPr>
            <w:tcW w:type="dxa" w:w="2160"/>
          </w:tcPr>
          <w:p>
            <w:r>
              <w:t>SCADA Eléctrico / PMS</w:t>
            </w:r>
          </w:p>
        </w:tc>
        <w:tc>
          <w:tcPr>
            <w:tcW w:type="dxa" w:w="2160"/>
          </w:tcPr>
          <w:p>
            <w:r>
              <w:t>ABB — módulo PMS · IEC 61850 (red redundante)</w:t>
            </w:r>
          </w:p>
        </w:tc>
        <w:tc>
          <w:tcPr>
            <w:tcW w:type="dxa" w:w="2160"/>
          </w:tcPr>
          <w:p>
            <w:r>
              <w:t>Ampliación HW + nuevas pantallas</w:t>
            </w:r>
          </w:p>
        </w:tc>
        <w:tc>
          <w:tcPr>
            <w:tcW w:type="dxa" w:w="2160"/>
          </w:tcPr>
          <w:p>
            <w:r>
              <w:t>p144, 304</w:t>
            </w:r>
          </w:p>
        </w:tc>
      </w:tr>
      <w:tr>
        <w:tc>
          <w:tcPr>
            <w:tcW w:type="dxa" w:w="2160"/>
          </w:tcPr>
          <w:p>
            <w:r>
              <w:t>Salas remotas nuevas</w:t>
            </w:r>
          </w:p>
        </w:tc>
        <w:tc>
          <w:tcPr>
            <w:tcW w:type="dxa" w:w="2160"/>
          </w:tcPr>
          <w:p>
            <w:r>
              <w:t>INS-007 e INS-008 (CPF2 Fase 2)</w:t>
            </w:r>
          </w:p>
        </w:tc>
        <w:tc>
          <w:tcPr>
            <w:tcW w:type="dxa" w:w="2160"/>
          </w:tcPr>
          <w:p>
            <w:r>
              <w:t>Diseño según premisas CPF1</w:t>
            </w:r>
          </w:p>
        </w:tc>
        <w:tc>
          <w:tcPr>
            <w:tcW w:type="dxa" w:w="2160"/>
          </w:tcPr>
          <w:p>
            <w:r>
              <w:t>p144</w:t>
            </w:r>
          </w:p>
        </w:tc>
      </w:tr>
    </w:tbl>
    <w:p>
      <w:pPr>
        <w:pStyle w:val="Heading1"/>
      </w:pPr>
      <w:r>
        <w:rPr>
          <w:color w:val="2E5496"/>
        </w:rPr>
        <w:t>3. Alcance INCLUIDO del Contratista (AESA)</w:t>
      </w:r>
    </w:p>
    <w:p>
      <w:pPr>
        <w:pStyle w:val="Heading2"/>
      </w:pPr>
      <w:r>
        <w:t>3.1 Sistema de control y seguridad (§3.7)</w:t>
      </w:r>
    </w:p>
    <w:p>
      <w:pPr>
        <w:pStyle w:val="ListBullet"/>
      </w:pPr>
      <w:r>
        <w:t>PCS: provisión, montaje y cableado de tableros de sistema y de marshalling, con reserva mínima 20% en capacidad y 25% en ocupación; cables FTA asociados.</w:t>
      </w:r>
    </w:p>
    <w:p>
      <w:pPr>
        <w:pStyle w:val="ListBullet"/>
      </w:pPr>
      <w:r>
        <w:t>Tableros de comunicaciones con sus equipos activos en cada nueva sala remota.</w:t>
      </w:r>
    </w:p>
    <w:p>
      <w:pPr>
        <w:pStyle w:val="ListBullet"/>
      </w:pPr>
      <w:r>
        <w:t>Programación de las nuevas lógicas de control (tableros nuevos y señales cableadas a remotas existentes).</w:t>
      </w:r>
    </w:p>
    <w:p>
      <w:pPr>
        <w:pStyle w:val="ListBullet"/>
      </w:pPr>
      <w:r>
        <w:t>ESD/PSS: montaje y cableado de gabinetes; ampliación del PSS (módulos I/O según listado de señales + reserva, connector boards, cables FTA, tablero de marshalling completo).</w:t>
      </w:r>
    </w:p>
    <w:p>
      <w:pPr>
        <w:pStyle w:val="ListBullet"/>
      </w:pPr>
      <w:r>
        <w:t>Respetar marcas/modelos/integradores existentes (Rockwell, HIMA, Wonderware/OMI, INAUCO).</w:t>
      </w:r>
    </w:p>
    <w:p>
      <w:pPr>
        <w:pStyle w:val="ListBullet"/>
      </w:pPr>
      <w:r>
        <w:t>FAT (tableros propios y de Pluspetrol cuando cambie la matriz causa-efecto), iFAT de todos los sistemas, taller de revisión de pantallas (PCS y SSS), sintonía de lazos en comisionado/PEM.</w:t>
      </w:r>
    </w:p>
    <w:p>
      <w:pPr>
        <w:pStyle w:val="Heading2"/>
      </w:pPr>
      <w:r>
        <w:t>3.2 SCADA de proceso y SCADA Eléctrico</w:t>
      </w:r>
    </w:p>
    <w:p>
      <w:pPr>
        <w:pStyle w:val="ListBullet"/>
      </w:pPr>
      <w:r>
        <w:t>Actualización e integración del SCADA de CPF: nuevas pantallas, adecuación de existentes, base de datos OPC, vínculos, y actualización de toda la documentación (respetando Wonderware/OMI/INAUCO).</w:t>
      </w:r>
    </w:p>
    <w:p>
      <w:pPr>
        <w:pStyle w:val="ListBullet"/>
      </w:pPr>
      <w:r>
        <w:t>SCADA Eléctrico - PMS (ABB): ampliación de hardware con tableros ABB, nuevas pantallas y modificación de las existentes; acuerdo de nuevas cargas para desconexión.</w:t>
      </w:r>
    </w:p>
    <w:p>
      <w:pPr>
        <w:pStyle w:val="Heading2"/>
      </w:pPr>
      <w:r>
        <w:t>3.3 Sistema IT/OT (§3.8)</w:t>
      </w:r>
    </w:p>
    <w:p>
      <w:pPr>
        <w:pStyle w:val="ListBullet"/>
      </w:pPr>
      <w:r>
        <w:t>Seguridad, Acceso y CCTV: ingeniería de detalle, canalizaciones, provisión e instalación de equipos (según ET 001-ACAL-ET-O-100 — Especificaciones Disciplina OT) + repuestos 2 años.</w:t>
      </w:r>
    </w:p>
    <w:p>
      <w:pPr>
        <w:pStyle w:val="ListBullet"/>
      </w:pPr>
      <w:r>
        <w:t>Servicios WIFI in/out: cobertura de áreas exteriores y salas/shelters interiores.</w:t>
      </w:r>
    </w:p>
    <w:p>
      <w:pPr>
        <w:pStyle w:val="ListBullet"/>
      </w:pPr>
      <w:r>
        <w:t>Rack de Comunicaciones IT: tendidos y fusionado certificado de FO/UTP, alimentación redundante, espejos de FO, provisión e instalación del rack.</w:t>
      </w:r>
    </w:p>
    <w:p>
      <w:pPr>
        <w:pStyle w:val="ListBullet"/>
      </w:pPr>
      <w:r>
        <w:t>Infraestructura OT - FO: integración a la infraestructura OT existente dando continuidad a la topología de anillo de FO con caminos disjuntos; provisión, instalación, fusionado y certificación de FO.</w:t>
      </w:r>
    </w:p>
    <w:p>
      <w:pPr>
        <w:pStyle w:val="ListBullet"/>
      </w:pPr>
      <w:r>
        <w:t>Configuración de routers, switches y firewalls; pruebas FAT/SAT; reserva equipada mínima 20%.</w:t>
      </w:r>
    </w:p>
    <w:p>
      <w:pPr>
        <w:pStyle w:val="Heading2"/>
      </w:pPr>
      <w:r>
        <w:t>3.4 Ciberseguridad (entregables de ingeniería OT)</w:t>
      </w:r>
    </w:p>
    <w:p>
      <w:pPr>
        <w:pStyle w:val="ListBullet"/>
      </w:pPr>
      <w:r>
        <w:t>Diagrama de Zonas y Conductos de ciberseguridad (metodología tipo IEC 62443).</w:t>
      </w:r>
    </w:p>
    <w:p>
      <w:pPr>
        <w:pStyle w:val="ListBullet"/>
      </w:pPr>
      <w:r>
        <w:t>Diagramas de topologías física y lógica; Tabla de IPS; Cálculo de niveles de disponibilidad.</w:t>
      </w:r>
    </w:p>
    <w:p>
      <w:pPr>
        <w:pStyle w:val="ListBullet"/>
      </w:pPr>
      <w:r>
        <w:t>Especificación técnica y configuración de routers, switches y firewalls (Fortinet).</w:t>
      </w:r>
    </w:p>
    <w:p>
      <w:pPr>
        <w:pStyle w:val="ListBullet"/>
      </w:pPr>
      <w:r>
        <w:t>Cláusula contractual 43.15 'Ciberseguridad' (marco COBIT / IEC 62443 / RGPD) — obligaciones del contratista (p118) y 'Ciberseguridad en AESA' (p521).</w:t>
      </w:r>
    </w:p>
    <w:p>
      <w:pPr>
        <w:pStyle w:val="Heading1"/>
      </w:pPr>
      <w:r>
        <w:rPr>
          <w:color w:val="2E5496"/>
        </w:rPr>
        <w:t>4. Alcance EXCLUIDO o a cargo de Pluspetrol — FRONTERAS CRÍTICAS</w:t>
      </w:r>
    </w:p>
    <w:p>
      <w:r>
        <w:t>Estos límites son el corazón del riesgo de interfaz para el sistema de control y la integración OT/IT. Conviene revisarlos uno por uno.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Frontera / Exclusión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Detalle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Ref.</w:t>
            </w:r>
          </w:p>
        </w:tc>
      </w:tr>
      <w:tr>
        <w:tc>
          <w:tcPr>
            <w:tcW w:type="dxa" w:w="2880"/>
          </w:tcPr>
          <w:p>
            <w:r>
              <w:t>Integración lógica al sistema existente</w:t>
            </w:r>
          </w:p>
        </w:tc>
        <w:tc>
          <w:tcPr>
            <w:tcW w:type="dxa" w:w="2880"/>
          </w:tcPr>
          <w:p>
            <w:r>
              <w:t>La solución del contratista 'debe ser la solución completa, SALVO la integración a nivel lógico / Configuración al sistema existente'.</w:t>
            </w:r>
          </w:p>
        </w:tc>
        <w:tc>
          <w:tcPr>
            <w:tcW w:type="dxa" w:w="2880"/>
          </w:tcPr>
          <w:p>
            <w:r>
              <w:t>p297</w:t>
            </w:r>
          </w:p>
        </w:tc>
      </w:tr>
      <w:tr>
        <w:tc>
          <w:tcPr>
            <w:tcW w:type="dxa" w:w="2880"/>
          </w:tcPr>
          <w:p>
            <w:r>
              <w:t>Configuración ESD / PSS / USS</w:t>
            </w:r>
          </w:p>
        </w:tc>
        <w:tc>
          <w:tcPr>
            <w:tcW w:type="dxa" w:w="2880"/>
          </w:tcPr>
          <w:p>
            <w:r>
              <w:t>'La configuración de los sistemas ESD, PSS, USS están excluidos del alcance del CONTRATISTA.' Pluspetrol entrega un controlador demo para las pruebas.</w:t>
            </w:r>
          </w:p>
        </w:tc>
        <w:tc>
          <w:tcPr>
            <w:tcW w:type="dxa" w:w="2880"/>
          </w:tcPr>
          <w:p>
            <w:r>
              <w:t>p303</w:t>
            </w:r>
          </w:p>
        </w:tc>
      </w:tr>
      <w:tr>
        <w:tc>
          <w:tcPr>
            <w:tcW w:type="dxa" w:w="2880"/>
          </w:tcPr>
          <w:p>
            <w:r>
              <w:t>Provisión de gabinetes de seguridad</w:t>
            </w:r>
          </w:p>
        </w:tc>
        <w:tc>
          <w:tcPr>
            <w:tcW w:type="dxa" w:w="2880"/>
          </w:tcPr>
          <w:p>
            <w:r>
              <w:t>Pluspetrol entrega los gabinetes CPF-ESD-SC-07/08 y CPF-PSS-SC-07/08 (hardware de seguridad). (Ver inconsistencia en §8).</w:t>
            </w:r>
          </w:p>
        </w:tc>
        <w:tc>
          <w:tcPr>
            <w:tcW w:type="dxa" w:w="2880"/>
          </w:tcPr>
          <w:p>
            <w:r>
              <w:t>p144, 408</w:t>
            </w:r>
          </w:p>
        </w:tc>
      </w:tr>
      <w:tr>
        <w:tc>
          <w:tcPr>
            <w:tcW w:type="dxa" w:w="2880"/>
          </w:tcPr>
          <w:p>
            <w:r>
              <w:t>Seguridad patrimonial (CCTV/Acceso)</w:t>
            </w:r>
          </w:p>
        </w:tc>
        <w:tc>
          <w:tcPr>
            <w:tcW w:type="dxa" w:w="2880"/>
          </w:tcPr>
          <w:p>
            <w:r>
              <w:t>Fuera de alcance: licencias e integración al sistema de seguridad patrimonial existente y el equipamiento de control de acceso.</w:t>
            </w:r>
          </w:p>
        </w:tc>
        <w:tc>
          <w:tcPr>
            <w:tcW w:type="dxa" w:w="2880"/>
          </w:tcPr>
          <w:p>
            <w:r>
              <w:t>p146</w:t>
            </w:r>
          </w:p>
        </w:tc>
      </w:tr>
      <w:tr>
        <w:tc>
          <w:tcPr>
            <w:tcW w:type="dxa" w:w="2880"/>
          </w:tcPr>
          <w:p>
            <w:r>
              <w:t>Infraestructura IT Local de CPF</w:t>
            </w:r>
          </w:p>
        </w:tc>
        <w:tc>
          <w:tcPr>
            <w:tcW w:type="dxa" w:w="2880"/>
          </w:tcPr>
          <w:p>
            <w:r>
              <w:t>Fuera de alcance: licencias e integración a la infraestructura IT Local de CPF (aplica a WIFI y Rack de Comunicaciones IT).</w:t>
            </w:r>
          </w:p>
        </w:tc>
        <w:tc>
          <w:tcPr>
            <w:tcW w:type="dxa" w:w="2880"/>
          </w:tcPr>
          <w:p>
            <w:r>
              <w:t>p147</w:t>
            </w:r>
          </w:p>
        </w:tc>
      </w:tr>
      <w:tr>
        <w:tc>
          <w:tcPr>
            <w:tcW w:type="dxa" w:w="2880"/>
          </w:tcPr>
          <w:p>
            <w:r>
              <w:t>Cerco perimetral</w:t>
            </w:r>
          </w:p>
        </w:tc>
        <w:tc>
          <w:tcPr>
            <w:tcW w:type="dxa" w:w="2880"/>
          </w:tcPr>
          <w:p>
            <w:r>
              <w:t>Las obras de cerco perimetral no forman parte del contrato.</w:t>
            </w:r>
          </w:p>
        </w:tc>
        <w:tc>
          <w:tcPr>
            <w:tcW w:type="dxa" w:w="2880"/>
          </w:tcPr>
          <w:p>
            <w:r>
              <w:t>Planilla / p ANEXO</w:t>
            </w:r>
          </w:p>
        </w:tc>
      </w:tr>
    </w:tbl>
    <w:p>
      <w:pPr>
        <w:pStyle w:val="Heading1"/>
      </w:pPr>
      <w:r>
        <w:rPr>
          <w:color w:val="2E5496"/>
        </w:rPr>
        <w:t>5. Integración OT/IT — arquitectura de red</w:t>
      </w:r>
    </w:p>
    <w:p>
      <w:pPr>
        <w:pStyle w:val="ListBullet"/>
      </w:pPr>
      <w:r>
        <w:t>Anillo de FO troncal de 24 hilos con caminos disjuntos; las nuevas remotas (7 y 8) y nuevas salas eléctricas se integran al anillo, que pasará por las salas eléctricas (continuidad de la filosofía CPF1).</w:t>
      </w:r>
    </w:p>
    <w:p>
      <w:pPr>
        <w:pStyle w:val="ListBullet"/>
      </w:pPr>
      <w:r>
        <w:t>Arquitectura de comunicaciones CCM-PCS basada en anillo PRP + redbox que cierra los anillos DLR de cada semibarra (redundancia a nivel de red OT).</w:t>
      </w:r>
    </w:p>
    <w:p>
      <w:pPr>
        <w:pStyle w:val="ListBullet"/>
      </w:pPr>
      <w:r>
        <w:t>Segregación de sistemas en bandejas (Adenda Rev.1): PCS, PSS, COM y ESD-F&amp;G (estos dos últimos comparten bandeja). Cables de F&amp;G resistentes al fuego.</w:t>
      </w:r>
    </w:p>
    <w:p>
      <w:pPr>
        <w:pStyle w:val="ListBullet"/>
      </w:pPr>
      <w:r>
        <w:t>SCADA Eléctrico: criterio de red redundante para IEC 61850 confirmado.</w:t>
      </w:r>
    </w:p>
    <w:p>
      <w:pPr>
        <w:pStyle w:val="ListBullet"/>
      </w:pPr>
      <w:r>
        <w:t>Vendors IT/OT fijados por Pluspetrol: switches Cisco Catalyst/Nexus, Hirschmann, Stratix; firewalls Fortinet; nodos MPLS Hitachi-ABB; FO Furukawa/Corning; servidores Dell; CCTV Bosch; control de acceso Lenel; GPS Oscilloquartz; radioenlaces AVIAT/Redline.</w:t>
      </w:r>
    </w:p>
    <w:p>
      <w:pPr>
        <w:pStyle w:val="ListBullet"/>
      </w:pPr>
      <w:r>
        <w:t>Frontera IT↔OT: la integración a la red IT Local queda fuera de alcance → punto de interfaz y coordinación obligatoria con Pluspetrol.</w:t>
      </w:r>
    </w:p>
    <w:p>
      <w:pPr>
        <w:pStyle w:val="Heading1"/>
      </w:pPr>
      <w:r>
        <w:rPr>
          <w:color w:val="2E5496"/>
        </w:rPr>
        <w:t>6. Pruebas e integración (PCS / ESD / PSS / USS → SCADA)</w:t>
      </w:r>
    </w:p>
    <w:p>
      <w:pPr>
        <w:pStyle w:val="ListBullet"/>
      </w:pPr>
      <w:r>
        <w:t>La integración del PCS y de ESD/PSS/USS al SCADA debe probarse de manera anticipada en taller (aunque IEC 62381 ubica el SIT posterior al SAT), para minimizar riesgos en sitio.</w:t>
      </w:r>
    </w:p>
    <w:p>
      <w:pPr>
        <w:pStyle w:val="ListBullet"/>
      </w:pPr>
      <w:r>
        <w:t>PCS: la integración es alcance del subcontrato del Contratista.</w:t>
      </w:r>
    </w:p>
    <w:p>
      <w:pPr>
        <w:pStyle w:val="ListBullet"/>
      </w:pPr>
      <w:r>
        <w:t>ESD/PSS/USS: Pluspetrol entregará un controlador demo para las pruebas (el Contratista no configura estos sistemas).</w:t>
      </w:r>
    </w:p>
    <w:p>
      <w:pPr>
        <w:pStyle w:val="ListBullet"/>
      </w:pPr>
      <w:r>
        <w:t>Cambios de campo del Contratista que impacten configuraciones del SCADA deben gestionarse (coordinación con Pluspetrol).</w:t>
      </w:r>
    </w:p>
    <w:p>
      <w:pPr>
        <w:pStyle w:val="Heading1"/>
      </w:pPr>
      <w:r>
        <w:rPr>
          <w:color w:val="2E5496"/>
        </w:rPr>
        <w:t>7. Aspectos económicos del alcance de control / IT-OT (Adenda — Fase 2)</w:t>
      </w:r>
    </w:p>
    <w:p>
      <w:r>
        <w:t>Valores de la Planilla de Cotización de la Adenda (ARS). Permiten dimensionar el peso del alcance de control e IT/OT dentro del EPC.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Ítem (EDT)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 (ARS)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Modalidad</w:t>
            </w:r>
          </w:p>
        </w:tc>
      </w:tr>
      <w:tr>
        <w:tc>
          <w:tcPr>
            <w:tcW w:type="dxa" w:w="2160"/>
          </w:tcPr>
          <w:p>
            <w:r>
              <w:t>01.A.04</w:t>
            </w:r>
          </w:p>
        </w:tc>
        <w:tc>
          <w:tcPr>
            <w:tcW w:type="dxa" w:w="2160"/>
          </w:tcPr>
          <w:p>
            <w:r>
              <w:t>Ingeniería de detalle — Instrumentación y Control</w:t>
            </w:r>
          </w:p>
        </w:tc>
        <w:tc>
          <w:tcPr>
            <w:tcW w:type="dxa" w:w="2160"/>
          </w:tcPr>
          <w:p>
            <w:r>
              <w:t>616.812.826</w:t>
            </w:r>
          </w:p>
        </w:tc>
        <w:tc>
          <w:tcPr>
            <w:tcW w:type="dxa" w:w="2160"/>
          </w:tcPr>
          <w:p>
            <w:r>
              <w:t>Ajuste Alzado</w:t>
            </w:r>
          </w:p>
        </w:tc>
      </w:tr>
      <w:tr>
        <w:tc>
          <w:tcPr>
            <w:tcW w:type="dxa" w:w="2160"/>
          </w:tcPr>
          <w:p>
            <w:r>
              <w:t>01.A.05</w:t>
            </w:r>
          </w:p>
        </w:tc>
        <w:tc>
          <w:tcPr>
            <w:tcW w:type="dxa" w:w="2160"/>
          </w:tcPr>
          <w:p>
            <w:r>
              <w:t>Ingeniería de detalle — IT/OT/CCTV</w:t>
            </w:r>
          </w:p>
        </w:tc>
        <w:tc>
          <w:tcPr>
            <w:tcW w:type="dxa" w:w="2160"/>
          </w:tcPr>
          <w:p>
            <w:r>
              <w:t>(s/ HH asignadas)</w:t>
            </w:r>
          </w:p>
        </w:tc>
        <w:tc>
          <w:tcPr>
            <w:tcW w:type="dxa" w:w="2160"/>
          </w:tcPr>
          <w:p>
            <w:r>
              <w:t>Ajuste Alzado</w:t>
            </w:r>
          </w:p>
        </w:tc>
      </w:tr>
      <w:tr>
        <w:tc>
          <w:tcPr>
            <w:tcW w:type="dxa" w:w="2160"/>
          </w:tcPr>
          <w:p>
            <w:r>
              <w:t>01.C.07</w:t>
            </w:r>
          </w:p>
        </w:tc>
        <w:tc>
          <w:tcPr>
            <w:tcW w:type="dxa" w:w="2160"/>
          </w:tcPr>
          <w:p>
            <w:r>
              <w:t>Construcción — Instrumentación y Control (total)</w:t>
            </w:r>
          </w:p>
        </w:tc>
        <w:tc>
          <w:tcPr>
            <w:tcW w:type="dxa" w:w="2160"/>
          </w:tcPr>
          <w:p>
            <w:r>
              <w:t>10.024.451.503</w:t>
            </w:r>
          </w:p>
        </w:tc>
        <w:tc>
          <w:tcPr>
            <w:tcW w:type="dxa" w:w="2160"/>
          </w:tcPr>
          <w:p>
            <w:r>
              <w:t>Precios Unitarios</w:t>
            </w:r>
          </w:p>
        </w:tc>
      </w:tr>
      <w:tr>
        <w:tc>
          <w:tcPr>
            <w:tcW w:type="dxa" w:w="2160"/>
          </w:tcPr>
          <w:p>
            <w:r>
              <w:t>01.C.07.02.03</w:t>
            </w:r>
          </w:p>
        </w:tc>
        <w:tc>
          <w:tcPr>
            <w:tcW w:type="dxa" w:w="2160"/>
          </w:tcPr>
          <w:p>
            <w:r>
              <w:t xml:space="preserve">  Tendido de Fibra Óptica</w:t>
            </w:r>
          </w:p>
        </w:tc>
        <w:tc>
          <w:tcPr>
            <w:tcW w:type="dxa" w:w="2160"/>
          </w:tcPr>
          <w:p>
            <w:r>
              <w:t>244.454.007</w:t>
            </w:r>
          </w:p>
        </w:tc>
        <w:tc>
          <w:tcPr>
            <w:tcW w:type="dxa" w:w="2160"/>
          </w:tcPr>
          <w:p>
            <w:r>
              <w:t>Precios Unitarios</w:t>
            </w:r>
          </w:p>
        </w:tc>
      </w:tr>
      <w:tr>
        <w:tc>
          <w:tcPr>
            <w:tcW w:type="dxa" w:w="2160"/>
          </w:tcPr>
          <w:p>
            <w:r>
              <w:t>01.C.07.04</w:t>
            </w:r>
          </w:p>
        </w:tc>
        <w:tc>
          <w:tcPr>
            <w:tcW w:type="dxa" w:w="2160"/>
          </w:tcPr>
          <w:p>
            <w:r>
              <w:t xml:space="preserve">  Sistema SIS/PLC/PCS/CCTV</w:t>
            </w:r>
          </w:p>
        </w:tc>
        <w:tc>
          <w:tcPr>
            <w:tcW w:type="dxa" w:w="2160"/>
          </w:tcPr>
          <w:p>
            <w:r>
              <w:t>2.196.112.355</w:t>
            </w:r>
          </w:p>
        </w:tc>
        <w:tc>
          <w:tcPr>
            <w:tcW w:type="dxa" w:w="2160"/>
          </w:tcPr>
          <w:p>
            <w:r>
              <w:t>Precios Unitarios</w:t>
            </w:r>
          </w:p>
        </w:tc>
      </w:tr>
      <w:tr>
        <w:tc>
          <w:tcPr>
            <w:tcW w:type="dxa" w:w="2160"/>
          </w:tcPr>
          <w:p>
            <w:r>
              <w:t>01.C.07.04.01</w:t>
            </w:r>
          </w:p>
        </w:tc>
        <w:tc>
          <w:tcPr>
            <w:tcW w:type="dxa" w:w="2160"/>
          </w:tcPr>
          <w:p>
            <w:r>
              <w:t xml:space="preserve">    Montaje, programación e integración SIS/PLC/PCS</w:t>
            </w:r>
          </w:p>
        </w:tc>
        <w:tc>
          <w:tcPr>
            <w:tcW w:type="dxa" w:w="2160"/>
          </w:tcPr>
          <w:p>
            <w:r>
              <w:t>984.515.654</w:t>
            </w:r>
          </w:p>
        </w:tc>
        <w:tc>
          <w:tcPr>
            <w:tcW w:type="dxa" w:w="2160"/>
          </w:tcPr>
          <w:p>
            <w:r>
              <w:t>Precios Unitarios</w:t>
            </w:r>
          </w:p>
        </w:tc>
      </w:tr>
      <w:tr>
        <w:tc>
          <w:tcPr>
            <w:tcW w:type="dxa" w:w="2160"/>
          </w:tcPr>
          <w:p>
            <w:r>
              <w:t>01.C.07.04.02</w:t>
            </w:r>
          </w:p>
        </w:tc>
        <w:tc>
          <w:tcPr>
            <w:tcW w:type="dxa" w:w="2160"/>
          </w:tcPr>
          <w:p>
            <w:r>
              <w:t xml:space="preserve">    Comunicación (IT/OT), WIFI, CCTV, Control de Acceso</w:t>
            </w:r>
          </w:p>
        </w:tc>
        <w:tc>
          <w:tcPr>
            <w:tcW w:type="dxa" w:w="2160"/>
          </w:tcPr>
          <w:p>
            <w:r>
              <w:t>1.211.596.701</w:t>
            </w:r>
          </w:p>
        </w:tc>
        <w:tc>
          <w:tcPr>
            <w:tcW w:type="dxa" w:w="2160"/>
          </w:tcPr>
          <w:p>
            <w:r>
              <w:t>Precios Unitarios</w:t>
            </w:r>
          </w:p>
        </w:tc>
      </w:tr>
      <w:tr>
        <w:tc>
          <w:tcPr>
            <w:tcW w:type="dxa" w:w="2160"/>
          </w:tcPr>
          <w:p>
            <w:r>
              <w:t>01.C.07.04.03</w:t>
            </w:r>
          </w:p>
        </w:tc>
        <w:tc>
          <w:tcPr>
            <w:tcW w:type="dxa" w:w="2160"/>
          </w:tcPr>
          <w:p>
            <w:r>
              <w:t xml:space="preserve">    Ampliación de SCADA CPF1/CPF2</w:t>
            </w:r>
          </w:p>
        </w:tc>
        <w:tc>
          <w:tcPr>
            <w:tcW w:type="dxa" w:w="2160"/>
          </w:tcPr>
          <w:p>
            <w:r>
              <w:t>Incluido (sin precio separado)</w:t>
            </w:r>
          </w:p>
        </w:tc>
        <w:tc>
          <w:tcPr>
            <w:tcW w:type="dxa" w:w="2160"/>
          </w:tcPr>
          <w:p>
            <w:r>
              <w:t>Precios Unitarios</w:t>
            </w:r>
          </w:p>
        </w:tc>
      </w:tr>
      <w:tr>
        <w:tc>
          <w:tcPr>
            <w:tcW w:type="dxa" w:w="2160"/>
          </w:tcPr>
          <w:p>
            <w:r>
              <w:t>01.C.06.05.18</w:t>
            </w:r>
          </w:p>
        </w:tc>
        <w:tc>
          <w:tcPr>
            <w:tcW w:type="dxa" w:w="2160"/>
          </w:tcPr>
          <w:p>
            <w:r>
              <w:t xml:space="preserve">  SCADA Eléctrico (PMS) — montaje gabinetes</w:t>
            </w:r>
          </w:p>
        </w:tc>
        <w:tc>
          <w:tcPr>
            <w:tcW w:type="dxa" w:w="2160"/>
          </w:tcPr>
          <w:p>
            <w:r>
              <w:t>Incluido (gl)</w:t>
            </w:r>
          </w:p>
        </w:tc>
        <w:tc>
          <w:tcPr>
            <w:tcW w:type="dxa" w:w="2160"/>
          </w:tcPr>
          <w:p>
            <w:r>
              <w:t>Precios Unitarios</w:t>
            </w:r>
          </w:p>
        </w:tc>
      </w:tr>
    </w:tbl>
    <w:p>
      <w:r>
        <w:t>Observación: el ítem 'Montaje, programación e integración SIS/PLC/PCS' figura en el contrato principal por ARS 1.420.769.779 y en la Adenda por ARS 984.515.654 — una reducción aproximada de ARS 436 millones que conviene rastrear contra la 'Redefinición/Reducción de Alcance Rev.1'.</w:t>
      </w:r>
    </w:p>
    <w:p>
      <w:pPr>
        <w:pStyle w:val="Heading1"/>
      </w:pPr>
      <w:r>
        <w:rPr>
          <w:color w:val="2E5496"/>
        </w:rPr>
        <w:t>8. Riesgos y banderas rojas (para revisar juntos)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Riesgo / Bandera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 qué importa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Frontera de 'integración lógica/configuración' al sistema existente difusa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El contratista entrega 'solución completa salvo integración lógica'. ¿Quién cierra la integración SCADA punta a punta y responde por su funcionalidad? Riesgo de interfaz y de vacío de responsabilidad.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Inconsistencia sobre provisión de gabinetes PCS-SC-07/08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§3.7 (p144) dice que Pluspetrol solo entrega ESD/PSS; la sección de división de alcance (p408) asigna PCS a AESA y PSS/PCS-SC a Pluspetrol. Hay que reconciliar quién provee qué gabinete.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Dependencia de insumos/entregables de Pluspetrol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Controlador demo (ESD/PSS/USS), documentación de SCADA y arquitecturas existentes, gabinetes de seguridad. Retrasos de Pluspetrol pueden impactar el cronograma del Contratista.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Alcance y cuantificación de ciberseguridad (zonas y conductos)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Los entregables IEC 62443 (zonas/conductos, IPS, disponibilidad) fueron objeto de consulta; verificar quién ejecuta, quién aprueba y cómo se cuantifica/paga.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'Ampliación de SCADA CPF1/CPF2' sin precio separado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Marcada como 'incluida' en otros ítems. Riesgo de subvaloración / disputa de alcance si la integración resulta mayor a la prevista.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Lock-in de marcas/modelos/integradores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Obligación de mantener Rockwell, HIMA, AVEVA/Wonderware, ABB e INAUCO. Limita competencia de subcontratos y traslada riesgo de disponibilidad/precio.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Frontera IT↔OT (integración a IT Local fuera de alcance)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WIFI y Rack IT se proveen pero su integración a IT Local es de Pluspetrol. Definir punto de demarcación y responsable de la interfaz.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Obligaciones contractuales de ciberseguridad (Cl. 43.15)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Marco COBIT/IEC 62443/RGPD + 'Ciberseguridad en AESA'. Revisar exigencias, auditorías y penalidades asociadas.</w:t>
            </w:r>
          </w:p>
        </w:tc>
      </w:tr>
    </w:tbl>
    <w:p>
      <w:pPr>
        <w:pStyle w:val="Heading1"/>
      </w:pPr>
      <w:r>
        <w:rPr>
          <w:color w:val="2E5496"/>
        </w:rPr>
        <w:t>9. Documentos de referencia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</w:tr>
      <w:tr>
        <w:tc>
          <w:tcPr>
            <w:tcW w:type="dxa" w:w="4320"/>
          </w:tcPr>
          <w:p>
            <w:r>
              <w:t>ACAL-100-PL-K-100</w:t>
            </w:r>
          </w:p>
        </w:tc>
        <w:tc>
          <w:tcPr>
            <w:tcW w:type="dxa" w:w="4320"/>
          </w:tcPr>
          <w:p>
            <w:r>
              <w:t>Arquitectura del Sistema PCS (en desarrollo para ampliación)</w:t>
            </w:r>
          </w:p>
        </w:tc>
      </w:tr>
      <w:tr>
        <w:tc>
          <w:tcPr>
            <w:tcW w:type="dxa" w:w="4320"/>
          </w:tcPr>
          <w:p>
            <w:r>
              <w:t>ACAL-100-PL-K-105</w:t>
            </w:r>
          </w:p>
        </w:tc>
        <w:tc>
          <w:tcPr>
            <w:tcW w:type="dxa" w:w="4320"/>
          </w:tcPr>
          <w:p>
            <w:r>
              <w:t>Tablero PCS 003</w:t>
            </w:r>
          </w:p>
        </w:tc>
      </w:tr>
      <w:tr>
        <w:tc>
          <w:tcPr>
            <w:tcW w:type="dxa" w:w="4320"/>
          </w:tcPr>
          <w:p>
            <w:r>
              <w:t>ACAL-100-PL-K-551 / -100</w:t>
            </w:r>
          </w:p>
        </w:tc>
        <w:tc>
          <w:tcPr>
            <w:tcW w:type="dxa" w:w="4320"/>
          </w:tcPr>
          <w:p>
            <w:r>
              <w:t>Arquitecturas actuales de PCS/SSS</w:t>
            </w:r>
          </w:p>
        </w:tc>
      </w:tr>
      <w:tr>
        <w:tc>
          <w:tcPr>
            <w:tcW w:type="dxa" w:w="4320"/>
          </w:tcPr>
          <w:p>
            <w:r>
              <w:t>ACAL-100-PL-K-552/554</w:t>
            </w:r>
          </w:p>
        </w:tc>
        <w:tc>
          <w:tcPr>
            <w:tcW w:type="dxa" w:w="4320"/>
          </w:tcPr>
          <w:p>
            <w:r>
              <w:t>Tablero SC ESD 006 / Marshalling ESD 006</w:t>
            </w:r>
          </w:p>
        </w:tc>
      </w:tr>
      <w:tr>
        <w:tc>
          <w:tcPr>
            <w:tcW w:type="dxa" w:w="4320"/>
          </w:tcPr>
          <w:p>
            <w:r>
              <w:t>ACAL-100-PL-K-562/564</w:t>
            </w:r>
          </w:p>
        </w:tc>
        <w:tc>
          <w:tcPr>
            <w:tcW w:type="dxa" w:w="4320"/>
          </w:tcPr>
          <w:p>
            <w:r>
              <w:t>Tablero SC PSS 006 / Marshalling PSS 006</w:t>
            </w:r>
          </w:p>
        </w:tc>
      </w:tr>
      <w:tr>
        <w:tc>
          <w:tcPr>
            <w:tcW w:type="dxa" w:w="4320"/>
          </w:tcPr>
          <w:p>
            <w:r>
              <w:t>ACAL-000-MO-K-100/101</w:t>
            </w:r>
          </w:p>
        </w:tc>
        <w:tc>
          <w:tcPr>
            <w:tcW w:type="dxa" w:w="4320"/>
          </w:tcPr>
          <w:p>
            <w:r>
              <w:t>Manual de Operaciones CPF SCADA / Diseño SCADA</w:t>
            </w:r>
          </w:p>
        </w:tc>
      </w:tr>
      <w:tr>
        <w:tc>
          <w:tcPr>
            <w:tcW w:type="dxa" w:w="4320"/>
          </w:tcPr>
          <w:p>
            <w:r>
              <w:t>AARC-100-TI-K-002</w:t>
            </w:r>
          </w:p>
        </w:tc>
        <w:tc>
          <w:tcPr>
            <w:tcW w:type="dxa" w:w="4320"/>
          </w:tcPr>
          <w:p>
            <w:r>
              <w:t>Especificación de diseño del SCADA</w:t>
            </w:r>
          </w:p>
        </w:tc>
      </w:tr>
      <w:tr>
        <w:tc>
          <w:tcPr>
            <w:tcW w:type="dxa" w:w="4320"/>
          </w:tcPr>
          <w:p>
            <w:r>
              <w:t>021-ACAL-100-PS030-E-302/303</w:t>
            </w:r>
          </w:p>
        </w:tc>
        <w:tc>
          <w:tcPr>
            <w:tcW w:type="dxa" w:w="4320"/>
          </w:tcPr>
          <w:p>
            <w:r>
              <w:t>SCADA ELE/PMS — Arquitectura y Topología del sistema</w:t>
            </w:r>
          </w:p>
        </w:tc>
      </w:tr>
      <w:tr>
        <w:tc>
          <w:tcPr>
            <w:tcW w:type="dxa" w:w="4320"/>
          </w:tcPr>
          <w:p>
            <w:r>
              <w:t>226-ACAL-102-PL-K-301</w:t>
            </w:r>
          </w:p>
        </w:tc>
        <w:tc>
          <w:tcPr>
            <w:tcW w:type="dxa" w:w="4320"/>
          </w:tcPr>
          <w:p>
            <w:r>
              <w:t>Anillo de Fibra Óptica (FO)</w:t>
            </w:r>
          </w:p>
        </w:tc>
      </w:tr>
      <w:tr>
        <w:tc>
          <w:tcPr>
            <w:tcW w:type="dxa" w:w="4320"/>
          </w:tcPr>
          <w:p>
            <w:r>
              <w:t>001-ACAL-ET-O-100</w:t>
            </w:r>
          </w:p>
        </w:tc>
        <w:tc>
          <w:tcPr>
            <w:tcW w:type="dxa" w:w="4320"/>
          </w:tcPr>
          <w:p>
            <w:r>
              <w:t>ET — Especificaciones Disciplina OT</w:t>
            </w:r>
          </w:p>
        </w:tc>
      </w:tr>
      <w:tr>
        <w:tc>
          <w:tcPr>
            <w:tcW w:type="dxa" w:w="4320"/>
          </w:tcPr>
          <w:p>
            <w:r>
              <w:t>001-ACAL-PL-O-200 / LI-O-203</w:t>
            </w:r>
          </w:p>
        </w:tc>
        <w:tc>
          <w:tcPr>
            <w:tcW w:type="dxa" w:w="4320"/>
          </w:tcPr>
          <w:p>
            <w:r>
              <w:t>Plano de cobertura / Listado de equipos recomendados (seguridad)</w:t>
            </w:r>
          </w:p>
        </w:tc>
      </w:tr>
      <w:tr>
        <w:tc>
          <w:tcPr>
            <w:tcW w:type="dxa" w:w="4320"/>
          </w:tcPr>
          <w:p>
            <w:r>
              <w:t>GRAL-EI-K-002/003 · GRAL-ET-K-101</w:t>
            </w:r>
          </w:p>
        </w:tc>
        <w:tc>
          <w:tcPr>
            <w:tcW w:type="dxa" w:w="4320"/>
          </w:tcPr>
          <w:p>
            <w:r>
              <w:t>Estándares corporativos de Sistemas de Control y Seguridad</w:t>
            </w:r>
          </w:p>
        </w:tc>
      </w:tr>
      <w:tr>
        <w:tc>
          <w:tcPr>
            <w:tcW w:type="dxa" w:w="4320"/>
          </w:tcPr>
          <w:p>
            <w:r>
              <w:t>330-CPF2 (Adenda)</w:t>
            </w:r>
          </w:p>
        </w:tc>
        <w:tc>
          <w:tcPr>
            <w:tcW w:type="dxa" w:w="4320"/>
          </w:tcPr>
          <w:p>
            <w:r>
              <w:t>Memoria Descriptiva de Ingeniería — Redefinición de Alcance Rev.1 + 002_A_REDUCCIÓN DE ALCANCE_Rev.4</w:t>
            </w:r>
          </w:p>
        </w:tc>
      </w:tr>
    </w:tbl>
    <w:p>
      <w:pPr>
        <w:pStyle w:val="Heading1"/>
      </w:pPr>
      <w:r>
        <w:rPr>
          <w:color w:val="2E5496"/>
        </w:rPr>
        <w:t>10. Preguntas abiertas para nuestra revisión</w:t>
      </w:r>
    </w:p>
    <w:p>
      <w:pPr>
        <w:pStyle w:val="ListBullet"/>
      </w:pPr>
      <w:r>
        <w:t>Integración punta a punta del SCADA: ¿se acepta la frontera 'solución completa salvo integración lógica' o se exige al Contratista cerrar y garantizar la integración completa?</w:t>
      </w:r>
    </w:p>
    <w:p>
      <w:pPr>
        <w:pStyle w:val="ListBullet"/>
      </w:pPr>
      <w:r>
        <w:t>Reconciliar la provisión de gabinetes PCS-SC-07A/B y -08 (¿Pluspetrol o AESA?).</w:t>
      </w:r>
    </w:p>
    <w:p>
      <w:pPr>
        <w:pStyle w:val="ListBullet"/>
      </w:pPr>
      <w:r>
        <w:t>Confirmar el alcance, responsable y forma de pago de los entregables de ciberseguridad (zonas y conductos IEC 62443).</w:t>
      </w:r>
    </w:p>
    <w:p>
      <w:pPr>
        <w:pStyle w:val="ListBullet"/>
      </w:pPr>
      <w:r>
        <w:t>Rastrear qué se quitó en la 'Reducción de Alcance Rev.1' respecto al sistema de control / IT-OT (la baja de ~ARS 436 M en SIS/PLC/PCS).</w:t>
      </w:r>
    </w:p>
    <w:p>
      <w:pPr>
        <w:pStyle w:val="ListBullet"/>
      </w:pPr>
      <w:r>
        <w:t>Definir el punto de demarcación IT↔OT y la matriz de responsabilidades de interfaz con Pluspetrol.</w:t>
      </w:r>
    </w:p>
    <w:p>
      <w:pPr>
        <w:pStyle w:val="ListBullet"/>
      </w:pPr>
      <w:r>
        <w:t>Verificar plazos de entrega de insumos de Pluspetrol (controlador demo, documentación, gabinetes) y su impacto en el cronograma.</w:t>
      </w:r>
    </w:p>
    <w:p>
      <w:pPr>
        <w:jc w:val="center"/>
      </w:pPr>
      <w:r>
        <w:rPr>
          <w:color w:val="808080"/>
          <w:sz w:val="16"/>
        </w:rPr>
        <w:br/>
        <w:t>Documento generado automáticamente — 2026-06-06 03:37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