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RESUMEN DE TAREAS DE TRABAJO A CONTRATAR A HIMA</w:t>
      </w:r>
    </w:p>
    <w:p>
      <w:pPr>
        <w:spacing w:after="60"/>
        <w:jc w:val="center"/>
      </w:pPr>
      <w:r>
        <w:rPr>
          <w:rFonts w:ascii="Calibri" w:cs="Calibri" w:eastAsia="Calibri" w:hAnsi="Calibri"/>
          <w:i/>
          <w:iCs/>
          <w:color w:val="444444"/>
          <w:sz w:val="22"/>
          <w:szCs w:val="22"/>
        </w:rPr>
        <w:t xml:space="preserve">Evaluación de cobertura de alcance - Especificación Técnica vs. Oferta Budget</w:t>
      </w:r>
    </w:p>
    <w:p>
      <w:pPr>
        <w:spacing w:after="240"/>
        <w:jc w:val="center"/>
      </w:pPr>
      <w:r>
        <w:rPr>
          <w:rFonts w:ascii="Calibri" w:cs="Calibri" w:eastAsia="Calibri" w:hAnsi="Calibri"/>
          <w:color w:val="666666"/>
          <w:sz w:val="20"/>
          <w:szCs w:val="20"/>
        </w:rPr>
        <w:t xml:space="preserve">Proyecto CPF2 La Calera - Sistema de Seguridad SIS</w:t>
      </w:r>
    </w:p>
    <w:p>
      <w:pPr>
        <w:pStyle w:val="Heading2"/>
        <w:spacing w:after="140" w:before="280"/>
      </w:pPr>
      <w:r>
        <w:rPr>
          <w:rFonts w:ascii="Calibri" w:cs="Calibri" w:eastAsia="Calibri" w:hAnsi="Calibri"/>
          <w:b/>
          <w:bCs/>
          <w:color w:val="1F3864"/>
        </w:rPr>
        <w:t xml:space="preserve">Control de Revisiones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5200"/>
        <w:gridCol w:w="2160"/>
      </w:tblGrid>
      <w:tr>
        <w:trPr>
          <w:tblHeader/>
        </w:trPr>
        <w:tc>
          <w:tcPr>
            <w:tcW w:type="dxa" w:w="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Rev.</w:t>
            </w:r>
          </w:p>
        </w:tc>
        <w:tc>
          <w:tcPr>
            <w:tcW w:type="dxa" w:w="1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Fecha</w:t>
            </w:r>
          </w:p>
        </w:tc>
        <w:tc>
          <w:tcPr>
            <w:tcW w:type="dxa" w:w="5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Descripción</w:t>
            </w:r>
          </w:p>
        </w:tc>
        <w:tc>
          <w:tcPr>
            <w:tcW w:type="dxa" w:w="216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Elaboró</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05-08-2026</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Emisión inicial - Comparativa ET ACAL-00102-ET-K-0002 Rev.1 vs. Oferta Budget HIMA (Cotización 1123352)</w:t>
            </w:r>
          </w:p>
        </w:tc>
        <w:tc>
          <w:tcPr>
            <w:tcW w:type="dxa" w:w="216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Claude (asistente)</w:t>
            </w:r>
          </w:p>
        </w:tc>
      </w:tr>
    </w:tbl>
    <w:p>
      <w:pPr>
        <w:pStyle w:val="Heading2"/>
        <w:spacing w:after="140" w:before="280"/>
      </w:pPr>
      <w:r>
        <w:rPr>
          <w:rFonts w:ascii="Calibri" w:cs="Calibri" w:eastAsia="Calibri" w:hAnsi="Calibri"/>
          <w:b/>
          <w:bCs/>
          <w:color w:val="1F3864"/>
        </w:rPr>
        <w:t xml:space="preserve">1. Documentos analizados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660"/>
      </w:tblGrid>
      <w:tr>
        <w:trPr>
          <w:tblHeader/>
        </w:trP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Tipo</w:t>
            </w:r>
          </w:p>
        </w:tc>
        <w:tc>
          <w:tcPr>
            <w:tcW w:type="dxa" w:w="3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Documento</w:t>
            </w:r>
          </w:p>
        </w:tc>
        <w:tc>
          <w:tcPr>
            <w:tcW w:type="dxa" w:w="36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Datos relevantes</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bCs/>
                <w:sz w:val="19"/>
                <w:szCs w:val="19"/>
              </w:rPr>
              <w:t xml:space="preserve">Especificación Técnica (requisito)</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ACAL-00102-ET-K-0002, Rev. 1 - "Especificación Técnica Sistema de Seguridad SIS"</w:t>
            </w:r>
          </w:p>
        </w:tc>
        <w:tc>
          <w:tcPr>
            <w:tcW w:type="dxa" w:w="366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Proyecto: La Calera CPF2 - Fase 2. Cliente: Pluspetrol. Fecha rev.1: 07-08-2026. Archivo fuente: 4_Documentos/ACAL-00102-ET-K-0002-1 Modificado NMA.docx</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bCs/>
                <w:sz w:val="19"/>
                <w:szCs w:val="19"/>
              </w:rPr>
              <w:t xml:space="preserve">Oferta Budget (propuesta)</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Cotización Presupuestal N° 1123352 - "Servicios CPF2" (HIMA Opportunity 118803)</w:t>
            </w:r>
          </w:p>
        </w:tc>
        <w:tc>
          <w:tcPr>
            <w:tcW w:type="dxa" w:w="366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Proveedor: HIMA ARG SAS. Cliente cotizado: AESA A-Evangelista S.A. Fecha: 28/05/2026. Total: 663.542.359,29 ARS neto. Archivo fuente: 4_Documentos/Budgetary. SQ1123352. Services CPF2. AESA 1 (1).pdf</w:t>
            </w:r>
          </w:p>
        </w:tc>
      </w:tr>
    </w:tbl>
    <w:p>
      <w:pPr>
        <w:pStyle w:val="Heading2"/>
        <w:spacing w:after="140" w:before="280"/>
      </w:pPr>
      <w:r>
        <w:rPr>
          <w:rFonts w:ascii="Calibri" w:cs="Calibri" w:eastAsia="Calibri" w:hAnsi="Calibri"/>
          <w:b/>
          <w:bCs/>
          <w:color w:val="1F3864"/>
        </w:rPr>
        <w:t xml:space="preserve">2. Objeto</w:t>
      </w:r>
    </w:p>
    <w:p>
      <w:pPr>
        <w:spacing w:after="120"/>
      </w:pPr>
      <w:r>
        <w:rPr>
          <w:rFonts w:ascii="Calibri" w:cs="Calibri" w:eastAsia="Calibri" w:hAnsi="Calibri"/>
        </w:rPr>
        <w:t xml:space="preserve">Este documento compara el alcance exigido por la Especificación Técnica ACAL-00102-ET-K-0002 (Rev. 1) contra el alcance efectivamente ofertado por HIMA ARG SAS en su Cotización Presupuestal N° 1123352, con el fin de determinar si la oferta cubre íntegramente los servicios de modificación de tableros, provisión de hardware, configuración/programación, pruebas FAT y puesta en servicio requeridos por AESA para el proyecto CPF2, e identificar faltantes o puntos que requieren aclaración antes de avanzar a una Oferta Firme.</w:t>
      </w:r>
    </w:p>
    <w:p>
      <w:pPr>
        <w:pStyle w:val="Heading2"/>
        <w:spacing w:after="140" w:before="280"/>
      </w:pPr>
      <w:r>
        <w:rPr>
          <w:rFonts w:ascii="Calibri" w:cs="Calibri" w:eastAsia="Calibri" w:hAnsi="Calibri"/>
          <w:b/>
          <w:bCs/>
          <w:color w:val="1F3864"/>
        </w:rPr>
        <w:t xml:space="preserve">3. Evaluación de cobertura de alcance</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1400"/>
        <w:gridCol w:w="156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Requisito de la ET</w:t>
            </w:r>
          </w:p>
        </w:tc>
        <w:tc>
          <w:tcPr>
            <w:tcW w:type="dxa" w:w="4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Qué ofrece la oferta HIMA</w:t>
            </w:r>
          </w:p>
        </w:tc>
        <w:tc>
          <w:tcPr>
            <w:tcW w:type="dxa" w:w="1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Estado</w:t>
            </w:r>
          </w:p>
        </w:tc>
        <w:tc>
          <w:tcPr>
            <w:tcW w:type="dxa" w:w="156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Ref. ET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Provisión de hardware: gabinetes de marshalling nuevos, terminales, FTA, cables de sistema, relés, embalaje marítimo (BOM completo §4.3)</w:t>
            </w:r>
          </w:p>
        </w:tc>
        <w:tc>
          <w:tcPr>
            <w:tcW w:type="dxa" w:w="43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No aparece como línea de suministro. El documento se titula "Cotización Presupuestal - Servicios CPF2" y el Alcance de Suministro solo lista 3 ítems de servicio (Marshalling/Doc./Program./FAT, SAT&amp;COMM, Cableado). No hay costo de materiales.</w:t>
            </w:r>
          </w:p>
        </w:tc>
        <w:tc>
          <w:tcPr>
            <w:tcW w:type="dxa" w:w="140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Falta</w:t>
            </w:r>
          </w:p>
        </w:tc>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§4</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Modificación de gabinetes de sistema del proyecto CPF2: ESD-SC-007, PSS-SC-007A y PSS-SC-007B (ingeniería + FAT de HW)</w:t>
            </w:r>
          </w:p>
        </w:tc>
        <w:tc>
          <w:tcPr>
            <w:tcW w:type="dxa" w:w="43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Lista de documentos a modificar incluye "ESD-CPF2 SC: CPF-ESD-SC-07A" y "PSS-CPF2 SC: CPF-PSS-SC-07A". No se menciona explícitamente PSS-SC-007B.</w:t>
            </w:r>
          </w:p>
        </w:tc>
        <w:tc>
          <w:tcPr>
            <w:tcW w:type="dxa" w:w="1400"/>
            <w:tcMar>
              <w:top w:type="dxa" w:w="80"/>
              <w:left w:type="dxa" w:w="100"/>
              <w:bottom w:type="dxa" w:w="80"/>
              <w:right w:type="dxa" w:w="100"/>
            </w:tcMar>
            <w:vAlign w:val="center"/>
          </w:tcPr>
          <w:p>
            <w:pPr>
              <w:jc w:val="center"/>
            </w:pPr>
            <w:r>
              <w:rPr>
                <w:rFonts w:ascii="Calibri" w:cs="Calibri" w:eastAsia="Calibri" w:hAnsi="Calibri"/>
                <w:b/>
                <w:bCs/>
                <w:color w:val="B8860B"/>
                <w:sz w:val="19"/>
                <w:szCs w:val="19"/>
              </w:rPr>
              <w:t xml:space="preserve">Parcial</w:t>
            </w:r>
          </w:p>
        </w:tc>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§5.1.1</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Modificación de 17 tableros/gabinetes existentes en Planta CPF (ESD/PSS/USS SC y MC, más SC/MC-600-SSS-001)</w:t>
            </w:r>
          </w:p>
        </w:tc>
        <w:tc>
          <w:tcPr>
            <w:tcW w:type="dxa" w:w="43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Lista 13 de los 17: faltan CPF-ESD-SC-02A, CPF-ESD-MC-02A, CPF_PSS-SC-05A y CPF_PSS-MC-05A.</w:t>
            </w:r>
          </w:p>
        </w:tc>
        <w:tc>
          <w:tcPr>
            <w:tcW w:type="dxa" w:w="140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Falta</w:t>
            </w:r>
          </w:p>
        </w:tc>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§5.1.2</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Desarrollo de aplicación de software: lógicas de seguridad, mapas MODBUS, MOS by-pass, inhibiciones, integración de TAGs existentes</w:t>
            </w:r>
          </w:p>
        </w:tc>
        <w:tc>
          <w:tcPr>
            <w:tcW w:type="dxa" w:w="43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Cubierto en detalle: configuración de 63 tarjetas IO, ~875 señales nuevas, variables, Bloques de Función, modificación/eliminación de FB existentes, reestructuración de mapas MODBUS, verificación en SILworX.</w:t>
            </w:r>
          </w:p>
        </w:tc>
        <w:tc>
          <w:tcPr>
            <w:tcW w:type="dxa" w:w="1400"/>
            <w:tcMar>
              <w:top w:type="dxa" w:w="80"/>
              <w:left w:type="dxa" w:w="100"/>
              <w:bottom w:type="dxa" w:w="80"/>
              <w:right w:type="dxa" w:w="100"/>
            </w:tcMar>
            <w:vAlign w:val="center"/>
          </w:tcPr>
          <w:p>
            <w:pPr>
              <w:jc w:val="center"/>
            </w:pPr>
            <w:r>
              <w:rPr>
                <w:rFonts w:ascii="Calibri" w:cs="Calibri" w:eastAsia="Calibri" w:hAnsi="Calibri"/>
                <w:b/>
                <w:bCs/>
                <w:color w:val="1E7B34"/>
                <w:sz w:val="19"/>
                <w:szCs w:val="19"/>
              </w:rPr>
              <w:t xml:space="preserve">Cubierto</w:t>
            </w:r>
          </w:p>
        </w:tc>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§5.2</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Configuración de alarmas (parte del desarrollo de software)</w:t>
            </w:r>
          </w:p>
        </w:tc>
        <w:tc>
          <w:tcPr>
            <w:tcW w:type="dxa" w:w="43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Excluida explícitamente: "No se contempla la configuración de A&amp;E para las 875 señales nuevas (3.800 A&amp;E aprox.)"</w:t>
            </w:r>
          </w:p>
        </w:tc>
        <w:tc>
          <w:tcPr>
            <w:tcW w:type="dxa" w:w="140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Falta</w:t>
            </w:r>
          </w:p>
        </w:tc>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§5.2</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Ensayo FAT de hardware en fábrica: precalentamiento 48 hs sin fallas, maqueta con 2 controladores, simulación 100% de señales, informe firmado</w:t>
            </w:r>
          </w:p>
        </w:tc>
        <w:tc>
          <w:tcPr>
            <w:tcW w:type="dxa" w:w="43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"FAT &amp; IFAT" figura como Servicio en Campo (2 técnicos, 2 semanas), en instalaciones del cliente según Términos de Entrega. No se menciona el ensayo de precalentamiento de 48 hs.</w:t>
            </w:r>
          </w:p>
        </w:tc>
        <w:tc>
          <w:tcPr>
            <w:tcW w:type="dxa" w:w="1400"/>
            <w:tcMar>
              <w:top w:type="dxa" w:w="80"/>
              <w:left w:type="dxa" w:w="100"/>
              <w:bottom w:type="dxa" w:w="80"/>
              <w:right w:type="dxa" w:w="100"/>
            </w:tcMar>
            <w:vAlign w:val="center"/>
          </w:tcPr>
          <w:p>
            <w:pPr>
              <w:jc w:val="center"/>
            </w:pPr>
            <w:r>
              <w:rPr>
                <w:rFonts w:ascii="Calibri" w:cs="Calibri" w:eastAsia="Calibri" w:hAnsi="Calibri"/>
                <w:b/>
                <w:bCs/>
                <w:color w:val="B8860B"/>
                <w:sz w:val="19"/>
                <w:szCs w:val="19"/>
              </w:rPr>
              <w:t xml:space="preserve">A aclarar</w:t>
            </w:r>
          </w:p>
        </w:tc>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§6.1</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iFAT (integración HMI, 100% de señales comunicadas)</w:t>
            </w:r>
          </w:p>
        </w:tc>
        <w:tc>
          <w:tcPr>
            <w:tcW w:type="dxa" w:w="43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Incluida junto con FAT en el mismo bloque de "FAT &amp; IFAT", con pruebas funcionales y verificación de matriz en HIMA y SCADA.</w:t>
            </w:r>
          </w:p>
        </w:tc>
        <w:tc>
          <w:tcPr>
            <w:tcW w:type="dxa" w:w="1400"/>
            <w:tcMar>
              <w:top w:type="dxa" w:w="80"/>
              <w:left w:type="dxa" w:w="100"/>
              <w:bottom w:type="dxa" w:w="80"/>
              <w:right w:type="dxa" w:w="100"/>
            </w:tcMar>
            <w:vAlign w:val="center"/>
          </w:tcPr>
          <w:p>
            <w:pPr>
              <w:jc w:val="center"/>
            </w:pPr>
            <w:r>
              <w:rPr>
                <w:rFonts w:ascii="Calibri" w:cs="Calibri" w:eastAsia="Calibri" w:hAnsi="Calibri"/>
                <w:b/>
                <w:bCs/>
                <w:color w:val="1E7B34"/>
                <w:sz w:val="19"/>
                <w:szCs w:val="19"/>
              </w:rPr>
              <w:t xml:space="preserve">Cubierto</w:t>
            </w:r>
          </w:p>
        </w:tc>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§6.1</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SAT / Puesta en marcha en sitio</w:t>
            </w:r>
          </w:p>
        </w:tc>
        <w:tc>
          <w:tcPr>
            <w:tcW w:type="dxa" w:w="43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Bloque "SAT &amp; COMM" (2 técnicos, 3 semanas): SAT de tableros nuevos, comisionado de señales nuevas, pruebas funcionales, asistencia a puesta en marcha. Facturado por Time Sheets (precio referencial, no cerrado).</w:t>
            </w:r>
          </w:p>
        </w:tc>
        <w:tc>
          <w:tcPr>
            <w:tcW w:type="dxa" w:w="1400"/>
            <w:tcMar>
              <w:top w:type="dxa" w:w="80"/>
              <w:left w:type="dxa" w:w="100"/>
              <w:bottom w:type="dxa" w:w="80"/>
              <w:right w:type="dxa" w:w="100"/>
            </w:tcMar>
            <w:vAlign w:val="center"/>
          </w:tcPr>
          <w:p>
            <w:pPr>
              <w:jc w:val="center"/>
            </w:pPr>
            <w:r>
              <w:rPr>
                <w:rFonts w:ascii="Calibri" w:cs="Calibri" w:eastAsia="Calibri" w:hAnsi="Calibri"/>
                <w:b/>
                <w:bCs/>
                <w:color w:val="1E7B34"/>
                <w:sz w:val="19"/>
                <w:szCs w:val="19"/>
              </w:rPr>
              <w:t xml:space="preserve">Cubierto</w:t>
            </w:r>
          </w:p>
        </w:tc>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§6</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Cableado e interconexión de gabinetes de marshalling</w:t>
            </w:r>
          </w:p>
        </w:tc>
        <w:tc>
          <w:tcPr>
            <w:tcW w:type="dxa" w:w="43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Incluido, pero ejecutado por INAUCO (integrador local); HIMA solo brinda supervisión técnica y aseguramiento de calidad.</w:t>
            </w:r>
          </w:p>
        </w:tc>
        <w:tc>
          <w:tcPr>
            <w:tcW w:type="dxa" w:w="1400"/>
            <w:tcMar>
              <w:top w:type="dxa" w:w="80"/>
              <w:left w:type="dxa" w:w="100"/>
              <w:bottom w:type="dxa" w:w="80"/>
              <w:right w:type="dxa" w:w="100"/>
            </w:tcMar>
            <w:vAlign w:val="center"/>
          </w:tcPr>
          <w:p>
            <w:pPr>
              <w:jc w:val="center"/>
            </w:pPr>
            <w:r>
              <w:rPr>
                <w:rFonts w:ascii="Calibri" w:cs="Calibri" w:eastAsia="Calibri" w:hAnsi="Calibri"/>
                <w:b/>
                <w:bCs/>
                <w:color w:val="B8860B"/>
                <w:sz w:val="19"/>
                <w:szCs w:val="19"/>
              </w:rPr>
              <w:t xml:space="preserve">A aclarar</w:t>
            </w:r>
          </w:p>
        </w:tc>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§5</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Documentación de ingeniería de los gabinetes de marshalling NUEVOS (topográficos, diagramas de conexionado FGS/ESD-MC-007A, PSS-MC-007A/B)</w:t>
            </w:r>
          </w:p>
        </w:tc>
        <w:tc>
          <w:tcPr>
            <w:tcW w:type="dxa" w:w="43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Excluida explícitamente: "Esta cotización no contempla documentación de los gabinetes de Marshalling nuevos."</w:t>
            </w:r>
          </w:p>
        </w:tc>
        <w:tc>
          <w:tcPr>
            <w:tcW w:type="dxa" w:w="140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Falta</w:t>
            </w:r>
          </w:p>
        </w:tc>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§7.3</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Documentación general: listado de documentos, cronograma, procedimientos FAT/IFAT y SAT/COMM (2 rev. c/u), memoria de cálculo eléctrico/térmico</w:t>
            </w:r>
          </w:p>
        </w:tc>
        <w:tc>
          <w:tcPr>
            <w:tcW w:type="dxa" w:w="43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Cubierto: Project Management con seguimiento de cronograma; creación de Schedule y Document List; Procedimientos FAT/IFAT y SAT/COMM (2 revisiones); cálculo de 8 gabinetes existentes modificados y actualización de Heat &amp; Power / MTTF-MTBF.</w:t>
            </w:r>
          </w:p>
        </w:tc>
        <w:tc>
          <w:tcPr>
            <w:tcW w:type="dxa" w:w="1400"/>
            <w:tcMar>
              <w:top w:type="dxa" w:w="80"/>
              <w:left w:type="dxa" w:w="100"/>
              <w:bottom w:type="dxa" w:w="80"/>
              <w:right w:type="dxa" w:w="100"/>
            </w:tcMar>
            <w:vAlign w:val="center"/>
          </w:tcPr>
          <w:p>
            <w:pPr>
              <w:jc w:val="center"/>
            </w:pPr>
            <w:r>
              <w:rPr>
                <w:rFonts w:ascii="Calibri" w:cs="Calibri" w:eastAsia="Calibri" w:hAnsi="Calibri"/>
                <w:b/>
                <w:bCs/>
                <w:color w:val="1E7B34"/>
                <w:sz w:val="19"/>
                <w:szCs w:val="19"/>
              </w:rPr>
              <w:t xml:space="preserve">Cubierto</w:t>
            </w:r>
          </w:p>
        </w:tc>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§7</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Repuestos para puesta en marcha y 2 años de operación</w:t>
            </w:r>
          </w:p>
        </w:tc>
        <w:tc>
          <w:tcPr>
            <w:tcW w:type="dxa" w:w="43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No mencionado en ningún punto del alcance de la oferta.</w:t>
            </w:r>
          </w:p>
        </w:tc>
        <w:tc>
          <w:tcPr>
            <w:tcW w:type="dxa" w:w="140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Falta</w:t>
            </w:r>
          </w:p>
        </w:tc>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§8</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Ampliación de PSS (contingente, zona sur / sala remota 6)</w:t>
            </w:r>
          </w:p>
        </w:tc>
        <w:tc>
          <w:tcPr>
            <w:tcW w:type="dxa" w:w="43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No mencionado ni excluido explícitamente en la oferta.</w:t>
            </w:r>
          </w:p>
        </w:tc>
        <w:tc>
          <w:tcPr>
            <w:tcW w:type="dxa" w:w="1400"/>
            <w:tcMar>
              <w:top w:type="dxa" w:w="80"/>
              <w:left w:type="dxa" w:w="100"/>
              <w:bottom w:type="dxa" w:w="80"/>
              <w:right w:type="dxa" w:w="100"/>
            </w:tcMar>
            <w:vAlign w:val="center"/>
          </w:tcPr>
          <w:p>
            <w:pPr>
              <w:jc w:val="center"/>
            </w:pPr>
            <w:r>
              <w:rPr>
                <w:rFonts w:ascii="Calibri" w:cs="Calibri" w:eastAsia="Calibri" w:hAnsi="Calibri"/>
                <w:b/>
                <w:bCs/>
                <w:color w:val="B8860B"/>
                <w:sz w:val="19"/>
                <w:szCs w:val="19"/>
              </w:rPr>
              <w:t xml:space="preserve">A aclarar</w:t>
            </w:r>
          </w:p>
        </w:tc>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§2.1</w:t>
            </w:r>
          </w:p>
        </w:tc>
      </w:tr>
    </w:tbl>
    <w:p>
      <w:pPr>
        <w:pStyle w:val="Heading2"/>
        <w:spacing w:after="140" w:before="280"/>
      </w:pPr>
      <w:r>
        <w:rPr>
          <w:rFonts w:ascii="Calibri" w:cs="Calibri" w:eastAsia="Calibri" w:hAnsi="Calibri"/>
          <w:b/>
          <w:bCs/>
          <w:color w:val="1F3864"/>
        </w:rPr>
        <w:t xml:space="preserve">4. Hallazgos críticos</w:t>
      </w:r>
    </w:p>
    <w:p>
      <w:pPr>
        <w:spacing w:after="120"/>
      </w:pPr>
      <w:r>
        <w:rPr>
          <w:rFonts w:ascii="Calibri" w:cs="Calibri" w:eastAsia="Calibri" w:hAnsi="Calibri"/>
          <w:b/>
          <w:bCs/>
          <w:color w:val="C00000"/>
        </w:rPr>
        <w:t xml:space="preserve">1. La oferta es exclusivamente de servicios - no incluye hardware.</w:t>
      </w:r>
    </w:p>
    <w:p>
      <w:pPr>
        <w:pStyle w:val="ListParagraph"/>
        <w:numPr>
          <w:ilvl w:val="0"/>
          <w:numId w:val="1"/>
        </w:numPr>
        <w:spacing w:after="80"/>
      </w:pPr>
      <w:r>
        <w:rPr>
          <w:rFonts w:ascii="Calibri" w:cs="Calibri" w:eastAsia="Calibri" w:hAnsi="Calibri"/>
        </w:rPr>
        <w:t xml:space="preserve">El propio título del documento es "Cotización Presupuestal - Servicios CPF2" y su Alcance de Suministro (pág. 10) solo factura 3 partidas de servicio. La Sección 4 completa de la ET (gabinetes, terminales, FTA, cables de sistema, relés, embalaje) no tiene ninguna línea de precio asociada. Debe confirmarse con HIMA si el suministro físico de los gabinetes de marshalling nuevos se cotiza en un documento aparte, o si se asume que lo provee un tercero (posiblemente AESA/INAUCO).</w:t>
      </w:r>
    </w:p>
    <w:p>
      <w:pPr>
        <w:spacing w:after="120"/>
      </w:pPr>
      <w:r>
        <w:rPr>
          <w:rFonts w:ascii="Calibri" w:cs="Calibri" w:eastAsia="Calibri" w:hAnsi="Calibri"/>
          <w:b/>
          <w:bCs/>
          <w:color w:val="C00000"/>
        </w:rPr>
        <w:t xml:space="preserve">2. Dos exclusiones explícitas en la propia oferta contradicen la ET.</w:t>
      </w:r>
    </w:p>
    <w:p>
      <w:pPr>
        <w:pStyle w:val="ListParagraph"/>
        <w:numPr>
          <w:ilvl w:val="0"/>
          <w:numId w:val="1"/>
        </w:numPr>
        <w:spacing w:after="80"/>
      </w:pPr>
      <w:r>
        <w:rPr>
          <w:rFonts w:ascii="Calibri" w:cs="Calibri" w:eastAsia="Calibri" w:hAnsi="Calibri"/>
        </w:rPr>
        <w:t xml:space="preserve">"Esta cotización no contempla documentación de los gabinetes de Marshalling nuevos" - la ET exige topográficos y diagramas de conexionado de FGS/ESD-MC-007A, PSS-MC-007A y PSS-MC-007B (§7.3).</w:t>
      </w:r>
    </w:p>
    <w:p>
      <w:pPr>
        <w:pStyle w:val="ListParagraph"/>
        <w:numPr>
          <w:ilvl w:val="0"/>
          <w:numId w:val="1"/>
        </w:numPr>
        <w:spacing w:after="80"/>
      </w:pPr>
      <w:r>
        <w:rPr>
          <w:rFonts w:ascii="Calibri" w:cs="Calibri" w:eastAsia="Calibri" w:hAnsi="Calibri"/>
        </w:rPr>
        <w:t xml:space="preserve">"No se contempla la configuración de A&amp;E para las 875 señales nuevas (3.800 A&amp;E aprox.)" - la ET exige expresamente la configuración de alarmas dentro del desarrollo de software (§5.2).</w:t>
      </w:r>
    </w:p>
    <w:p>
      <w:pPr>
        <w:spacing w:after="120"/>
      </w:pPr>
      <w:r>
        <w:rPr>
          <w:rFonts w:ascii="Calibri" w:cs="Calibri" w:eastAsia="Calibri" w:hAnsi="Calibri"/>
          <w:b/>
          <w:bCs/>
          <w:color w:val="C00000"/>
        </w:rPr>
        <w:t xml:space="preserve">3. Faltan 4 tableros existentes en el listado de documentación a modificar.</w:t>
      </w:r>
    </w:p>
    <w:p>
      <w:pPr>
        <w:pStyle w:val="ListParagraph"/>
        <w:numPr>
          <w:ilvl w:val="0"/>
          <w:numId w:val="1"/>
        </w:numPr>
        <w:spacing w:after="80"/>
      </w:pPr>
      <w:r>
        <w:rPr>
          <w:rFonts w:ascii="Calibri" w:cs="Calibri" w:eastAsia="Calibri" w:hAnsi="Calibri"/>
        </w:rPr>
        <w:t xml:space="preserve">CPF-ESD-SC-02A, CPF-ESD-MC-02A, CPF_PSS-SC-05A y CPF_PSS-MC-05A están en el alcance de la ET (§5.1.2, 17 tableros) pero no figuran en el listado de documentos de la oferta (15 ítems, de los cuales 2 corresponden a los tableros nuevos de CPF2).</w:t>
      </w:r>
    </w:p>
    <w:p>
      <w:pPr>
        <w:spacing w:after="120"/>
      </w:pPr>
      <w:r>
        <w:rPr>
          <w:rFonts w:ascii="Calibri" w:cs="Calibri" w:eastAsia="Calibri" w:hAnsi="Calibri"/>
          <w:b/>
          <w:bCs/>
          <w:color w:val="C00000"/>
        </w:rPr>
        <w:t xml:space="preserve">4. Repuestos no contemplados.</w:t>
      </w:r>
    </w:p>
    <w:p>
      <w:pPr>
        <w:pStyle w:val="ListParagraph"/>
        <w:numPr>
          <w:ilvl w:val="0"/>
          <w:numId w:val="1"/>
        </w:numPr>
        <w:spacing w:after="80"/>
      </w:pPr>
      <w:r>
        <w:rPr>
          <w:rFonts w:ascii="Calibri" w:cs="Calibri" w:eastAsia="Calibri" w:hAnsi="Calibri"/>
        </w:rPr>
        <w:t xml:space="preserve">La ET exige prever repuestos para la puesta en marcha y para dos años de operación (§8); no aparece en ningún punto del alcance de la oferta.</w:t>
      </w:r>
    </w:p>
    <w:p>
      <w:pPr>
        <w:spacing w:after="120"/>
      </w:pPr>
      <w:r>
        <w:rPr>
          <w:rFonts w:ascii="Calibri" w:cs="Calibri" w:eastAsia="Calibri" w:hAnsi="Calibri"/>
          <w:b/>
          <w:bCs/>
          <w:color w:val="B8860B"/>
        </w:rPr>
        <w:t xml:space="preserve">5. Ubicación y alcance del FAT de hardware sin confirmar.</w:t>
      </w:r>
    </w:p>
    <w:p>
      <w:pPr>
        <w:pStyle w:val="ListParagraph"/>
        <w:numPr>
          <w:ilvl w:val="0"/>
          <w:numId w:val="1"/>
        </w:numPr>
        <w:spacing w:after="80"/>
      </w:pPr>
      <w:r>
        <w:rPr>
          <w:rFonts w:ascii="Calibri" w:cs="Calibri" w:eastAsia="Calibri" w:hAnsi="Calibri"/>
        </w:rPr>
        <w:t xml:space="preserve">La ET pide un FAT de Hardware en fábrica (3 días, cliente viaja a presenciarlo) precedido de un ensayo de precalentamiento de 48 horas sin fallas. La oferta clasifica "FAT &amp; IFAT" como Servicio en Campo prestado "en las instalaciones del cliente" (según Términos de Entrega) y no menciona el ensayo de 48 horas.</w:t>
      </w:r>
    </w:p>
    <w:p>
      <w:pPr>
        <w:spacing w:after="120"/>
      </w:pPr>
      <w:r>
        <w:rPr>
          <w:rFonts w:ascii="Calibri" w:cs="Calibri" w:eastAsia="Calibri" w:hAnsi="Calibri"/>
          <w:b/>
          <w:bCs/>
          <w:color w:val="B8860B"/>
        </w:rPr>
        <w:t xml:space="preserve">6. El cableado de los gabinetes de marshalling lo ejecuta un tercero (INAUCO), no HIMA.</w:t>
      </w:r>
    </w:p>
    <w:p>
      <w:pPr>
        <w:pStyle w:val="ListParagraph"/>
        <w:numPr>
          <w:ilvl w:val="0"/>
          <w:numId w:val="1"/>
        </w:numPr>
        <w:spacing w:after="80"/>
      </w:pPr>
      <w:r>
        <w:rPr>
          <w:rFonts w:ascii="Calibri" w:cs="Calibri" w:eastAsia="Calibri" w:hAnsi="Calibri"/>
        </w:rPr>
        <w:t xml:space="preserve">HIMA aclara que "dichas actividades serán realizadas por INAUCO, en calidad de integrador local" y que HIMA solo brinda supervisión técnica y aseguramiento de calidad. Conviene validar el esquema contractual: si INAUCO factura esa partida a AESA por separado o si queda dentro del mismo contrato con HIMA.</w:t>
      </w:r>
    </w:p>
    <w:p>
      <w:pPr>
        <w:pStyle w:val="Heading2"/>
        <w:spacing w:after="140" w:before="280"/>
      </w:pPr>
      <w:r>
        <w:rPr>
          <w:rFonts w:ascii="Calibri" w:cs="Calibri" w:eastAsia="Calibri" w:hAnsi="Calibri"/>
          <w:b/>
          <w:bCs/>
          <w:color w:val="1F3864"/>
        </w:rPr>
        <w:t xml:space="preserve">5. Puntos a aclarar con HIMA antes de avanzar a Oferta Firme</w:t>
      </w:r>
    </w:p>
    <w:p>
      <w:pPr>
        <w:pStyle w:val="ListParagraph"/>
        <w:numPr>
          <w:ilvl w:val="0"/>
          <w:numId w:val="1"/>
        </w:numPr>
        <w:spacing w:after="80"/>
      </w:pPr>
      <w:r>
        <w:rPr>
          <w:rFonts w:ascii="Calibri" w:cs="Calibri" w:eastAsia="Calibri" w:hAnsi="Calibri"/>
        </w:rPr>
        <w:t xml:space="preserve">Confirmar si el suministro de hardware (gabinetes, BOM de marshalling, embalaje) está cotizado en un documento separado o debe solicitarse como adenda a esta oferta.</w:t>
      </w:r>
    </w:p>
    <w:p>
      <w:pPr>
        <w:pStyle w:val="ListParagraph"/>
        <w:numPr>
          <w:ilvl w:val="0"/>
          <w:numId w:val="1"/>
        </w:numPr>
        <w:spacing w:after="80"/>
      </w:pPr>
      <w:r>
        <w:rPr>
          <w:rFonts w:ascii="Calibri" w:cs="Calibri" w:eastAsia="Calibri" w:hAnsi="Calibri"/>
        </w:rPr>
        <w:t xml:space="preserve">Solicitar la incorporación explícita de la documentación de ingeniería de los gabinetes de marshalling nuevos y de la configuración de Alarmas y Eventos (A&amp;E), o su cotización como ítems adicionales.</w:t>
      </w:r>
    </w:p>
    <w:p>
      <w:pPr>
        <w:pStyle w:val="ListParagraph"/>
        <w:numPr>
          <w:ilvl w:val="0"/>
          <w:numId w:val="1"/>
        </w:numPr>
        <w:spacing w:after="80"/>
      </w:pPr>
      <w:r>
        <w:rPr>
          <w:rFonts w:ascii="Calibri" w:cs="Calibri" w:eastAsia="Calibri" w:hAnsi="Calibri"/>
        </w:rPr>
        <w:t xml:space="preserve">Verificar la modificación de documentación de los 4 tableros faltantes (SC-02A, MC-02A, PSS-SC-05A, PSS-MC-05A) y de PSS-SC-007B.</w:t>
      </w:r>
    </w:p>
    <w:p>
      <w:pPr>
        <w:pStyle w:val="ListParagraph"/>
        <w:numPr>
          <w:ilvl w:val="0"/>
          <w:numId w:val="1"/>
        </w:numPr>
        <w:spacing w:after="80"/>
      </w:pPr>
      <w:r>
        <w:rPr>
          <w:rFonts w:ascii="Calibri" w:cs="Calibri" w:eastAsia="Calibri" w:hAnsi="Calibri"/>
        </w:rPr>
        <w:t xml:space="preserve">Aclarar si el FAT de hardware se realiza en la fábrica del proveedor (con viaje del cliente) o en sitio del cliente, y si incluye el ensayo de precalentamiento de 48 horas exigido por la ET.</w:t>
      </w:r>
    </w:p>
    <w:p>
      <w:pPr>
        <w:pStyle w:val="ListParagraph"/>
        <w:numPr>
          <w:ilvl w:val="0"/>
          <w:numId w:val="1"/>
        </w:numPr>
        <w:spacing w:after="80"/>
      </w:pPr>
      <w:r>
        <w:rPr>
          <w:rFonts w:ascii="Calibri" w:cs="Calibri" w:eastAsia="Calibri" w:hAnsi="Calibri"/>
        </w:rPr>
        <w:t xml:space="preserve">Confirmar el esquema de repuestos para puesta en marcha y para 2 años de operación.</w:t>
      </w:r>
    </w:p>
    <w:p>
      <w:pPr>
        <w:pStyle w:val="ListParagraph"/>
        <w:numPr>
          <w:ilvl w:val="0"/>
          <w:numId w:val="1"/>
        </w:numPr>
        <w:spacing w:after="80"/>
      </w:pPr>
      <w:r>
        <w:rPr>
          <w:rFonts w:ascii="Calibri" w:cs="Calibri" w:eastAsia="Calibri" w:hAnsi="Calibri"/>
        </w:rPr>
        <w:t xml:space="preserve">Confirmar si la "Ampliación de PSS" contingente (zona sur / sala remota 6) queda dentro o fuera del alcance cotizado.</w:t>
      </w:r>
    </w:p>
    <w:p>
      <w:pPr>
        <w:pStyle w:val="ListParagraph"/>
        <w:numPr>
          <w:ilvl w:val="0"/>
          <w:numId w:val="1"/>
        </w:numPr>
        <w:spacing w:after="80"/>
      </w:pPr>
      <w:r>
        <w:rPr>
          <w:rFonts w:ascii="Calibri" w:cs="Calibri" w:eastAsia="Calibri" w:hAnsi="Calibri"/>
        </w:rPr>
        <w:t xml:space="preserve">Precisar el rol contractual de INAUCO en el cableado de los gabinetes de marshalling.</w:t>
      </w:r>
    </w:p>
    <w:p>
      <w:pPr>
        <w:pStyle w:val="ListParagraph"/>
        <w:numPr>
          <w:ilvl w:val="0"/>
          <w:numId w:val="1"/>
        </w:numPr>
        <w:spacing w:after="80"/>
      </w:pPr>
      <w:r>
        <w:rPr>
          <w:rFonts w:ascii="Calibri" w:cs="Calibri" w:eastAsia="Calibri" w:hAnsi="Calibri"/>
        </w:rPr>
        <w:t xml:space="preserve">Validar la cantidad final de señales nuevas: la tabla de la ET totaliza 867 señales (ESD-007: 178 + PSS-007: 689), mientras la oferta refiere 875 - confirmar que ambas partes trabajan con la misma revisión del listado de señales ACAL-00102-LS-K-0001.</w:t>
      </w:r>
    </w:p>
    <w:p>
      <w:pPr>
        <w:pStyle w:val="Heading2"/>
        <w:spacing w:after="140" w:before="280"/>
      </w:pPr>
      <w:r>
        <w:rPr>
          <w:rFonts w:ascii="Calibri" w:cs="Calibri" w:eastAsia="Calibri" w:hAnsi="Calibri"/>
          <w:b/>
          <w:bCs/>
          <w:color w:val="1F3864"/>
        </w:rPr>
        <w:t xml:space="preserve">6. Aspectos comerciales relevantes</w:t>
      </w:r>
    </w:p>
    <w:p>
      <w:pPr>
        <w:pStyle w:val="ListParagraph"/>
        <w:numPr>
          <w:ilvl w:val="0"/>
          <w:numId w:val="1"/>
        </w:numPr>
        <w:spacing w:after="80"/>
      </w:pPr>
      <w:r>
        <w:rPr>
          <w:rFonts w:ascii="Calibri" w:cs="Calibri" w:eastAsia="Calibri" w:hAnsi="Calibri"/>
        </w:rPr>
        <w:t xml:space="preserve">Es una Cotización Presupuestal (no vinculante); para contratar se requiere solicitar una Oferta Firme con precios y condiciones cerradas.</w:t>
      </w:r>
    </w:p>
    <w:p>
      <w:pPr>
        <w:pStyle w:val="ListParagraph"/>
        <w:numPr>
          <w:ilvl w:val="0"/>
          <w:numId w:val="1"/>
        </w:numPr>
        <w:spacing w:after="80"/>
      </w:pPr>
      <w:r>
        <w:rPr>
          <w:rFonts w:ascii="Calibri" w:cs="Calibri" w:eastAsia="Calibri" w:hAnsi="Calibri"/>
        </w:rPr>
        <w:t xml:space="preserve">Monto total: 663.542.359,29 ARS neto (Marshalling/Doc./Program./FAT: 365,5M; SAT&amp;COMM: 206,8M; Cableado: 91,2M), sujeto a escalación anual por IPC.</w:t>
      </w:r>
    </w:p>
    <w:p>
      <w:pPr>
        <w:pStyle w:val="ListParagraph"/>
        <w:numPr>
          <w:ilvl w:val="0"/>
          <w:numId w:val="1"/>
        </w:numPr>
        <w:spacing w:after="80"/>
      </w:pPr>
      <w:r>
        <w:rPr>
          <w:rFonts w:ascii="Calibri" w:cs="Calibri" w:eastAsia="Calibri" w:hAnsi="Calibri"/>
        </w:rPr>
        <w:t xml:space="preserve">SAT &amp; COMM se factura según Time Sheets - el monto informado es referencial, no un precio cerrado (riesgo de desvío de costo).</w:t>
      </w:r>
    </w:p>
    <w:p>
      <w:pPr>
        <w:pStyle w:val="ListParagraph"/>
        <w:numPr>
          <w:ilvl w:val="0"/>
          <w:numId w:val="1"/>
        </w:numPr>
        <w:spacing w:after="80"/>
      </w:pPr>
      <w:r>
        <w:rPr>
          <w:rFonts w:ascii="Calibri" w:cs="Calibri" w:eastAsia="Calibri" w:hAnsi="Calibri"/>
        </w:rPr>
        <w:t xml:space="preserve">Gastos de movilización (pasajes, hotel, comidas, transporte) no incluidos: se cobran a costo + 10% de fee administrativo.</w:t>
      </w:r>
    </w:p>
    <w:p>
      <w:pPr>
        <w:pStyle w:val="ListParagraph"/>
        <w:numPr>
          <w:ilvl w:val="0"/>
          <w:numId w:val="1"/>
        </w:numPr>
        <w:spacing w:after="80"/>
      </w:pPr>
      <w:r>
        <w:rPr>
          <w:rFonts w:ascii="Calibri" w:cs="Calibri" w:eastAsia="Calibri" w:hAnsi="Calibri"/>
        </w:rPr>
        <w:t xml:space="preserve">El alquiler de módulos HIMax para las pruebas IFAT no está incluido; HIMA indica que está en revisión para la Oferta Firme.</w:t>
      </w:r>
    </w:p>
    <w:p>
      <w:pPr>
        <w:pStyle w:val="ListParagraph"/>
        <w:numPr>
          <w:ilvl w:val="0"/>
          <w:numId w:val="1"/>
        </w:numPr>
        <w:spacing w:after="80"/>
      </w:pPr>
      <w:r>
        <w:rPr>
          <w:rFonts w:ascii="Calibri" w:cs="Calibri" w:eastAsia="Calibri" w:hAnsi="Calibri"/>
        </w:rPr>
        <w:t xml:space="preserve">Responsabilidad total de HIMA limitada a 1.000.000 EUR.</w:t>
      </w:r>
    </w:p>
    <w:p>
      <w:pPr>
        <w:pStyle w:val="Heading2"/>
        <w:spacing w:after="140" w:before="280"/>
      </w:pPr>
      <w:r>
        <w:rPr>
          <w:rFonts w:ascii="Calibri" w:cs="Calibri" w:eastAsia="Calibri" w:hAnsi="Calibri"/>
          <w:b/>
          <w:bCs/>
          <w:color w:val="1F3864"/>
        </w:rPr>
        <w:t xml:space="preserve">7. Conclusión</w:t>
      </w:r>
    </w:p>
    <w:p>
      <w:pPr>
        <w:spacing w:after="120"/>
      </w:pPr>
      <w:r>
        <w:rPr>
          <w:rFonts w:ascii="Calibri" w:cs="Calibri" w:eastAsia="Calibri" w:hAnsi="Calibri"/>
        </w:rPr>
        <w:t xml:space="preserve">La oferta de HIMA cubre de forma sólida el desarrollo de software/programación, el FAT e iFAT funcional, el SAT y la puesta en marcha, y la documentación general de gestión del proyecto. Sin embargo, tal como está redactada, NO representa la totalidad del alcance de la Especificación Técnica: excluye explícitamente la provisión de hardware, la documentación de los gabinetes de marshalling nuevos y la configuración de alarmas, y deja sin cubrir 4 tableros existentes y los repuestos de puesta en marcha/operación. Se recomienda trasladar los puntos de la Sección 5 a HIMA antes de tramitar la Oferta Firme, para evitar quedar con alcance no contratado una vez adjudicado el servicio.</w:t>
      </w:r>
    </w:p>
    <w:p>
      <w:pPr>
        <w:pBdr>
          <w:top w:val="single" w:color="AAAAAA" w:sz="6" w:space="4"/>
        </w:pBdr>
        <w:spacing w:before="300"/>
      </w:pPr>
      <w:r>
        <w:rPr>
          <w:rFonts w:ascii="Calibri" w:cs="Calibri" w:eastAsia="Calibri" w:hAnsi="Calibri"/>
          <w:i/>
          <w:iCs/>
          <w:color w:val="777777"/>
          <w:sz w:val="16"/>
          <w:szCs w:val="16"/>
        </w:rPr>
        <w:t xml:space="preserve">Documento generado automáticamente a partir de ACAL-00102-ET-K-0002 Rev.1 y Cotización 1123352 (HIMA), cargados en HIMA_proyecto/4_Documentos. Requiere revisión y validación por un ingeniero del proyecto antes de su uso formal.</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2026-08-05T23:39:29.493Z</dcterms:created>
  <dcterms:modified xsi:type="dcterms:W3CDTF">2026-08-05T23:39:29.494Z</dcterms:modified>
</cp:coreProperties>
</file>

<file path=docProps/custom.xml><?xml version="1.0" encoding="utf-8"?>
<Properties xmlns="http://schemas.openxmlformats.org/officeDocument/2006/custom-properties" xmlns:vt="http://schemas.openxmlformats.org/officeDocument/2006/docPropsVTypes"/>
</file>