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EAF3F8"/>
            <w:tcBorders>
              <w:top w:val="single" w:sz="6" w:color="B9D2E3"/>
              <w:left w:val="single" w:sz="6" w:color="B9D2E3"/>
              <w:bottom w:val="single" w:sz="6" w:color="B9D2E3"/>
              <w:right w:val="single" w:sz="6" w:color="B9D2E3"/>
            </w:tcBorders>
            <w:tcMar>
              <w:top w:w="130" w:type="dxa"/>
              <w:start w:w="180" w:type="dxa"/>
              <w:bottom w:w="120" w:type="dxa"/>
              <w:end w:w="18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i w:val="0"/>
                <w:color w:val="183F60"/>
                <w:sz w:val="40"/>
              </w:rPr>
              <w:t>Daffa Ghiffary Kusuma, S.Psi.</w:t>
            </w:r>
          </w:p>
          <w:p>
            <w:pPr>
              <w:spacing w:after="40"/>
              <w:jc w:val="center"/>
            </w:pPr>
            <w:r>
              <w:rPr>
                <w:rFonts w:ascii="Aptos" w:hAnsi="Aptos" w:eastAsia="Aptos"/>
                <w:b/>
                <w:i w:val="0"/>
                <w:color w:val="232323"/>
                <w:sz w:val="21"/>
              </w:rPr>
              <w:t>Learning Designer &amp; Learning Program Manager</w:t>
            </w:r>
          </w:p>
          <w:p>
            <w:pPr>
              <w:jc w:val="center"/>
            </w:pPr>
            <w:r>
              <w:rPr>
                <w:rFonts w:ascii="Aptos" w:hAnsi="Aptos" w:eastAsia="Aptos"/>
                <w:b w:val="0"/>
                <w:i w:val="0"/>
                <w:color w:val="565F69"/>
                <w:sz w:val="17"/>
              </w:rPr>
              <w:t>Jakarta, Indonesia</w:t>
            </w:r>
            <w:r>
              <w:rPr>
                <w:rFonts w:ascii="Aptos" w:hAnsi="Aptos" w:eastAsia="Aptos"/>
                <w:b w:val="0"/>
                <w:i w:val="0"/>
                <w:color w:val="565F69"/>
                <w:sz w:val="17"/>
              </w:rPr>
              <w:t xml:space="preserve">  |  </w:t>
            </w:r>
            <w:hyperlink r:id="rId9">
              <w:r>
                <w:rPr>
                  <w:color w:val="183F60"/>
                  <w:u w:val="single"/>
                </w:rPr>
                <w:t>+62 8953 2947 3179</w:t>
              </w:r>
            </w:hyperlink>
            <w:r>
              <w:rPr>
                <w:rFonts w:ascii="Aptos" w:hAnsi="Aptos" w:eastAsia="Aptos"/>
                <w:b w:val="0"/>
                <w:i w:val="0"/>
                <w:color w:val="565F69"/>
                <w:sz w:val="17"/>
              </w:rPr>
              <w:t xml:space="preserve">  |  </w:t>
            </w:r>
            <w:hyperlink r:id="rId10">
              <w:r>
                <w:rPr>
                  <w:color w:val="183F60"/>
                  <w:u w:val="single"/>
                </w:rPr>
                <w:t>Email</w:t>
              </w:r>
            </w:hyperlink>
            <w:r>
              <w:rPr>
                <w:rFonts w:ascii="Aptos" w:hAnsi="Aptos" w:eastAsia="Aptos"/>
                <w:b w:val="0"/>
                <w:i w:val="0"/>
                <w:color w:val="565F69"/>
                <w:sz w:val="17"/>
              </w:rPr>
              <w:t xml:space="preserve">  |  </w:t>
            </w:r>
            <w:hyperlink r:id="rId11">
              <w:r>
                <w:rPr>
                  <w:color w:val="183F60"/>
                  <w:u w:val="single"/>
                </w:rPr>
                <w:t>LinkedIn</w:t>
              </w:r>
            </w:hyperlink>
            <w:r>
              <w:rPr>
                <w:rFonts w:ascii="Aptos" w:hAnsi="Aptos" w:eastAsia="Aptos"/>
                <w:b w:val="0"/>
                <w:i w:val="0"/>
                <w:color w:val="565F69"/>
                <w:sz w:val="17"/>
              </w:rPr>
              <w:t xml:space="preserve">  |  </w:t>
            </w:r>
            <w:hyperlink r:id="rId12">
              <w:r>
                <w:rPr>
                  <w:color w:val="183F60"/>
                  <w:u w:val="single"/>
                </w:rPr>
                <w:t>Portfolio</w:t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FFFFF"/>
            <w:tcBorders>
              <w:top w:val="single" w:sz="4" w:color="DCE8EF"/>
              <w:left w:val="single" w:sz="4" w:color="DCE8EF"/>
              <w:bottom w:val="single" w:sz="4" w:color="DCE8EF"/>
              <w:right w:val="single" w:sz="4" w:color="DCE8EF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007377"/>
                <w:sz w:val="19"/>
              </w:rPr>
              <w:t xml:space="preserve">Profile: </w:t>
            </w:r>
            <w:r>
              <w:rPr>
                <w:rFonts w:ascii="Aptos" w:hAnsi="Aptos" w:eastAsia="Aptos"/>
                <w:b w:val="0"/>
                <w:i w:val="0"/>
                <w:color w:val="232323"/>
                <w:sz w:val="18"/>
              </w:rPr>
              <w:t>End-to-end learning designer and program manager across TNA, competency mapping, curriculum, facilitator-ready assets, operations, evaluation, dashboards, and client reporting. Portfolio includes 76 learning and program artifacts across communication, MSME entrepreneurship, employability, mentoring, wellbeing, maritime communication, assessment, and learning analytics.</w:t>
            </w:r>
          </w:p>
        </w:tc>
      </w:tr>
    </w:tbl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FIT 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AF7F6"/>
            <w:tcBorders>
              <w:top w:val="single" w:sz="4" w:color="D8E8EA"/>
              <w:left w:val="single" w:sz="4" w:color="D8E8EA"/>
              <w:bottom w:val="single" w:sz="4" w:color="D8E8EA"/>
              <w:right w:val="single" w:sz="4" w:color="D8E8EA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007377"/>
                <w:sz w:val="28"/>
              </w:rPr>
              <w:t>76</w:t>
            </w:r>
          </w:p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Portfolio artifacts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65F69"/>
                <w:sz w:val="14"/>
              </w:rPr>
              <w:t>Learning design, evaluation, analytics, mentoring</w:t>
            </w:r>
          </w:p>
        </w:tc>
        <w:tc>
          <w:tcPr>
            <w:tcW w:type="dxa" w:w="2642"/>
            <w:shd w:fill="F6F8FA"/>
            <w:tcBorders>
              <w:top w:val="single" w:sz="4" w:color="D8E8EA"/>
              <w:left w:val="single" w:sz="4" w:color="D8E8EA"/>
              <w:bottom w:val="single" w:sz="4" w:color="D8E8EA"/>
              <w:right w:val="single" w:sz="4" w:color="D8E8EA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007377"/>
                <w:sz w:val="28"/>
              </w:rPr>
              <w:t>5,000+</w:t>
            </w:r>
          </w:p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Learner dataset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65F69"/>
                <w:sz w:val="14"/>
              </w:rPr>
              <w:t>M&amp;E analysis across students and partners</w:t>
            </w:r>
          </w:p>
        </w:tc>
        <w:tc>
          <w:tcPr>
            <w:tcW w:type="dxa" w:w="2642"/>
            <w:shd w:fill="EAF7F6"/>
            <w:tcBorders>
              <w:top w:val="single" w:sz="4" w:color="D8E8EA"/>
              <w:left w:val="single" w:sz="4" w:color="D8E8EA"/>
              <w:bottom w:val="single" w:sz="4" w:color="D8E8EA"/>
              <w:right w:val="single" w:sz="4" w:color="D8E8EA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007377"/>
                <w:sz w:val="28"/>
              </w:rPr>
              <w:t>100%</w:t>
            </w:r>
          </w:p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NPS examples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65F69"/>
                <w:sz w:val="14"/>
              </w:rPr>
              <w:t>NHI bootcamps and MSME learning programs</w:t>
            </w:r>
          </w:p>
        </w:tc>
        <w:tc>
          <w:tcPr>
            <w:tcW w:type="dxa" w:w="2642"/>
            <w:shd w:fill="F6F8FA"/>
            <w:tcBorders>
              <w:top w:val="single" w:sz="4" w:color="D8E8EA"/>
              <w:left w:val="single" w:sz="4" w:color="D8E8EA"/>
              <w:bottom w:val="single" w:sz="4" w:color="D8E8EA"/>
              <w:right w:val="single" w:sz="4" w:color="D8E8EA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007377"/>
                <w:sz w:val="28"/>
              </w:rPr>
              <w:t>Full cycle</w:t>
            </w:r>
          </w:p>
          <w:p>
            <w:pPr>
              <w:spacing w:after="20"/>
              <w:jc w:val="center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TNA to reporting</w:t>
            </w:r>
          </w:p>
          <w:p>
            <w:pPr>
              <w:spacing w:after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65F69"/>
                <w:sz w:val="14"/>
              </w:rPr>
              <w:t>Needs analysis, design, delivery, evaluation</w:t>
            </w:r>
          </w:p>
        </w:tc>
      </w:tr>
    </w:tbl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CORE CAPABILITIES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Learning Architecture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TNA, competency maps, curricula, 36-hour lesson plans, syllabi, OJT practice.</w:t>
            </w:r>
          </w:p>
        </w:tc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Facilitator-Ready Assets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Decks, worksheets, role plays, reflection prompts, rubrics, templates, quizzes.</w:t>
            </w:r>
          </w:p>
        </w:tc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Program Operations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Budgeting, run-of-show, partner coordination, risk planning, learner communications.</w:t>
            </w:r>
          </w:p>
        </w:tc>
      </w:tr>
      <w:tr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Evaluation &amp; Analytics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Kirkpatrick L1/L2, pre/post tests, dashboards, ROTI, baselines, data quality checks.</w:t>
            </w:r>
          </w:p>
        </w:tc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Assessment Design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Blueprints, item writing, structured interviews, role plays, scoring norms, psychometrics.</w:t>
            </w:r>
          </w:p>
        </w:tc>
        <w:tc>
          <w:tcPr>
            <w:tcW w:type="dxa" w:w="3523"/>
            <w:shd w:fill="F6F8FA"/>
            <w:tcBorders>
              <w:top w:val="single" w:sz="3" w:color="E2E8EF"/>
              <w:left w:val="single" w:sz="3" w:color="E2E8EF"/>
              <w:bottom w:val="single" w:sz="3" w:color="E2E8EF"/>
              <w:right w:val="single" w:sz="3" w:color="E2E8EF"/>
            </w:tcBorders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183F60"/>
                <w:sz w:val="16"/>
              </w:rPr>
              <w:t>Tools &amp; Domains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232323"/>
                <w:sz w:val="15"/>
              </w:rPr>
              <w:t>PowerPoint, Google Slides, Excel, Tableau, surveys, AI-assisted analysis, RAG concepts.</w:t>
            </w:r>
          </w:p>
        </w:tc>
      </w:tr>
    </w:tbl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PROFESSIONAL EXPERIENCE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Kerja Cer-Dias - Learning Designer (Freelance)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Apr 2025-Present | Jakarta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Built a 76-project learning portfolio spanning TNA, proposals, curricula, lesson plans, decks, workbooks, evaluations, dashboards, and mentoring assets for learners, MSMEs, teams, and managers.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Designed competency-based communication suites from gap diagnosis through 36-hour lesson plans, OJT practice, facilitator decks, post-tests, reaction forms, observation checklists, and performance rubrics.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Created workplace communication and leadership materials covering DISC, RASA active listening, stakeholder influence, teamwork, psychological safety, service excellence, conflict handling, and supervisor mental-health support.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Produced learning analytics tools including training budget and ROTI calculator, Kirkpatrick Level 1 reaction dashboard, and Level 2 learning dashboard to turn participant data into program decisions.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Badan Kepegawaian Daerah Provinsi Jawa Barat - Machine Learning Engineer, Assessment Project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Oct 2025-Dec 2025 | Bandung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Architected a RAG autograding system for ASN competency assessments using 100,000+ assessment records across Case Analysis, Behavioral Event Interview, and QKom Forms.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Structured a competency knowledge base covering 9 core competencies, 27 behavioral indicators, and 3 proficiency levels; curated 56,871 behavioral-indicator sentences for retrieval quality.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Benchmarked 3,921 test sentences and reported 84-92.5% accuracy across assessment types, strengthening the bridge between competency assessment, analytics, and scalable evaluation.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Rumah Siap Kerja - Learning Program Manager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Mar 2023-Apr 2025 | Jakarta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Managed end-to-end entrepreneurship, Training for Trainer, MSME, and bootcamp programs across needs analysis, curriculum, content build, operations, partner coordination, M&amp;E, and client reporting.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Developed offline and online entrepreneurship programs for 54 learners with 4.6 satisfaction index, plus two YouTube live programs on selling without experience for 100 viewers.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Delivered two 3-day NHI Bandung Entrepreneurship Bootcamps for 57 students with 100% NPS; standardized agendas, checklists, trainer coordination, and escalation paths.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Built MSME financial-management and incubation learning packs with hands-on exercises; one program reported 100% NPS and 50% learning gain.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Rumah Siap Kerja - Monitoring &amp; Evaluation Specialist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Aug 2022-Mar 2023 | Jakarta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Designed M&amp;E frameworks, indicators, attendance logs, pre/post tests, behavior-change surveys, satisfaction forms, baselines, and data-quality checks across youth, community, and MSME programs.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Analyzed 5,000+ student datasets and 24 partner inputs; reported 53% improvement in entrepreneurship efficacy and 56% improvement in purchase performance.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Built five Excel/Tableau dashboards and delivered client-ready reports with trendlines, before/after deltas, recommendations, and feedback loops for curriculum and operations improvement.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Facilitated competency-based assessment activities for 300+ candidates using behavioral interviews, role-play simulations, and group case studies to inform talent gaps and IDP decisions.</w:t>
      </w:r>
    </w:p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EARLIER EXPERIENCE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Faxtor Indonesia - Research and Development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Jan 2021-Feb 2022 | Bandung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Developed FCAT cognitive-ability test item sets and refreshed norms; maintained age coverage 11-53 years, 75-90 minute administration time, and &gt;=0.70 reliability on most subtests.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Authored Faxtor Career Book content mapping Indonesian occupations to education pathways, required skills, and RIASEC interests; produced 1,000+ pages of career-reference material.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Produced five psychometrics learning videos from a 217-page expert reference in two weeks, translating technical assessment concepts into learner-friendly content.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PT. Hitam Putih Sandiatma - Training Designer &amp; Facilitator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Nov 2020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Designed a career training program for 200+ participants based on 6 competencies; facilitated three learning games for 8 members with 4.8/5 feedback.</w:t>
      </w:r>
    </w:p>
    <w:p>
      <w:pPr>
        <w:pStyle w:val="HRRole"/>
        <w:keepNext/>
      </w:pPr>
      <w:r>
        <w:rPr>
          <w:rFonts w:ascii="Aptos" w:hAnsi="Aptos" w:eastAsia="Aptos"/>
          <w:b/>
          <w:i w:val="0"/>
          <w:color w:val="232323"/>
          <w:sz w:val="20"/>
        </w:rPr>
        <w:t>Satu Persen - Indonesian Life School - Curriculum Developer Intern</w:t>
      </w:r>
      <w:r>
        <w:rPr>
          <w:rFonts w:ascii="Aptos" w:hAnsi="Aptos" w:eastAsia="Aptos"/>
          <w:b w:val="0"/>
          <w:i w:val="0"/>
          <w:color w:val="565F69"/>
          <w:sz w:val="19"/>
        </w:rPr>
        <w:t xml:space="preserve"> | Jul 2020-Aug 2020 | Jakarta</w:t>
      </w:r>
    </w:p>
    <w:p>
      <w:pPr>
        <w:pStyle w:val="HRBullet"/>
        <w:keepLines w:val="0"/>
        <w:ind w:left="158" w:hanging="158"/>
      </w:pPr>
      <w:r>
        <w:rPr>
          <w:rFonts w:ascii="Aptos" w:hAnsi="Aptos" w:eastAsia="Aptos"/>
          <w:b w:val="0"/>
          <w:i w:val="0"/>
          <w:color w:val="232323"/>
          <w:sz w:val="18"/>
        </w:rPr>
        <w:t>- Built learning paths, materials, worksheets, and psychological-test content; iterated modules based on learner feedback and webinar conversion insights.</w:t>
      </w:r>
    </w:p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SELECTED PORTFOLIO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183F60"/>
                <w:sz w:val="17"/>
              </w:rPr>
              <w:t>Training Architecture</w:t>
            </w:r>
          </w:p>
        </w:tc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hyperlink r:id="rId13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Administrative Communication Training Needs Analysis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14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Competency-Based Communication Training Proposal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15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Administrative Communication Lesson Plan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16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Competency Matrix for Training Organization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17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Competency-Based Training Syllabus</w:t>
              </w:r>
            </w:hyperlink>
          </w:p>
        </w:tc>
      </w:tr>
      <w:tr>
        <w:tc>
          <w:tcPr>
            <w:tcW w:type="dxa" w:w="5285"/>
            <w:shd w:fill="FFFFFF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183F60"/>
                <w:sz w:val="17"/>
              </w:rPr>
              <w:t>Evaluation Assets</w:t>
            </w:r>
          </w:p>
        </w:tc>
        <w:tc>
          <w:tcPr>
            <w:tcW w:type="dxa" w:w="5285"/>
            <w:shd w:fill="FFFFFF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hyperlink r:id="rId18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Communication Skills Post-Test Form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19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Training Feedback Form: Level 1 Reaction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0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Communication Observation Form and Performance Rubric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1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Recruitment Assessment Blueprint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2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Kirkpatrick Level 1 Reaction Dashboard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3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Kirkpatrick Level 2 Learning Dashboard</w:t>
              </w:r>
            </w:hyperlink>
          </w:p>
        </w:tc>
      </w:tr>
      <w:tr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183F60"/>
                <w:sz w:val="17"/>
              </w:rPr>
              <w:t>Learning Materials</w:t>
            </w:r>
          </w:p>
        </w:tc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hyperlink r:id="rId24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Adaptive Communication: Decode &amp; Connect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5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Strengthen Teamwork with Empathy &amp; Communication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6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Building a Culture of Service Excellence in the Digital Era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7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Public Speaking &amp; Confidence Boost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8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Mastering Critical Thinking for Future-Proofing Your Career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29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Stress &amp; Time Management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0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Menguasai Komunikasi Maritim yang Efektif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1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Landing Your Dream Job: Top Employability Skills for New Grads</w:t>
              </w:r>
            </w:hyperlink>
          </w:p>
        </w:tc>
      </w:tr>
      <w:tr>
        <w:tc>
          <w:tcPr>
            <w:tcW w:type="dxa" w:w="5285"/>
            <w:shd w:fill="FFFFFF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183F60"/>
                <w:sz w:val="17"/>
              </w:rPr>
              <w:t>MSME &amp; Entrepreneurship</w:t>
            </w:r>
          </w:p>
        </w:tc>
        <w:tc>
          <w:tcPr>
            <w:tcW w:type="dxa" w:w="5285"/>
            <w:shd w:fill="FFFFFF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hyperlink r:id="rId32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Startup Development Class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3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UMKM's Simple Financial Management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4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Financial Modeling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5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Growth Mindset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6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Make Your Product Fit with Design Thinking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7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Business Management &amp; Adaptability for MSMEs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8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How to Leverage Social Media Instagram for MSMEs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39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NHI Bandung Business Acceleration Bootcamp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0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Entrepreneurship Mentorship for Sandination Community</w:t>
              </w:r>
            </w:hyperlink>
          </w:p>
        </w:tc>
      </w:tr>
      <w:tr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183F60"/>
                <w:sz w:val="17"/>
              </w:rPr>
              <w:t>Mentoring &amp; Presentation</w:t>
            </w:r>
          </w:p>
        </w:tc>
        <w:tc>
          <w:tcPr>
            <w:tcW w:type="dxa" w:w="5285"/>
            <w:shd w:fill="F6F8FA"/>
            <w:tcBorders>
              <w:top w:val="single" w:sz="3" w:color="E3EAF0"/>
              <w:left w:val="single" w:sz="3" w:color="E3EAF0"/>
              <w:bottom w:val="single" w:sz="3" w:color="E3EAF0"/>
              <w:right w:val="single" w:sz="3" w:color="E3EAF0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hyperlink r:id="rId41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MILES Unfair Advantage Mentoring Workbook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2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Mentoring Workbook: Week 1 Idea Exploration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3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Mentoring Workbook: Week 2 Concept Development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4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Mentoring Workbook: Week 3 Presentation Readiness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5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Pitch Deck Template: Week 4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6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Digital Marketing Portfolio Workshop Deck</w:t>
              </w:r>
            </w:hyperlink>
            <w:r>
              <w:rPr>
                <w:rFonts w:ascii="Aptos" w:hAnsi="Aptos" w:eastAsia="Aptos"/>
                <w:sz w:val="16"/>
              </w:rPr>
              <w:t xml:space="preserve">; </w:t>
            </w:r>
            <w:hyperlink r:id="rId47">
              <w:r>
                <w:rPr>
                  <w:rFonts w:ascii="Aptos" w:hAnsi="Aptos" w:eastAsia="Aptos"/>
                  <w:sz w:val="16"/>
                  <w:color w:val="183F60"/>
                  <w:u w:val="single"/>
                </w:rPr>
                <w:t>Brand Yourself: Stand Out with Personal Branding &amp; LinkedIn Optimization</w:t>
              </w:r>
            </w:hyperlink>
          </w:p>
        </w:tc>
      </w:tr>
    </w:tbl>
    <w:p>
      <w:pPr>
        <w:pStyle w:val="HRSection"/>
        <w:keepNext/>
        <w:pBdr>
          <w:bottom w:val="single" w:sz="8" w:space="2" w:color="C8DCE8"/>
        </w:pBdr>
      </w:pPr>
      <w:r>
        <w:rPr>
          <w:rFonts w:ascii="Aptos" w:hAnsi="Aptos" w:eastAsia="Aptos"/>
          <w:b/>
          <w:i w:val="0"/>
          <w:color w:val="183F60"/>
          <w:sz w:val="18"/>
        </w:rPr>
        <w:t>EDUCATION &amp; CREDENTIALS</w:t>
      </w:r>
    </w:p>
    <w:p>
      <w:pPr>
        <w:pStyle w:val="HRBody"/>
      </w:pPr>
      <w:r>
        <w:rPr>
          <w:rFonts w:ascii="Aptos" w:hAnsi="Aptos" w:eastAsia="Aptos"/>
          <w:b/>
          <w:i w:val="0"/>
          <w:color w:val="183F60"/>
          <w:sz w:val="18"/>
        </w:rPr>
        <w:t xml:space="preserve">Universitas Padjadjaran: </w:t>
      </w:r>
      <w:r>
        <w:rPr>
          <w:rFonts w:ascii="Aptos" w:hAnsi="Aptos" w:eastAsia="Aptos"/>
          <w:b w:val="0"/>
          <w:i w:val="0"/>
          <w:color w:val="232323"/>
          <w:sz w:val="18"/>
        </w:rPr>
        <w:t>Bachelor of Psychology (S.Psi.), GPA 3.46/4.00 | Sep 2017-Feb 2021</w:t>
      </w:r>
    </w:p>
    <w:p>
      <w:pPr>
        <w:pStyle w:val="HRBody"/>
      </w:pPr>
      <w:r>
        <w:rPr>
          <w:rFonts w:ascii="Aptos" w:hAnsi="Aptos" w:eastAsia="Aptos"/>
          <w:b/>
          <w:i w:val="0"/>
          <w:color w:val="183F60"/>
          <w:sz w:val="18"/>
        </w:rPr>
        <w:t xml:space="preserve">RevoU: </w:t>
      </w:r>
      <w:r>
        <w:rPr>
          <w:rFonts w:ascii="Aptos" w:hAnsi="Aptos" w:eastAsia="Aptos"/>
          <w:b w:val="0"/>
          <w:i w:val="0"/>
          <w:color w:val="232323"/>
          <w:sz w:val="18"/>
        </w:rPr>
        <w:t>Full-Stack Data Analytics Certificate | May-Aug 2023</w:t>
      </w:r>
    </w:p>
    <w:p>
      <w:pPr>
        <w:pStyle w:val="HRBody"/>
      </w:pPr>
      <w:r>
        <w:rPr>
          <w:rFonts w:ascii="Aptos" w:hAnsi="Aptos" w:eastAsia="Aptos"/>
          <w:b/>
          <w:i w:val="0"/>
          <w:color w:val="183F60"/>
          <w:sz w:val="18"/>
        </w:rPr>
        <w:t xml:space="preserve">Certifications: </w:t>
      </w:r>
      <w:r>
        <w:rPr>
          <w:rFonts w:ascii="Aptos" w:hAnsi="Aptos" w:eastAsia="Aptos"/>
          <w:b w:val="0"/>
          <w:i w:val="0"/>
          <w:color w:val="232323"/>
          <w:sz w:val="18"/>
        </w:rPr>
        <w:t>Critical Thinking: Analyze Problems and Make Decisions; Introduction to Prompt Engineering; SAP SuccessFactors learning certificates.</w:t>
      </w:r>
    </w:p>
    <w:p>
      <w:pPr>
        <w:pStyle w:val="HRBody"/>
      </w:pPr>
      <w:r>
        <w:rPr>
          <w:rFonts w:ascii="Aptos" w:hAnsi="Aptos" w:eastAsia="Aptos"/>
          <w:b/>
          <w:i w:val="0"/>
          <w:color w:val="183F60"/>
          <w:sz w:val="18"/>
        </w:rPr>
        <w:t xml:space="preserve">Languages: </w:t>
      </w:r>
      <w:r>
        <w:rPr>
          <w:rFonts w:ascii="Aptos" w:hAnsi="Aptos" w:eastAsia="Aptos"/>
          <w:b w:val="0"/>
          <w:i w:val="0"/>
          <w:color w:val="232323"/>
          <w:sz w:val="18"/>
        </w:rPr>
        <w:t>Indonesian native/bilingual; English professional working proficiency.</w:t>
      </w:r>
    </w:p>
    <w:sectPr w:rsidR="00FC693F" w:rsidRPr="0006063C" w:rsidSect="00034616">
      <w:pgSz w:w="12240" w:h="15840"/>
      <w:pgMar w:top="605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Aptos" w:hAnsi="Aptos" w:eastAsia="Aptos"/>
      <w:color w:val="2323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RName">
    <w:name w:val="HR Name"/>
    <w:basedOn w:val="Normal"/>
    <w:pPr>
      <w:spacing w:before="0" w:after="0" w:line="250" w:lineRule="auto"/>
    </w:pPr>
    <w:rPr>
      <w:rFonts w:ascii="Aptos" w:hAnsi="Aptos" w:eastAsia="Aptos"/>
      <w:sz w:val="40"/>
    </w:rPr>
  </w:style>
  <w:style w:type="paragraph" w:customStyle="1" w:styleId="HRHeadline">
    <w:name w:val="HR Headline"/>
    <w:basedOn w:val="Normal"/>
    <w:pPr>
      <w:spacing w:before="0" w:after="80" w:line="250" w:lineRule="auto"/>
    </w:pPr>
    <w:rPr>
      <w:rFonts w:ascii="Aptos" w:hAnsi="Aptos" w:eastAsia="Aptos"/>
      <w:sz w:val="21"/>
    </w:rPr>
  </w:style>
  <w:style w:type="paragraph" w:customStyle="1" w:styleId="HRSection">
    <w:name w:val="HR Section"/>
    <w:basedOn w:val="Normal"/>
    <w:pPr>
      <w:spacing w:before="180" w:after="60" w:line="250" w:lineRule="auto"/>
    </w:pPr>
    <w:rPr>
      <w:rFonts w:ascii="Aptos" w:hAnsi="Aptos" w:eastAsia="Aptos"/>
      <w:sz w:val="18"/>
    </w:rPr>
  </w:style>
  <w:style w:type="paragraph" w:customStyle="1" w:styleId="HRRole">
    <w:name w:val="HR Role"/>
    <w:basedOn w:val="Normal"/>
    <w:pPr>
      <w:spacing w:before="100" w:after="20" w:line="250" w:lineRule="auto"/>
    </w:pPr>
    <w:rPr>
      <w:rFonts w:ascii="Aptos" w:hAnsi="Aptos" w:eastAsia="Aptos"/>
      <w:sz w:val="20"/>
    </w:rPr>
  </w:style>
  <w:style w:type="paragraph" w:customStyle="1" w:styleId="HRBullet">
    <w:name w:val="HR Bullet"/>
    <w:basedOn w:val="Normal"/>
    <w:pPr>
      <w:spacing w:before="0" w:after="40" w:line="250" w:lineRule="auto"/>
      <w:ind w:left="158" w:hanging="158"/>
    </w:pPr>
    <w:rPr>
      <w:rFonts w:ascii="Aptos" w:hAnsi="Aptos" w:eastAsia="Aptos"/>
      <w:sz w:val="18"/>
    </w:rPr>
  </w:style>
  <w:style w:type="paragraph" w:customStyle="1" w:styleId="HRSmall">
    <w:name w:val="HR Small"/>
    <w:basedOn w:val="Normal"/>
    <w:pPr>
      <w:spacing w:before="0" w:after="40" w:line="250" w:lineRule="auto"/>
    </w:pPr>
    <w:rPr>
      <w:rFonts w:ascii="Aptos" w:hAnsi="Aptos" w:eastAsia="Aptos"/>
      <w:sz w:val="17"/>
    </w:rPr>
  </w:style>
  <w:style w:type="paragraph" w:customStyle="1" w:styleId="HRBody">
    <w:name w:val="HR Body"/>
    <w:basedOn w:val="Normal"/>
    <w:pPr>
      <w:spacing w:before="0" w:after="60" w:line="250" w:lineRule="auto"/>
    </w:pPr>
    <w:rPr>
      <w:rFonts w:ascii="Aptos" w:hAnsi="Aptos" w:eastAsia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a.link/rn7fa4" TargetMode="External"/><Relationship Id="rId10" Type="http://schemas.openxmlformats.org/officeDocument/2006/relationships/hyperlink" Target="mailto:daffaghifarykusuma@gmail.com" TargetMode="External"/><Relationship Id="rId11" Type="http://schemas.openxmlformats.org/officeDocument/2006/relationships/hyperlink" Target="http://www.linkedin.com/in/daffa-ghiffary-kusuma" TargetMode="External"/><Relationship Id="rId12" Type="http://schemas.openxmlformats.org/officeDocument/2006/relationships/hyperlink" Target="https://daffa-ghiffary-kusuma.vercel.app/portfolio.html" TargetMode="External"/><Relationship Id="rId13" Type="http://schemas.openxmlformats.org/officeDocument/2006/relationships/hyperlink" Target="https://daffa-ghiffary-kusuma.vercel.app/portfolio.html#project-administrative-communication-training-needs-analysis" TargetMode="External"/><Relationship Id="rId14" Type="http://schemas.openxmlformats.org/officeDocument/2006/relationships/hyperlink" Target="https://daffa-ghiffary-kusuma.vercel.app/portfolio.html#project-competency-based-communication-training-proposal" TargetMode="External"/><Relationship Id="rId15" Type="http://schemas.openxmlformats.org/officeDocument/2006/relationships/hyperlink" Target="https://daffa-ghiffary-kusuma.vercel.app/portfolio.html#project-administrative-communication-lesson-plan" TargetMode="External"/><Relationship Id="rId16" Type="http://schemas.openxmlformats.org/officeDocument/2006/relationships/hyperlink" Target="https://daffa-ghiffary-kusuma.vercel.app/portfolio.html#project-competency-matrix-for-training-organization" TargetMode="External"/><Relationship Id="rId17" Type="http://schemas.openxmlformats.org/officeDocument/2006/relationships/hyperlink" Target="https://daffa-ghiffary-kusuma.vercel.app/portfolio.html#project-competency-based-training-syllabus" TargetMode="External"/><Relationship Id="rId18" Type="http://schemas.openxmlformats.org/officeDocument/2006/relationships/hyperlink" Target="https://daffa-ghiffary-kusuma.vercel.app/portfolio.html#project-communication-skills-post-test-form" TargetMode="External"/><Relationship Id="rId19" Type="http://schemas.openxmlformats.org/officeDocument/2006/relationships/hyperlink" Target="https://daffa-ghiffary-kusuma.vercel.app/portfolio.html#project-training-feedback-form-level-1-reaction" TargetMode="External"/><Relationship Id="rId20" Type="http://schemas.openxmlformats.org/officeDocument/2006/relationships/hyperlink" Target="https://daffa-ghiffary-kusuma.vercel.app/portfolio.html#project-communication-observation-form-and-performance-rubric" TargetMode="External"/><Relationship Id="rId21" Type="http://schemas.openxmlformats.org/officeDocument/2006/relationships/hyperlink" Target="https://daffa-ghiffary-kusuma.vercel.app/portfolio.html#project-recruitment-assessment-blueprint" TargetMode="External"/><Relationship Id="rId22" Type="http://schemas.openxmlformats.org/officeDocument/2006/relationships/hyperlink" Target="https://daffa-ghiffary-kusuma.vercel.app/portfolio.html#project-kirkpatrick-level-1-reaction-dashboard" TargetMode="External"/><Relationship Id="rId23" Type="http://schemas.openxmlformats.org/officeDocument/2006/relationships/hyperlink" Target="https://daffa-ghiffary-kusuma.vercel.app/portfolio.html#project-kirkpatrick-level-2-learning-dashboard" TargetMode="External"/><Relationship Id="rId24" Type="http://schemas.openxmlformats.org/officeDocument/2006/relationships/hyperlink" Target="https://daffa-ghiffary-kusuma.vercel.app/portfolio.html#project-adaptive-communication-decode-and-connect" TargetMode="External"/><Relationship Id="rId25" Type="http://schemas.openxmlformats.org/officeDocument/2006/relationships/hyperlink" Target="https://daffa-ghiffary-kusuma.vercel.app/portfolio.html#project-strengthen-teamwork-with-empathy-and-communication" TargetMode="External"/><Relationship Id="rId26" Type="http://schemas.openxmlformats.org/officeDocument/2006/relationships/hyperlink" Target="https://daffa-ghiffary-kusuma.vercel.app/portfolio.html#project-building-a-culture-of-service-excellence-in-the-digital-era" TargetMode="External"/><Relationship Id="rId27" Type="http://schemas.openxmlformats.org/officeDocument/2006/relationships/hyperlink" Target="https://daffa-ghiffary-kusuma.vercel.app/portfolio.html#project-public-speaking-and-confidence-boost" TargetMode="External"/><Relationship Id="rId28" Type="http://schemas.openxmlformats.org/officeDocument/2006/relationships/hyperlink" Target="https://daffa-ghiffary-kusuma.vercel.app/portfolio.html#project-mastering-critical-thinking-for-future-proofing-your-career" TargetMode="External"/><Relationship Id="rId29" Type="http://schemas.openxmlformats.org/officeDocument/2006/relationships/hyperlink" Target="https://daffa-ghiffary-kusuma.vercel.app/portfolio.html#project-stress-and-time-management" TargetMode="External"/><Relationship Id="rId30" Type="http://schemas.openxmlformats.org/officeDocument/2006/relationships/hyperlink" Target="https://daffa-ghiffary-kusuma.vercel.app/portfolio.html#project-menguasai-komunikasi-maritim-yang-efektif" TargetMode="External"/><Relationship Id="rId31" Type="http://schemas.openxmlformats.org/officeDocument/2006/relationships/hyperlink" Target="https://daffa-ghiffary-kusuma.vercel.app/portfolio.html#project-landing-your-dream-job-top-employability-skills-for-new-grads" TargetMode="External"/><Relationship Id="rId32" Type="http://schemas.openxmlformats.org/officeDocument/2006/relationships/hyperlink" Target="https://daffa-ghiffary-kusuma.vercel.app/portfolio.html#project-startup-development-class" TargetMode="External"/><Relationship Id="rId33" Type="http://schemas.openxmlformats.org/officeDocument/2006/relationships/hyperlink" Target="https://daffa-ghiffary-kusuma.vercel.app/portfolio.html#project-umkm-s-simple-financial-management" TargetMode="External"/><Relationship Id="rId34" Type="http://schemas.openxmlformats.org/officeDocument/2006/relationships/hyperlink" Target="https://daffa-ghiffary-kusuma.vercel.app/portfolio.html#project-financial-modeling" TargetMode="External"/><Relationship Id="rId35" Type="http://schemas.openxmlformats.org/officeDocument/2006/relationships/hyperlink" Target="https://daffa-ghiffary-kusuma.vercel.app/portfolio.html#project-growth-mindset" TargetMode="External"/><Relationship Id="rId36" Type="http://schemas.openxmlformats.org/officeDocument/2006/relationships/hyperlink" Target="https://daffa-ghiffary-kusuma.vercel.app/portfolio.html#project-make-your-product-fit-with-design-thinking" TargetMode="External"/><Relationship Id="rId37" Type="http://schemas.openxmlformats.org/officeDocument/2006/relationships/hyperlink" Target="https://daffa-ghiffary-kusuma.vercel.app/portfolio.html#project-business-management-and-adaptability-for-msmes" TargetMode="External"/><Relationship Id="rId38" Type="http://schemas.openxmlformats.org/officeDocument/2006/relationships/hyperlink" Target="https://daffa-ghiffary-kusuma.vercel.app/portfolio.html#project-how-to-leverage-social-media-instagram-for-msmes" TargetMode="External"/><Relationship Id="rId39" Type="http://schemas.openxmlformats.org/officeDocument/2006/relationships/hyperlink" Target="https://daffa-ghiffary-kusuma.vercel.app/portfolio.html#project-nhi-bandung-business-acceleration-bootcamp" TargetMode="External"/><Relationship Id="rId40" Type="http://schemas.openxmlformats.org/officeDocument/2006/relationships/hyperlink" Target="https://daffa-ghiffary-kusuma.vercel.app/portfolio.html#project-entrepreneurship-mentorship-for-sandination-community" TargetMode="External"/><Relationship Id="rId41" Type="http://schemas.openxmlformats.org/officeDocument/2006/relationships/hyperlink" Target="https://daffa-ghiffary-kusuma.vercel.app/portfolio.html#project-miles-unfair-advantage-mentoring-workbook" TargetMode="External"/><Relationship Id="rId42" Type="http://schemas.openxmlformats.org/officeDocument/2006/relationships/hyperlink" Target="https://daffa-ghiffary-kusuma.vercel.app/portfolio.html#project-mentoring-workbook-week-1-idea-exploration" TargetMode="External"/><Relationship Id="rId43" Type="http://schemas.openxmlformats.org/officeDocument/2006/relationships/hyperlink" Target="https://daffa-ghiffary-kusuma.vercel.app/portfolio.html#project-mentoring-workbook-week-2-concept-development" TargetMode="External"/><Relationship Id="rId44" Type="http://schemas.openxmlformats.org/officeDocument/2006/relationships/hyperlink" Target="https://daffa-ghiffary-kusuma.vercel.app/portfolio.html#project-mentoring-workbook-week-3-presentation-readiness" TargetMode="External"/><Relationship Id="rId45" Type="http://schemas.openxmlformats.org/officeDocument/2006/relationships/hyperlink" Target="https://daffa-ghiffary-kusuma.vercel.app/portfolio.html#project-pitch-deck-template-week-4" TargetMode="External"/><Relationship Id="rId46" Type="http://schemas.openxmlformats.org/officeDocument/2006/relationships/hyperlink" Target="https://daffa-ghiffary-kusuma.vercel.app/portfolio.html#project-digital-marketing-portfolio-workshop-deck" TargetMode="External"/><Relationship Id="rId47" Type="http://schemas.openxmlformats.org/officeDocument/2006/relationships/hyperlink" Target="https://daffa-ghiffary-kusuma.vercel.app/portfolio.html#project-brand-yourself-stand-out-with-personal-branding-and-linkedin-optim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Daffa Ghiffary Kusuma, S.Psi. - Learning Designer and Learning Program Manager</dc:title>
  <dc:subject>Polished CV for Learning Designer and Learning Program Manager roles</dc:subject>
  <dc:creator>Daffa Ghiffary Kusuma, S.Psi.</dc:creator>
  <cp:keywords>learning designer, learning program manager, instructional design, program management, learning evaluation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