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3D4A"/>
          <w:sz w:val="44"/>
        </w:rPr>
        <w:t>Daffa Ghiffary Kusuma, S.Psi.</w:t>
      </w:r>
    </w:p>
    <w:p>
      <w:r>
        <w:rPr>
          <w:sz w:val="24"/>
        </w:rPr>
        <w:t>Learning Designer &amp; Learning Program Manager</w:t>
      </w:r>
    </w:p>
    <w:p>
      <w:r>
        <w:t xml:space="preserve">Jakarta, Indonesia | +62 8953 2947 3179 | </w:t>
      </w:r>
      <w:hyperlink r:id="rId9">
        <w:r>
          <w:rPr>
            <w:color w:val="163D4A"/>
            <w:u w:val="single"/>
          </w:rPr>
          <w:t>daffaghifarykusuma@gmail.com</w:t>
        </w:r>
      </w:hyperlink>
    </w:p>
    <w:p>
      <w:hyperlink r:id="rId10">
        <w:r>
          <w:rPr>
            <w:color w:val="163D4A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63D4A"/>
            <w:u w:val="single"/>
          </w:rPr>
          <w:t>Portfolio</w:t>
        </w:r>
      </w:hyperlink>
    </w:p>
    <w:p>
      <w:pPr>
        <w:pStyle w:val="Heading1"/>
      </w:pPr>
      <w:r>
        <w:t>Profile</w:t>
      </w:r>
    </w:p>
    <w:p>
      <w:r>
        <w:t>Learning designer and program manager with experience in entrepreneurship, workplace communication, and competency assessment. Develops programs from training needs analysis and curriculum design through delivery, evaluation, and client reporting. Combines a psychology background with learning analytics, including monitoring and evaluation for 5,000+ learners.</w:t>
      </w:r>
    </w:p>
    <w:p>
      <w:pPr>
        <w:pStyle w:val="Heading1"/>
      </w:pPr>
      <w:r>
        <w:t>Core skills</w:t>
      </w:r>
    </w:p>
    <w:p>
      <w:r>
        <w:t>Training needs analysis (TNA) • Competency mapping • Curriculum and workshop design • Facilitator guides and workbooks • Program operations • Stakeholder coordination • Monitoring and evaluation (M&amp;E) • Assessment design • Learning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Learning and Development Specialist, Freelance</w:t>
      </w:r>
    </w:p>
    <w:p>
      <w:pPr>
        <w:keepNext/>
        <w:spacing w:after="80"/>
      </w:pPr>
      <w:r>
        <w:rPr>
          <w:color w:val="555555"/>
          <w:sz w:val="19"/>
        </w:rPr>
        <w:t>Eighteen Rekrutmen Asia, Jakarta | Jan 2026–Present</w:t>
      </w:r>
    </w:p>
    <w:p>
      <w:pPr>
        <w:pStyle w:val="ListBullet"/>
      </w:pPr>
      <w:r>
        <w:t>Developed L&amp;D strategy, macro training needs analysis, competency maps, and competency-based syllabi, with supporting business plans and training-solution marketing materials.</w:t>
      </w:r>
    </w:p>
    <w:p>
      <w:pPr>
        <w:pStyle w:val="ListBullet"/>
      </w:pPr>
      <w:r>
        <w:t>Built return-on-training-investment calculators, Kirkpatrick Level 1 and 2 dashboards, and assessment tools for role mapping, calibration, and competency-gap action plans.</w:t>
      </w:r>
    </w:p>
    <w:p>
      <w:pPr>
        <w:pStyle w:val="Heading2"/>
      </w:pPr>
      <w:r>
        <w:t>Learning Designer, Freelance</w:t>
      </w:r>
    </w:p>
    <w:p>
      <w:pPr>
        <w:keepNext/>
        <w:spacing w:after="80"/>
      </w:pPr>
      <w:r>
        <w:rPr>
          <w:color w:val="555555"/>
          <w:sz w:val="19"/>
        </w:rPr>
        <w:t>Kerja Cer-Dias, Jakarta | Apr 2025–Present</w:t>
      </w:r>
    </w:p>
    <w:p>
      <w:pPr>
        <w:pStyle w:val="ListBullet"/>
      </w:pPr>
      <w:r>
        <w:t>Designed learning programs from needs analysis and competency-based proposals to 36-hour lesson plans, facilitator decks, post-tests, observation rubrics, and behavior-transfer tools.</w:t>
      </w:r>
    </w:p>
    <w:p>
      <w:pPr>
        <w:pStyle w:val="ListBullet"/>
      </w:pPr>
      <w:r>
        <w:t>Created workshops for communication, employability, entrepreneurship, service excellence, and wellbeing, using role plays, reflection prompts, and practical exercises.</w:t>
      </w:r>
    </w:p>
    <w:p>
      <w:pPr>
        <w:pStyle w:val="ListBullet"/>
      </w:pPr>
      <w:r>
        <w:t>Developed mentoring and coaching workbooks, idea-to-pitch activities, and pitch templates, alongside maritime communication and psychological-safety practice materials.</w:t>
      </w:r>
    </w:p>
    <w:p>
      <w:pPr>
        <w:pStyle w:val="Heading2"/>
      </w:pPr>
      <w:r>
        <w:t>Machine Learning Engineer, Assessment Project</w:t>
      </w:r>
    </w:p>
    <w:p>
      <w:pPr>
        <w:keepNext/>
        <w:spacing w:after="80"/>
      </w:pPr>
      <w:r>
        <w:rPr>
          <w:color w:val="555555"/>
          <w:sz w:val="19"/>
        </w:rPr>
        <w:t>Badan Kepegawaian Daerah Provinsi Jawa Barat, Bandung | Oct 2025–Dec 2025</w:t>
      </w:r>
    </w:p>
    <w:p>
      <w:pPr>
        <w:pStyle w:val="ListBullet"/>
      </w:pPr>
      <w:r>
        <w:t>Designed a retrieval-augmented generation (RAG) autograding system for civil-service competency assessments using 100,000+ records across case analysis, behavioral interviews, and QKom forms.</w:t>
      </w:r>
    </w:p>
    <w:p>
      <w:pPr>
        <w:pStyle w:val="ListBullet"/>
      </w:pPr>
      <w:r>
        <w:t>Structured a knowledge base of 9 competencies, 27 behavioral indicators, and 3 proficiency levels; curated 56,871 behavioral-indicator sentences for retrieval.</w:t>
      </w:r>
    </w:p>
    <w:p>
      <w:pPr>
        <w:pStyle w:val="ListBullet"/>
      </w:pPr>
      <w:r>
        <w:t>Benchmarked 3,921 test sentences and reported 84–92.5% accuracy across assessment types.</w:t>
      </w:r>
    </w:p>
    <w:p>
      <w:pPr>
        <w:pStyle w:val="Heading2"/>
      </w:pPr>
      <w:r>
        <w:t>Learning Program Manager</w:t>
      </w:r>
    </w:p>
    <w:p>
      <w:pPr>
        <w:keepNext/>
        <w:spacing w:after="80"/>
      </w:pPr>
      <w:r>
        <w:rPr>
          <w:color w:val="555555"/>
          <w:sz w:val="19"/>
        </w:rPr>
        <w:t>Rumah Siap Kerja, Jakarta | Mar 2023–Apr 2025</w:t>
      </w:r>
    </w:p>
    <w:p>
      <w:pPr>
        <w:pStyle w:val="ListBullet"/>
      </w:pPr>
      <w:r>
        <w:t>Managed entrepreneurship, training-of-trainers, and micro, small, and medium enterprise (MSME) programs, covering curriculum, content, operations, partner coordination, and evaluation.</w:t>
      </w:r>
    </w:p>
    <w:p>
      <w:pPr>
        <w:pStyle w:val="ListBullet"/>
      </w:pPr>
      <w:r>
        <w:t>Delivered two three-day NHI Bandung Entrepreneurship Bootcamps for 57 students with a reported 100% Net Promoter Score (NPS); standardized agendas, checklists, and trainer coordination.</w:t>
      </w:r>
    </w:p>
    <w:p>
      <w:pPr>
        <w:pStyle w:val="ListBullet"/>
      </w:pPr>
      <w:r>
        <w:t>Developed MSME financial-management and incubation materials with hands-on exercises; one program reported 100% NPS and 50% learning gain.</w:t>
      </w:r>
    </w:p>
    <w:p>
      <w:pPr>
        <w:pStyle w:val="Heading1"/>
        <w:pageBreakBefore/>
      </w:pPr>
      <w:r>
        <w:t>Professional experience, continued</w:t>
      </w:r>
    </w:p>
    <w:p>
      <w:pPr>
        <w:pStyle w:val="Heading2"/>
      </w:pPr>
      <w:r>
        <w:t>Monitoring &amp; Evaluation Specialist</w:t>
      </w:r>
    </w:p>
    <w:p>
      <w:pPr>
        <w:keepNext/>
        <w:spacing w:after="80"/>
      </w:pPr>
      <w:r>
        <w:rPr>
          <w:color w:val="555555"/>
          <w:sz w:val="19"/>
        </w:rPr>
        <w:t>Rumah Siap Kerja, Jakarta | Aug 2022–Mar 2023</w:t>
      </w:r>
    </w:p>
    <w:p>
      <w:pPr>
        <w:pStyle w:val="ListBullet"/>
      </w:pPr>
      <w:r>
        <w:t>Designed evaluation frameworks, indicators, pre/post tests, behavior-change surveys, and satisfaction forms, with baselines and data-quality checks for youth, community, and MSME programs.</w:t>
      </w:r>
    </w:p>
    <w:p>
      <w:pPr>
        <w:pStyle w:val="ListBullet"/>
      </w:pPr>
      <w:r>
        <w:t>Analyzed data from 5,000+ students and 24 partner inputs; reported 53% improvement in entrepreneurship efficacy and 56% improvement in purchase performance.</w:t>
      </w:r>
    </w:p>
    <w:p>
      <w:pPr>
        <w:pStyle w:val="ListBullet"/>
      </w:pPr>
      <w:r>
        <w:t>Built five Excel/Tableau dashboards and client reports with trends, before/after comparisons, and recommendations for curriculum and program operations.</w:t>
      </w:r>
    </w:p>
    <w:p>
      <w:pPr>
        <w:pStyle w:val="ListBullet"/>
      </w:pPr>
      <w:r>
        <w:t>Facilitated competency assessments for 300+ candidates through behavioral interviews, role plays, and group case studies to inform talent-gap analysis and individual development plans.</w:t>
      </w:r>
    </w:p>
    <w:p>
      <w:pPr>
        <w:pStyle w:val="Heading1"/>
      </w:pPr>
      <w:r>
        <w:t>Earlier experience</w:t>
      </w:r>
    </w:p>
    <w:p>
      <w:pPr>
        <w:pStyle w:val="Heading2"/>
      </w:pPr>
      <w:r>
        <w:t>Research and Development</w:t>
      </w:r>
    </w:p>
    <w:p>
      <w:pPr>
        <w:keepNext/>
        <w:spacing w:after="80"/>
      </w:pPr>
      <w:r>
        <w:rPr>
          <w:color w:val="555555"/>
          <w:sz w:val="19"/>
        </w:rPr>
        <w:t>Faxtor Indonesia, Bandung | Jan 2021–Feb 2022</w:t>
      </w:r>
    </w:p>
    <w:p>
      <w:pPr>
        <w:pStyle w:val="ListBullet"/>
      </w:pPr>
      <w:r>
        <w:t>Developed FCAT cognitive-ability test items and refreshed norms for ages 11–53, with reliability of at least 0.70 on most subtests.</w:t>
      </w:r>
    </w:p>
    <w:p>
      <w:pPr>
        <w:pStyle w:val="ListBullet"/>
      </w:pPr>
      <w:r>
        <w:t>Authored 1,000+ pages of career-reference material linking Indonesian occupations to education, skills, and RIASEC interests; produced five psychometrics learning videos in two weeks.</w:t>
      </w:r>
    </w:p>
    <w:p>
      <w:pPr>
        <w:pStyle w:val="Heading2"/>
      </w:pPr>
      <w:r>
        <w:t>Training Designer &amp; Facilitator</w:t>
      </w:r>
    </w:p>
    <w:p>
      <w:pPr>
        <w:keepNext/>
        <w:spacing w:after="80"/>
      </w:pPr>
      <w:r>
        <w:rPr>
          <w:color w:val="555555"/>
          <w:sz w:val="19"/>
        </w:rPr>
        <w:t>PT. Hitam Putih Sandiatma | Nov 2020</w:t>
      </w:r>
    </w:p>
    <w:p>
      <w:pPr>
        <w:pStyle w:val="ListBullet"/>
      </w:pPr>
      <w:r>
        <w:t>Designed a career training program for 200+ participants around 6 competencies; facilitated three learning games for 8 participants with 4.8/5 feedback.</w:t>
      </w:r>
    </w:p>
    <w:p>
      <w:pPr>
        <w:pStyle w:val="Heading2"/>
      </w:pPr>
      <w:r>
        <w:t>Curriculum Developer Intern</w:t>
      </w:r>
    </w:p>
    <w:p>
      <w:pPr>
        <w:keepNext/>
        <w:spacing w:after="80"/>
      </w:pPr>
      <w:r>
        <w:rPr>
          <w:color w:val="555555"/>
          <w:sz w:val="19"/>
        </w:rPr>
        <w:t>Satu Persen, Indonesian Life School, Jakarta | Jul 2020–Aug 2020</w:t>
      </w:r>
    </w:p>
    <w:p>
      <w:pPr>
        <w:pStyle w:val="ListBullet"/>
      </w:pPr>
      <w:r>
        <w:t>Built learning paths, materials, worksheets, and psychological-test content; revised modules using learner feedback and webinar conversion insights.</w:t>
      </w:r>
    </w:p>
    <w:p>
      <w:pPr>
        <w:pStyle w:val="Heading1"/>
      </w:pPr>
      <w:r>
        <w:t>Selected work</w:t>
      </w:r>
    </w:p>
    <w:p>
      <w:hyperlink r:id="rId12">
        <w:r>
          <w:rPr>
            <w:color w:val="163D4A"/>
            <w:u w:val="single"/>
          </w:rPr>
          <w:t>Administrative communication</w:t>
        </w:r>
      </w:hyperlink>
      <w:r>
        <w:t xml:space="preserve"> | Needs analysis, training proposal, 36-hour lesson plan, and evaluation tools.</w:t>
      </w:r>
    </w:p>
    <w:p>
      <w:hyperlink r:id="rId13">
        <w:r>
          <w:rPr>
            <w:color w:val="163D4A"/>
            <w:u w:val="single"/>
          </w:rPr>
          <w:t>Learning organization strategy</w:t>
        </w:r>
      </w:hyperlink>
      <w:r>
        <w:t xml:space="preserve"> | Macro needs analysis, competency matrix, competency-based syllabus, and learning analytics.</w:t>
      </w:r>
    </w:p>
    <w:p>
      <w:hyperlink r:id="rId14">
        <w:r>
          <w:rPr>
            <w:color w:val="163D4A"/>
            <w:u w:val="single"/>
          </w:rPr>
          <w:t>Mentoring workbooks</w:t>
        </w:r>
      </w:hyperlink>
      <w:r>
        <w:t xml:space="preserve"> | Structured mentoring activities and workbooks for weeks 1–3.</w:t>
      </w:r>
    </w:p>
    <w:p>
      <w:pPr>
        <w:pStyle w:val="Heading1"/>
      </w:pPr>
      <w:r>
        <w:t>Education &amp; credentials</w:t>
      </w:r>
    </w:p>
    <w:p>
      <w:r>
        <w:rPr>
          <w:b/>
        </w:rPr>
        <w:t>Universitas Padjadjaran | Bachelor of Psychology (S.Psi.)</w:t>
      </w:r>
    </w:p>
    <w:p>
      <w:r>
        <w:t>Sep 2017–Feb 2021 | GPA 3.46/4.00</w:t>
      </w:r>
    </w:p>
    <w:p>
      <w:r>
        <w:t>RevoU | Full-Stack Data Analytics Certificate | May–Aug 2023</w:t>
      </w:r>
    </w:p>
    <w:p>
      <w:r>
        <w:t>Additional training: Critical Thinking: Analyze Problems and Make Decisions; Introduction to Prompt Engineering; SAP SuccessFactors learning certificates.</w:t>
      </w:r>
    </w:p>
    <w:p>
      <w:pPr>
        <w:pStyle w:val="Heading1"/>
      </w:pPr>
      <w:r>
        <w:t>Tools &amp; languages</w:t>
      </w:r>
    </w:p>
    <w:p>
      <w:r>
        <w:t>Tools: PowerPoint, Google Slides, Excel, Tableau, survey tools, AI-assisted analysis.</w:t>
      </w:r>
    </w:p>
    <w:p>
      <w:r>
        <w:t>Languages: Indonesian, native/bilingual; English, professional working proficiency.</w:t>
      </w:r>
    </w:p>
    <w:sectPr w:rsidR="00FC693F" w:rsidRPr="0006063C" w:rsidSect="00034616">
      <w:footerReference w:type="default" r:id="rId15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Daffa Ghiffary Kusuma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63D4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D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 w:line="250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ffaghifarykusuma@gmail.com" TargetMode="External"/><Relationship Id="rId10" Type="http://schemas.openxmlformats.org/officeDocument/2006/relationships/hyperlink" Target="http://www.linkedin.com/in/daffa-ghiffary-kusuma" TargetMode="External"/><Relationship Id="rId11" Type="http://schemas.openxmlformats.org/officeDocument/2006/relationships/hyperlink" Target="https://daffa-ghiffary-kusuma.vercel.app/portfolio.html" TargetMode="External"/><Relationship Id="rId12" Type="http://schemas.openxmlformats.org/officeDocument/2006/relationships/hyperlink" Target="https://daffa-ghiffary-kusuma.vercel.app/case-administrative-communication.html" TargetMode="External"/><Relationship Id="rId13" Type="http://schemas.openxmlformats.org/officeDocument/2006/relationships/hyperlink" Target="https://daffa-ghiffary-kusuma.vercel.app/case-learning-organization-strategy.html" TargetMode="External"/><Relationship Id="rId14" Type="http://schemas.openxmlformats.org/officeDocument/2006/relationships/hyperlink" Target="https://daffa-ghiffary-kusuma.vercel.app/case-ybb-mentoring-workbook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Daffa Ghiffary Kusuma | Learning Designer &amp; Learning Program Manager</dc:title>
  <dc:subject>Curriculum design, learning program management, and evaluation</dc:subject>
  <dc:creator>Daffa Ghiffary Kusuma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