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i w:val="0"/>
          <w:sz w:val="36"/>
        </w:rPr>
        <w:t>accident_annotation_spec_video_core</w:t>
      </w:r>
    </w:p>
    <w:p>
      <w:pPr>
        <w:pStyle w:val="Heading1"/>
      </w:pPr>
      <w:r>
        <w:t>交通事故视频标注规范（核心字段版）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本文档是《accident_annotation_spec_video.md》的</w:t>
      </w:r>
      <w:r>
        <w:rPr>
          <w:rFonts w:ascii="Calibri" w:hAnsi="Calibri" w:eastAsia="Microsoft YaHei"/>
          <w:b/>
          <w:i/>
          <w:color w:val="555555"/>
          <w:sz w:val="22"/>
        </w:rPr>
        <w:t>精简版</w:t>
      </w:r>
      <w:r>
        <w:rPr>
          <w:rFonts w:ascii="Calibri" w:hAnsi="Calibri" w:eastAsia="Microsoft YaHei"/>
          <w:b w:val="0"/>
          <w:i/>
          <w:color w:val="555555"/>
          <w:sz w:val="22"/>
        </w:rPr>
        <w:t>：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只保留事故判定所需的</w:t>
      </w:r>
      <w:r>
        <w:rPr>
          <w:rFonts w:ascii="Calibri" w:hAnsi="Calibri" w:eastAsia="Microsoft YaHei"/>
          <w:b/>
          <w:i/>
          <w:color w:val="555555"/>
          <w:sz w:val="22"/>
        </w:rPr>
        <w:t>最高优先级</w:t>
      </w:r>
      <w:r>
        <w:rPr>
          <w:rFonts w:ascii="Calibri" w:hAnsi="Calibri" w:eastAsia="Microsoft YaHei"/>
          <w:b w:val="0"/>
          <w:i/>
          <w:color w:val="555555"/>
          <w:sz w:val="22"/>
        </w:rPr>
        <w:t xml:space="preserve">字段，JSON </w:t>
      </w:r>
      <w:r>
        <w:rPr>
          <w:rFonts w:ascii="Calibri" w:hAnsi="Calibri" w:eastAsia="Microsoft YaHei"/>
          <w:b/>
          <w:i/>
          <w:color w:val="555555"/>
          <w:sz w:val="22"/>
        </w:rPr>
        <w:t>不再</w:t>
      </w:r>
      <w:r>
        <w:rPr>
          <w:rFonts w:ascii="Calibri" w:hAnsi="Calibri" w:eastAsia="Microsoft YaHei"/>
          <w:b w:val="0"/>
          <w:i/>
          <w:color w:val="555555"/>
          <w:sz w:val="22"/>
        </w:rPr>
        <w:t>使用优先级分组键。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完整字段、场景要素、环境细节见完整版规范；判定细则见《accident_annotation_criteria.md》。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带注释演示样例：</w:t>
      </w:r>
      <w:r>
        <w:rPr>
          <w:rFonts w:ascii="Consolas" w:hAnsi="Consolas" w:eastAsia="Microsoft YaHei"/>
          <w:b w:val="0"/>
          <w:i/>
          <w:color w:val="555555"/>
          <w:sz w:val="20"/>
        </w:rPr>
        <w:t>annotation_examples/accident_annotation_example_video.jsonc</w:t>
      </w:r>
      <w:r>
        <w:rPr>
          <w:rFonts w:ascii="Calibri" w:hAnsi="Calibri" w:eastAsia="Microsoft YaHei"/>
          <w:b w:val="0"/>
          <w:i/>
          <w:color w:val="555555"/>
          <w:sz w:val="22"/>
        </w:rPr>
        <w:t>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目录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适用范围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时间戳约定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JSON 结构总览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元信息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交通流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证据链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事件时间与事故区域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最终标签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派生字段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准入与校验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完整示例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1. 适用范围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仅覆盖进入细标流程后、</w:t>
      </w:r>
      <w:r>
        <w:rPr>
          <w:rFonts w:ascii="Calibri" w:hAnsi="Calibri" w:eastAsia="Microsoft YaHei"/>
          <w:b/>
          <w:i w:val="0"/>
          <w:sz w:val="22"/>
        </w:rPr>
        <w:t>必须标注</w:t>
      </w:r>
      <w:r>
        <w:rPr>
          <w:rFonts w:ascii="Calibri" w:hAnsi="Calibri" w:eastAsia="Microsoft YaHei"/>
          <w:b w:val="0"/>
          <w:i w:val="0"/>
          <w:sz w:val="22"/>
        </w:rPr>
        <w:t>的核心字段；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不含环境、场景要素、参与者列表等辅助字段；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 xml:space="preserve">时序属性仍使用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{value, start_sec, end_sec}</w:t>
      </w:r>
      <w:r>
        <w:rPr>
          <w:rFonts w:ascii="Calibri" w:hAnsi="Calibri" w:eastAsia="Microsoft YaHei"/>
          <w:b w:val="0"/>
          <w:i w:val="0"/>
          <w:sz w:val="22"/>
        </w:rPr>
        <w:t>（见第 2 节）。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2. 时间窗与坐标约定</w:t>
      </w:r>
    </w:p>
    <w:p>
      <w:r>
        <w:rPr>
          <w:rFonts w:ascii="Calibri" w:hAnsi="Calibri" w:eastAsia="Microsoft YaHei"/>
          <w:b w:val="0"/>
          <w:i w:val="0"/>
          <w:sz w:val="22"/>
        </w:rPr>
        <w:t>时序属性统一为：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{"value": "是", "start_sec": 6.5, "end_sec": 7.0, "bbox": [780, 360, 280, 220]}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情况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 w:eastAsia="Microsoft YaHei"/>
                <w:b/>
                <w:i w:val="0"/>
                <w:color w:val="333333"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 w:eastAsia="Microsoft YaHei"/>
                <w:b/>
                <w:i w:val="0"/>
                <w:color w:val="333333"/>
                <w:sz w:val="20"/>
              </w:rPr>
              <w:t>start_sec</w:t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/</w:t>
            </w:r>
            <w:r>
              <w:rPr>
                <w:rFonts w:ascii="Consolas" w:hAnsi="Consolas" w:eastAsia="Microsoft YaHei"/>
                <w:b/>
                <w:i w:val="0"/>
                <w:color w:val="333333"/>
                <w:sz w:val="20"/>
              </w:rPr>
              <w:t>end_sec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 w:eastAsia="Microsoft YaHei"/>
                <w:b/>
                <w:i w:val="0"/>
                <w:color w:val="333333"/>
                <w:sz w:val="20"/>
              </w:rPr>
              <w:t>bbox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确认观察到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必填时间窗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位置相关则必填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确认未发生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看不清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不确定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可选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可选</w:t>
            </w:r>
          </w:p>
        </w:tc>
      </w:tr>
    </w:tbl>
    <w:p/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原点：视频起点；单位：秒；精度：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0.1s</w:t>
      </w:r>
      <w:r>
        <w:rPr>
          <w:rFonts w:ascii="Calibri" w:hAnsi="Calibri" w:eastAsia="Microsoft YaHei"/>
          <w:b w:val="0"/>
          <w:i w:val="0"/>
          <w:sz w:val="22"/>
        </w:rPr>
        <w:t xml:space="preserve">；要求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start_sec ≤ end_sec</w:t>
      </w:r>
    </w:p>
    <w:p>
      <w:pPr>
        <w:pStyle w:val="ListBullet"/>
      </w:pPr>
      <w:r>
        <w:rPr>
          <w:rFonts w:ascii="Consolas" w:hAnsi="Consolas" w:eastAsia="Microsoft YaHei"/>
          <w:b w:val="0"/>
          <w:i w:val="0"/>
          <w:color w:val="333333"/>
          <w:sz w:val="20"/>
        </w:rPr>
        <w:t>bbox = [x, y, w, h]</w:t>
      </w:r>
      <w:r>
        <w:rPr>
          <w:rFonts w:ascii="Calibri" w:hAnsi="Calibri" w:eastAsia="Microsoft YaHei"/>
          <w:b w:val="0"/>
          <w:i w:val="0"/>
          <w:sz w:val="22"/>
        </w:rPr>
        <w:t>：画面左上角像素坐标系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事件级：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event_start_sec</w:t>
      </w:r>
      <w:r>
        <w:rPr>
          <w:rFonts w:ascii="Calibri" w:hAnsi="Calibri" w:eastAsia="Microsoft YaHei"/>
          <w:b w:val="0"/>
          <w:i w:val="0"/>
          <w:sz w:val="22"/>
        </w:rPr>
        <w:t xml:space="preserve"> /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event_end_sec</w:t>
      </w:r>
    </w:p>
    <w:p>
      <w:r>
        <w:rPr>
          <w:rFonts w:ascii="Calibri" w:hAnsi="Calibri" w:eastAsia="Microsoft YaHei"/>
          <w:b w:val="0"/>
          <w:i w:val="0"/>
          <w:sz w:val="22"/>
        </w:rPr>
        <w:t>本规范时序+位置字段：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collision_visible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person_down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motor_vehicle_rollover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non_motor_rollover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vehicle_fire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abnormal_stop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bypass_behavior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hazard_light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smooth_pullover</w:t>
      </w:r>
      <w:r>
        <w:rPr>
          <w:rFonts w:ascii="Calibri" w:hAnsi="Calibri" w:eastAsia="Microsoft YaHei"/>
          <w:b w:val="0"/>
          <w:i w:val="0"/>
          <w:sz w:val="22"/>
        </w:rPr>
        <w:t>、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near_miss</w:t>
      </w:r>
      <w:r>
        <w:rPr>
          <w:rFonts w:ascii="Calibri" w:hAnsi="Calibri" w:eastAsia="Microsoft YaHei"/>
          <w:b w:val="0"/>
          <w:i w:val="0"/>
          <w:sz w:val="22"/>
        </w:rPr>
        <w:t>。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flow_interruption_point</w:t>
      </w:r>
      <w:r>
        <w:rPr>
          <w:rFonts w:ascii="Calibri" w:hAnsi="Calibri" w:eastAsia="Microsoft YaHei"/>
          <w:b w:val="0"/>
          <w:i w:val="0"/>
          <w:sz w:val="22"/>
        </w:rPr>
        <w:t xml:space="preserve"> 为位置字段：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{"value","bbox"}</w:t>
      </w:r>
      <w:r>
        <w:rPr>
          <w:rFonts w:ascii="Calibri" w:hAnsi="Calibri" w:eastAsia="Microsoft YaHei"/>
          <w:b w:val="0"/>
          <w:i w:val="0"/>
          <w:sz w:val="22"/>
        </w:rPr>
        <w:t>（无时间窗）。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3. JSON 结构总览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{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{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字段一律扁平写在各块内，</w:t>
      </w:r>
      <w:r>
        <w:rPr>
          <w:rFonts w:ascii="Calibri" w:hAnsi="Calibri" w:eastAsia="Microsoft YaHei"/>
          <w:b/>
          <w:i w:val="0"/>
          <w:sz w:val="22"/>
        </w:rPr>
        <w:t>不出现</w:t>
      </w:r>
      <w:r>
        <w:rPr>
          <w:rFonts w:ascii="Calibri" w:hAnsi="Calibri" w:eastAsia="Microsoft YaHei"/>
          <w:b w:val="0"/>
          <w:i w:val="0"/>
          <w:sz w:val="22"/>
        </w:rPr>
        <w:t>优先级分组键。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4. 元信息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media_type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video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固定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video_path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视频路径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duration_sec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时长（秒）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高速高架 / 城市路口 / 城市普通路段 / 隧道 / 匝道收费站 / 其他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场景类别，必填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camera_view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路侧固定 / 高点俯视 / 卡口近景 / 隧道固定 / 其他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视角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annotator_id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标注员编号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5. 交通流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traffic_flow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畅通 / 缓行 / 拥堵 / 停止排队 / 某点中断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i w:val="0"/>
                <w:sz w:val="22"/>
              </w:rPr>
              <w:t>"某点中断"是事故最强间接信号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flow_interruption_point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{value, bbox}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固定中断点；肯定时必标中断区域坐标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6. 证据链</w:t>
      </w:r>
    </w:p>
    <w:p>
      <w:r>
        <w:rPr>
          <w:rFonts w:ascii="Calibri" w:hAnsi="Calibri" w:eastAsia="Microsoft YaHei"/>
          <w:b w:val="0"/>
          <w:i w:val="0"/>
          <w:sz w:val="22"/>
        </w:rPr>
        <w:t xml:space="preserve">规则与准入判断时，对时序字段读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.value</w:t>
      </w:r>
      <w:r>
        <w:rPr>
          <w:rFonts w:ascii="Calibri" w:hAnsi="Calibri" w:eastAsia="Microsoft YaHei"/>
          <w:b w:val="0"/>
          <w:i w:val="0"/>
          <w:sz w:val="22"/>
        </w:rPr>
        <w:t>。</w:t>
      </w:r>
    </w:p>
    <w:p>
      <w:pPr>
        <w:pStyle w:val="Heading3"/>
      </w:pPr>
      <w:r>
        <w:t>直接证据（时序对象）</w:t>
      </w:r>
    </w:p>
    <w:p>
      <w:r>
        <w:rPr>
          <w:rFonts w:ascii="Calibri" w:hAnsi="Calibri" w:eastAsia="Microsoft YaHei"/>
          <w:b w:val="0"/>
          <w:i w:val="0"/>
          <w:sz w:val="22"/>
        </w:rPr>
        <w:t>| 字段 | value | start/end 含义 | bbox |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>|---|---|---|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|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collision_visible</w:t>
      </w:r>
      <w:r>
        <w:rPr>
          <w:rFonts w:ascii="Calibri" w:hAnsi="Calibri" w:eastAsia="Microsoft YaHei"/>
          <w:b w:val="0"/>
          <w:i w:val="0"/>
          <w:sz w:val="22"/>
        </w:rPr>
        <w:t xml:space="preserve"> | 是 / 否 / 不确定 | 碰撞过程时间窗 | 碰撞区域 |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|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person_down</w:t>
      </w:r>
      <w:r>
        <w:rPr>
          <w:rFonts w:ascii="Calibri" w:hAnsi="Calibri" w:eastAsia="Microsoft YaHei"/>
          <w:b w:val="0"/>
          <w:i w:val="0"/>
          <w:sz w:val="22"/>
        </w:rPr>
        <w:t xml:space="preserve"> | 是 / 否 / 不确定 | 倒地时间窗 | 倒地目标 |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|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motor_vehicle_rollover</w:t>
      </w:r>
      <w:r>
        <w:rPr>
          <w:rFonts w:ascii="Calibri" w:hAnsi="Calibri" w:eastAsia="Microsoft YaHei"/>
          <w:b w:val="0"/>
          <w:i w:val="0"/>
          <w:sz w:val="22"/>
        </w:rPr>
        <w:t xml:space="preserve"> | 是 / 否 / 不确定 | 侧翻时间窗 | 侧翻车辆 |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|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non_motor_rollover</w:t>
      </w:r>
      <w:r>
        <w:rPr>
          <w:rFonts w:ascii="Calibri" w:hAnsi="Calibri" w:eastAsia="Microsoft YaHei"/>
          <w:b w:val="0"/>
          <w:i w:val="0"/>
          <w:sz w:val="22"/>
        </w:rPr>
        <w:t xml:space="preserve"> | 是 / 否 / 不确定 | 侧翻时间窗 | 侧翻目标 |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|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vehicle_fire</w:t>
      </w:r>
      <w:r>
        <w:rPr>
          <w:rFonts w:ascii="Calibri" w:hAnsi="Calibri" w:eastAsia="Microsoft YaHei"/>
          <w:b w:val="0"/>
          <w:i w:val="0"/>
          <w:sz w:val="22"/>
        </w:rPr>
        <w:t xml:space="preserve"> | 是 / 否 / 不确定 | 着火时间窗 | 着火车辆 |</w:t>
      </w:r>
    </w:p>
    <w:p>
      <w:pPr>
        <w:pStyle w:val="Heading3"/>
      </w:pPr>
      <w:r>
        <w:t>间接证据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collision_occluded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碰撞点被遮挡（与 </w:t>
            </w:r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collision_visible.value=是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互斥）；无时间戳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异常停止时间窗 + 停车车辆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bypass_behavior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绕行时间窗 + 绕行区域 bbox</w:t>
            </w:r>
          </w:p>
        </w:tc>
      </w:tr>
    </w:tbl>
    <w:p/>
    <w:p>
      <w:pPr>
        <w:pStyle w:val="Heading3"/>
      </w:pPr>
      <w:r>
        <w:t>误报判别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取值形式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双闪时间窗 + 车辆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hazard_light_reason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事故后 / 拥堵缓行 / 临时停车 / 故障施工 / 无双闪 / 不明确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双闪原因（无时间戳）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congestion_only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仅拥堵、无碰撞证据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smooth_pullover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靠边时间窗 + 车辆 bbox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near_miss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时序+坐标对象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最险时间窗 + 近接区域 bbox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7. 事件时间与事故区域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event_start_sec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事件开始（碰撞或首个异常行为；负样本填 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event_end_sec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float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事件结束（状态稳定；负样本填视频时长）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accident_area_box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[x,y,w,h]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或 null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事故区域坐标（与 bbox 同格式）；负样本 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accident_area_location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行车道内 / 路口中央 / 应急车道 / 路边 / 匝道 / 隧道行车道 / 画面边缘 / 不适用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事故区域位置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8. 最终标签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最终事故标签（"不确定"不入训练集）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无事故 / 追尾 / 侧碰 / 剐蹭 / 正面碰撞 / 撞行人非机动车 / 侧翻 / 撞固定物 / 多车连环 / 起火燃烧 / 不确定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confidence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高 / 中 / 低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标注信心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9. 派生字段</w:t>
      </w:r>
    </w:p>
    <w:p>
      <w:r>
        <w:rPr>
          <w:rFonts w:ascii="Calibri" w:hAnsi="Calibri" w:eastAsia="Microsoft YaHei"/>
          <w:b w:val="0"/>
          <w:i w:val="0"/>
          <w:sz w:val="22"/>
        </w:rPr>
        <w:t>脚本自动计算，人工不填：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traffic_flow</w:t>
            </w:r>
            <w:r>
              <w:rPr>
                <w:rFonts w:ascii="Calibri" w:hAnsi="Calibri" w:eastAsia="Microsoft YaHei"/>
                <w:b w:val="0"/>
                <w:i w:val="0"/>
                <w:sz w:val="22"/>
              </w:rPr>
              <w:t xml:space="preserve"> ∈ {拥堵, 停止排队} → 是；{畅通, 缓行} → 否；某点中断 → 按上游状态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见第 10 节</w:t>
            </w:r>
          </w:p>
        </w:tc>
      </w:tr>
    </w:tbl>
    <w:p/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10. 准入与校验</w:t>
      </w:r>
    </w:p>
    <w:p>
      <w:pPr>
        <w:pStyle w:val="Heading3"/>
      </w:pPr>
      <w:r>
        <w:t>正样本准入（accident=是 须满足之一）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① collision_visible.value = 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② collision_occluded = 是，且以下 ≥ 2 项为"是"：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abnormal_stop / bypass_behavior / flow_interruption_point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（完整版中的 abrupt_trajectory_change / posture_anomaly / people_exit_vehicle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属于辅助字段，本精简版不强制；若已按完整版标注可一并计入）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③ 强证据任一 value="是"：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person_down / motor_vehicle_rollover / non_motor_rollover / vehicle_fire</w:t>
      </w:r>
    </w:p>
    <w:p>
      <w:pPr>
        <w:pStyle w:val="Heading3"/>
      </w:pPr>
      <w:r>
        <w:t>困难样本（derived.hard = true）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正样本：collision_visible.value=否 且 accident=是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负样本：congestion_only=是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或 hazard_light.value=是 且 accident=否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或 near_miss.value=是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或 abnormal_stop.value=是 且 accident=否</w:t>
      </w:r>
    </w:p>
    <w:p>
      <w:pPr>
        <w:pStyle w:val="Heading3"/>
      </w:pPr>
      <w:r>
        <w:t>校验要点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① 本规范字段集合必须齐全；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② 时序属性 value=是 时 start_sec/end_sec 必填且 0≤start≤end≤duration；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位置相关 value=是 时 bbox 必填；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③ collision_visible.value=是 与 collision_occluded=是 互斥；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④ accident=是 时准入成立，且 event 四字段有效；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⑤ event_start_sec ≤ event_end_sec。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11. 完整示例</w:t>
      </w:r>
    </w:p>
    <w:p>
      <w:pPr>
        <w:pStyle w:val="Heading3"/>
      </w:pPr>
      <w:r>
        <w:t>示例 1：高速追尾（正样本）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"media_type": "video",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"video_path": "/data/videos/hw_00123.mp4",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"duration_sec": 20.0,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"scene": "高速高架",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"camera_view": "路侧固定",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"annotator_id": "A03"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"traffic_flow": "某点中断",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"flow_interruption_point":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750,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500,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360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"collision_visible":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6.5,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6.8,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780,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280,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220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"person_down":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"motor_vehicle_rollover":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"non_motor_rollover":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"vehicle_fire":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"collision_occluded":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"abnormal_stop":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7.2,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14.0,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800,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420,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"bypass_behavior":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8.0,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14.0,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700,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280,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600,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400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"hazard_light":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7.5,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14.0,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820,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420,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"hazard_light_reason": "事故后",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"congestion_only":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"smooth_pullover":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"near_miss":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"event_start_sec": 6.5,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"event_end_sec": 14.0,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"accident_area_box":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760,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320,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520,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340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"accident_area_location": "行车道内"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"accident_type": "追尾",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"confidence": "高"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"congestion":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"hard": false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pPr>
        <w:pStyle w:val="Heading3"/>
      </w:pPr>
      <w:r>
        <w:t>示例 2：隧道双闪拥堵（困难负样本）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"meta":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"media_type": "video",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"video_path": "/data/videos/tn_00456.mp4",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"duration_sec": 20.0,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"scene": "隧道",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"camera_view": "隧道固定",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"annotator_id": "A07"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"traffic_flow": "拥堵",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"flow_interruption_point":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"evidence":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"collision_visible":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"person_down":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"motor_vehicle_rollover":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"non_motor_rollover":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"vehicle_fire":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"collision_occluded":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"abnormal_stop":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"bypass_behavior":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"hazard_light":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3.0,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20.0,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820,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340,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420,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300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"hazard_light_reason": "拥堵缓行",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"congestion_only":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"smooth_pullover":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"near_miss":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"value":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"start_sec":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"end_sec":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"bbox": null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"event":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"event_start_sec": 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"event_end_sec": 20.0,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"accident_area_box": null,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"accident_area_location": "不适用"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"label":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"accident_type": "无事故",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"confidence": "高"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"derived": 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"congestion":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"hard": true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