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ECFE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 xml:space="preserve">🟢 </w:t>
      </w:r>
      <w:proofErr w:type="spellStart"/>
      <w:r w:rsidRPr="00D94021">
        <w:rPr>
          <w:rFonts w:ascii="Segoe UI Emoji" w:hAnsi="Segoe UI Emoji" w:cs="Segoe UI Emoji"/>
          <w:b/>
          <w:bCs/>
        </w:rPr>
        <w:t>BrainFrame</w:t>
      </w:r>
      <w:proofErr w:type="spellEnd"/>
      <w:r w:rsidRPr="00D94021">
        <w:rPr>
          <w:rFonts w:ascii="Segoe UI Emoji" w:hAnsi="Segoe UI Emoji" w:cs="Segoe UI Emoji"/>
          <w:b/>
          <w:bCs/>
        </w:rPr>
        <w:t xml:space="preserve"> - Context Management Guide</w:t>
      </w:r>
    </w:p>
    <w:p w14:paraId="6B19B9BE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✅ Purpose</w:t>
      </w:r>
    </w:p>
    <w:p w14:paraId="54F79653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To clearly manage the addition and removal of customer-specific contexts, ensuring neutral and consistent interactions.</w:t>
      </w:r>
    </w:p>
    <w:p w14:paraId="394EC1FF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5EF06CBD">
          <v:rect id="_x0000_i1109" style="width:0;height:1.5pt" o:hralign="center" o:hrstd="t" o:hr="t" fillcolor="#a0a0a0" stroked="f"/>
        </w:pict>
      </w:r>
    </w:p>
    <w:p w14:paraId="1D75374B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🟢 Adding Customer-Specific Contexts</w:t>
      </w:r>
    </w:p>
    <w:p w14:paraId="34D7020D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Clearly identify the new customer's name or project.</w:t>
      </w:r>
    </w:p>
    <w:p w14:paraId="37768357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Summarize key requirements, preferences, or guidelines relevant to the interaction.</w:t>
      </w:r>
    </w:p>
    <w:p w14:paraId="5899798B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Explicitly mark these details as customer-specific context for clarity.</w:t>
      </w:r>
    </w:p>
    <w:p w14:paraId="12D8BAA4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Verify the context entry for accuracy and completeness.</w:t>
      </w:r>
    </w:p>
    <w:p w14:paraId="1F7CE3B2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48886B0C">
          <v:rect id="_x0000_i1110" style="width:0;height:1.5pt" o:hralign="center" o:hrstd="t" o:hr="t" fillcolor="#a0a0a0" stroked="f"/>
        </w:pict>
      </w:r>
    </w:p>
    <w:p w14:paraId="1537ED65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🟢 Removing or Clearing Contexts</w:t>
      </w:r>
    </w:p>
    <w:p w14:paraId="1D9B0B58" w14:textId="77777777" w:rsidR="00D94021" w:rsidRPr="00D94021" w:rsidRDefault="00D94021" w:rsidP="00D94021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Upon completion of a customer engagement or when context is no longer relevant, clearly identify which contexts are to be removed.</w:t>
      </w:r>
    </w:p>
    <w:p w14:paraId="600EE5AA" w14:textId="77777777" w:rsidR="00D94021" w:rsidRPr="00D94021" w:rsidRDefault="00D94021" w:rsidP="00D94021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Confirm removal to ensure no residual information remains.</w:t>
      </w:r>
    </w:p>
    <w:p w14:paraId="368D9B87" w14:textId="77777777" w:rsidR="00D94021" w:rsidRPr="00D94021" w:rsidRDefault="00D94021" w:rsidP="00D94021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Conduct a quick validation check:</w:t>
      </w:r>
    </w:p>
    <w:p w14:paraId="71944BAD" w14:textId="77777777" w:rsidR="00D94021" w:rsidRPr="00D94021" w:rsidRDefault="00D94021" w:rsidP="00D94021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Confirm that no previous customer-specific context persists.</w:t>
      </w:r>
    </w:p>
    <w:p w14:paraId="6128308B" w14:textId="77777777" w:rsidR="00D94021" w:rsidRPr="00D94021" w:rsidRDefault="00D94021" w:rsidP="00D94021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Ensure the baseline remains neutral and ready for new interactions.</w:t>
      </w:r>
    </w:p>
    <w:p w14:paraId="5DDB38B5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347F83C7">
          <v:rect id="_x0000_i1111" style="width:0;height:1.5pt" o:hralign="center" o:hrstd="t" o:hr="t" fillcolor="#a0a0a0" stroked="f"/>
        </w:pict>
      </w:r>
    </w:p>
    <w:p w14:paraId="3E1B6D64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✅ Best Practices</w:t>
      </w:r>
    </w:p>
    <w:p w14:paraId="3D4075E9" w14:textId="77777777" w:rsidR="00D94021" w:rsidRPr="00D94021" w:rsidRDefault="00D94021" w:rsidP="00D9402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Regularly perform context checks before starting a new engagement.</w:t>
      </w:r>
    </w:p>
    <w:p w14:paraId="6CF84AA7" w14:textId="77777777" w:rsidR="00D94021" w:rsidRPr="00D94021" w:rsidRDefault="00D94021" w:rsidP="00D9402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Keep context summaries clear, concise, and relevant.</w:t>
      </w:r>
    </w:p>
    <w:p w14:paraId="0C54CECC" w14:textId="77777777" w:rsidR="00D94021" w:rsidRPr="00D94021" w:rsidRDefault="00D94021" w:rsidP="00D9402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Always verify neutrality after context removal to maintain integrity of interactions.</w:t>
      </w:r>
    </w:p>
    <w:p w14:paraId="2C8E31C4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1AEF29A9">
          <v:rect id="_x0000_i1112" style="width:0;height:1.5pt" o:hralign="center" o:hrstd="t" o:hr="t" fillcolor="#a0a0a0" stroked="f"/>
        </w:pict>
      </w:r>
    </w:p>
    <w:p w14:paraId="6617F4E2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Customer Name: [e.g. Durham University]</w:t>
      </w:r>
      <w:r w:rsidRPr="00D94021">
        <w:rPr>
          <w:rFonts w:ascii="Segoe UI Emoji" w:hAnsi="Segoe UI Emoji" w:cs="Segoe UI Emoji"/>
          <w:b/>
          <w:bCs/>
        </w:rPr>
        <w:br/>
        <w:t>Project Focus: [e.g. NAC &amp; Segmentation]</w:t>
      </w:r>
      <w:r w:rsidRPr="00D94021">
        <w:rPr>
          <w:rFonts w:ascii="Segoe UI Emoji" w:hAnsi="Segoe UI Emoji" w:cs="Segoe UI Emoji"/>
          <w:b/>
          <w:bCs/>
        </w:rPr>
        <w:br/>
        <w:t>Key Objectives: [e.g. Simplification, automation, visibility]</w:t>
      </w:r>
      <w:r w:rsidRPr="00D94021">
        <w:rPr>
          <w:rFonts w:ascii="Segoe UI Emoji" w:hAnsi="Segoe UI Emoji" w:cs="Segoe UI Emoji"/>
          <w:b/>
          <w:bCs/>
        </w:rPr>
        <w:br/>
        <w:t>Tone Preference: [e.g. Concise, technical, vendor-verified]</w:t>
      </w:r>
      <w:r w:rsidRPr="00D94021">
        <w:rPr>
          <w:rFonts w:ascii="Segoe UI Emoji" w:hAnsi="Segoe UI Emoji" w:cs="Segoe UI Emoji"/>
          <w:b/>
          <w:bCs/>
        </w:rPr>
        <w:br/>
        <w:t>Exclusions: [e.g. No assumptions without validation]</w:t>
      </w:r>
    </w:p>
    <w:p w14:paraId="0D05CDEF" w14:textId="77777777" w:rsidR="00552135" w:rsidRPr="00D94021" w:rsidRDefault="00552135" w:rsidP="00D94021"/>
    <w:sectPr w:rsidR="00552135" w:rsidRPr="00D9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0F87"/>
    <w:multiLevelType w:val="multilevel"/>
    <w:tmpl w:val="C1A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353E"/>
    <w:multiLevelType w:val="multilevel"/>
    <w:tmpl w:val="8ED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5E9C"/>
    <w:multiLevelType w:val="multilevel"/>
    <w:tmpl w:val="87C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8477E"/>
    <w:multiLevelType w:val="multilevel"/>
    <w:tmpl w:val="CC4C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76698"/>
    <w:multiLevelType w:val="multilevel"/>
    <w:tmpl w:val="586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D5773"/>
    <w:multiLevelType w:val="multilevel"/>
    <w:tmpl w:val="5860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9217C"/>
    <w:multiLevelType w:val="multilevel"/>
    <w:tmpl w:val="8AFE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D5F10"/>
    <w:multiLevelType w:val="multilevel"/>
    <w:tmpl w:val="644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F7E0D"/>
    <w:multiLevelType w:val="multilevel"/>
    <w:tmpl w:val="248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337114">
    <w:abstractNumId w:val="8"/>
  </w:num>
  <w:num w:numId="2" w16cid:durableId="1496652605">
    <w:abstractNumId w:val="1"/>
  </w:num>
  <w:num w:numId="3" w16cid:durableId="669716478">
    <w:abstractNumId w:val="2"/>
  </w:num>
  <w:num w:numId="4" w16cid:durableId="1450318870">
    <w:abstractNumId w:val="5"/>
  </w:num>
  <w:num w:numId="5" w16cid:durableId="522595223">
    <w:abstractNumId w:val="4"/>
  </w:num>
  <w:num w:numId="6" w16cid:durableId="865482531">
    <w:abstractNumId w:val="0"/>
  </w:num>
  <w:num w:numId="7" w16cid:durableId="700207540">
    <w:abstractNumId w:val="6"/>
  </w:num>
  <w:num w:numId="8" w16cid:durableId="1844203690">
    <w:abstractNumId w:val="3"/>
  </w:num>
  <w:num w:numId="9" w16cid:durableId="818037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EA"/>
    <w:rsid w:val="003A1153"/>
    <w:rsid w:val="00552135"/>
    <w:rsid w:val="008D622D"/>
    <w:rsid w:val="00985DEA"/>
    <w:rsid w:val="00D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6FFB"/>
  <w15:chartTrackingRefBased/>
  <w15:docId w15:val="{5459D5DD-2FD2-4C3B-A144-EDFB7E26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2025-05-31T18:41:00Z</dcterms:created>
  <dcterms:modified xsi:type="dcterms:W3CDTF">2025-05-31T18:43:00Z</dcterms:modified>
</cp:coreProperties>
</file>