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6BD5B" w14:textId="42DACF49" w:rsidR="00BD28F3" w:rsidRDefault="00932C73" w:rsidP="00932C73">
      <w:pPr>
        <w:jc w:val="center"/>
      </w:pPr>
      <w:r>
        <w:t>ZURICH UNIVERSITY OF APPLIED SCIENCES</w:t>
      </w:r>
    </w:p>
    <w:p w14:paraId="739FAC7F" w14:textId="590A173F" w:rsidR="00932C73" w:rsidRDefault="00932C73" w:rsidP="00932C73">
      <w:pPr>
        <w:jc w:val="center"/>
        <w:rPr>
          <w:lang w:val="en-US"/>
        </w:rPr>
      </w:pPr>
      <w:r w:rsidRPr="00932C73">
        <w:rPr>
          <w:lang w:val="en-US"/>
        </w:rPr>
        <w:t>SCHOOL OF LIFE SCIENCES AND FACILITY MANAGEMENT</w:t>
      </w:r>
    </w:p>
    <w:p w14:paraId="23C021F1" w14:textId="33FB96FE" w:rsidR="00932C73" w:rsidRDefault="00932C73" w:rsidP="00932C73">
      <w:pPr>
        <w:jc w:val="center"/>
        <w:rPr>
          <w:lang w:val="en-US"/>
        </w:rPr>
      </w:pPr>
      <w:r>
        <w:rPr>
          <w:lang w:val="en-US"/>
        </w:rPr>
        <w:t>INSTITUTE OF ICLS?</w:t>
      </w:r>
    </w:p>
    <w:p w14:paraId="0228C282" w14:textId="77777777" w:rsidR="00932C73" w:rsidRDefault="00932C73" w:rsidP="00932C73">
      <w:pPr>
        <w:jc w:val="center"/>
        <w:rPr>
          <w:lang w:val="en-US"/>
        </w:rPr>
      </w:pPr>
    </w:p>
    <w:p w14:paraId="4129729F" w14:textId="77777777" w:rsidR="00932C73" w:rsidRDefault="00932C73" w:rsidP="00932C73">
      <w:pPr>
        <w:jc w:val="center"/>
        <w:rPr>
          <w:lang w:val="en-US"/>
        </w:rPr>
      </w:pPr>
    </w:p>
    <w:p w14:paraId="38AE4E11" w14:textId="77777777" w:rsidR="00932C73" w:rsidRDefault="00932C73" w:rsidP="00932C73">
      <w:pPr>
        <w:jc w:val="center"/>
        <w:rPr>
          <w:lang w:val="en-US"/>
        </w:rPr>
      </w:pPr>
    </w:p>
    <w:p w14:paraId="1C266C86" w14:textId="5DD15162" w:rsidR="00932C73" w:rsidRDefault="00932C73" w:rsidP="00932C73">
      <w:pPr>
        <w:jc w:val="center"/>
        <w:rPr>
          <w:lang w:val="en-US"/>
        </w:rPr>
      </w:pPr>
      <w:r>
        <w:rPr>
          <w:lang w:val="en-US"/>
        </w:rPr>
        <w:t>TITLE OF THESIS</w:t>
      </w:r>
    </w:p>
    <w:p w14:paraId="30292A38" w14:textId="77777777" w:rsidR="00932C73" w:rsidRDefault="00932C73" w:rsidP="00932C73">
      <w:pPr>
        <w:jc w:val="center"/>
        <w:rPr>
          <w:lang w:val="en-US"/>
        </w:rPr>
      </w:pPr>
    </w:p>
    <w:p w14:paraId="1FBB8622" w14:textId="39DD0343" w:rsidR="00932C73" w:rsidRDefault="00932C73" w:rsidP="00932C73">
      <w:pPr>
        <w:jc w:val="center"/>
        <w:rPr>
          <w:lang w:val="en-US"/>
        </w:rPr>
      </w:pPr>
      <w:r>
        <w:rPr>
          <w:lang w:val="en-US"/>
        </w:rPr>
        <w:t>Type of work</w:t>
      </w:r>
    </w:p>
    <w:p w14:paraId="2BA52BCB" w14:textId="77777777" w:rsidR="00932C73" w:rsidRDefault="00932C73" w:rsidP="00932C73">
      <w:pPr>
        <w:jc w:val="center"/>
        <w:rPr>
          <w:lang w:val="en-US"/>
        </w:rPr>
      </w:pPr>
    </w:p>
    <w:p w14:paraId="2FEBE726" w14:textId="40F5B28E" w:rsidR="00932C73" w:rsidRDefault="00932C73" w:rsidP="00932C73">
      <w:pPr>
        <w:jc w:val="center"/>
        <w:rPr>
          <w:lang w:val="en-US"/>
        </w:rPr>
      </w:pPr>
      <w:r>
        <w:rPr>
          <w:lang w:val="en-US"/>
        </w:rPr>
        <w:t xml:space="preserve">By </w:t>
      </w:r>
    </w:p>
    <w:p w14:paraId="38B39DAE" w14:textId="2F3E4337" w:rsidR="00932C73" w:rsidRDefault="00932C73" w:rsidP="00932C73">
      <w:pPr>
        <w:jc w:val="center"/>
        <w:rPr>
          <w:lang w:val="en-US"/>
        </w:rPr>
      </w:pPr>
      <w:proofErr w:type="spellStart"/>
      <w:r>
        <w:rPr>
          <w:lang w:val="en-US"/>
        </w:rPr>
        <w:t>Fillipone</w:t>
      </w:r>
      <w:proofErr w:type="spellEnd"/>
      <w:r>
        <w:rPr>
          <w:lang w:val="en-US"/>
        </w:rPr>
        <w:t xml:space="preserve"> Dario</w:t>
      </w:r>
    </w:p>
    <w:p w14:paraId="1BB3CCD7" w14:textId="181B3C87" w:rsidR="00932C73" w:rsidRDefault="00932C73" w:rsidP="00932C73">
      <w:pPr>
        <w:jc w:val="center"/>
        <w:rPr>
          <w:lang w:val="en-US"/>
        </w:rPr>
      </w:pPr>
      <w:proofErr w:type="spellStart"/>
      <w:r>
        <w:rPr>
          <w:lang w:val="en-US"/>
        </w:rPr>
        <w:t>Binaki</w:t>
      </w:r>
      <w:proofErr w:type="spellEnd"/>
      <w:r>
        <w:rPr>
          <w:lang w:val="en-US"/>
        </w:rPr>
        <w:t xml:space="preserve"> Ajna</w:t>
      </w:r>
    </w:p>
    <w:p w14:paraId="2866977A" w14:textId="21E7ECA3" w:rsidR="00932C73" w:rsidRDefault="00932C73" w:rsidP="00932C73">
      <w:pPr>
        <w:jc w:val="center"/>
        <w:rPr>
          <w:lang w:val="en-US"/>
        </w:rPr>
      </w:pPr>
      <w:r>
        <w:rPr>
          <w:lang w:val="en-US"/>
        </w:rPr>
        <w:t>PA1….</w:t>
      </w:r>
    </w:p>
    <w:p w14:paraId="68870F26" w14:textId="73306287" w:rsidR="00932C73" w:rsidRDefault="00932C73" w:rsidP="00932C73">
      <w:pPr>
        <w:jc w:val="center"/>
        <w:rPr>
          <w:lang w:val="en-US"/>
        </w:rPr>
      </w:pPr>
      <w:r>
        <w:rPr>
          <w:lang w:val="en-US"/>
        </w:rPr>
        <w:t>Submission date:</w:t>
      </w:r>
    </w:p>
    <w:p w14:paraId="292E0712" w14:textId="13E3AB73" w:rsidR="00932C73" w:rsidRDefault="00932C73" w:rsidP="00932C73">
      <w:pPr>
        <w:jc w:val="center"/>
        <w:rPr>
          <w:lang w:val="en-US"/>
        </w:rPr>
      </w:pPr>
      <w:r>
        <w:rPr>
          <w:lang w:val="en-US"/>
        </w:rPr>
        <w:t>Subject area:</w:t>
      </w:r>
    </w:p>
    <w:p w14:paraId="2ECCA126" w14:textId="77777777" w:rsidR="00932C73" w:rsidRDefault="00932C73" w:rsidP="00932C73">
      <w:pPr>
        <w:jc w:val="center"/>
        <w:rPr>
          <w:lang w:val="en-US"/>
        </w:rPr>
      </w:pPr>
    </w:p>
    <w:p w14:paraId="1F76515C" w14:textId="77777777" w:rsidR="00932C73" w:rsidRDefault="00932C73" w:rsidP="00932C73">
      <w:pPr>
        <w:jc w:val="center"/>
        <w:rPr>
          <w:lang w:val="en-US"/>
        </w:rPr>
      </w:pPr>
    </w:p>
    <w:p w14:paraId="62E8402F" w14:textId="77777777" w:rsidR="00932C73" w:rsidRDefault="00932C73" w:rsidP="00932C73">
      <w:pPr>
        <w:rPr>
          <w:lang w:val="en-US"/>
        </w:rPr>
      </w:pPr>
    </w:p>
    <w:p w14:paraId="49260547" w14:textId="77777777" w:rsidR="00932C73" w:rsidRDefault="00932C73" w:rsidP="00932C73">
      <w:pPr>
        <w:rPr>
          <w:lang w:val="en-US"/>
        </w:rPr>
      </w:pPr>
    </w:p>
    <w:p w14:paraId="2A8188A2" w14:textId="77777777" w:rsidR="00932C73" w:rsidRDefault="00932C73" w:rsidP="00932C73">
      <w:pPr>
        <w:rPr>
          <w:lang w:val="en-US"/>
        </w:rPr>
      </w:pPr>
    </w:p>
    <w:p w14:paraId="6FA5CC54" w14:textId="77777777" w:rsidR="00932C73" w:rsidRDefault="00932C73" w:rsidP="00932C73">
      <w:pPr>
        <w:rPr>
          <w:lang w:val="en-US"/>
        </w:rPr>
      </w:pPr>
    </w:p>
    <w:p w14:paraId="038CB983" w14:textId="77777777" w:rsidR="00932C73" w:rsidRDefault="00932C73" w:rsidP="00932C73">
      <w:pPr>
        <w:rPr>
          <w:lang w:val="en-US"/>
        </w:rPr>
      </w:pPr>
    </w:p>
    <w:p w14:paraId="782DD7F5" w14:textId="77777777" w:rsidR="00932C73" w:rsidRDefault="00932C73" w:rsidP="00932C73">
      <w:pPr>
        <w:rPr>
          <w:lang w:val="en-US"/>
        </w:rPr>
      </w:pPr>
    </w:p>
    <w:p w14:paraId="76C8524C" w14:textId="0E939773" w:rsidR="00932C73" w:rsidRDefault="00932C73" w:rsidP="00932C73">
      <w:pPr>
        <w:rPr>
          <w:lang w:val="en-US"/>
        </w:rPr>
      </w:pPr>
      <w:r>
        <w:rPr>
          <w:lang w:val="en-US"/>
        </w:rPr>
        <w:t>Supervisors:</w:t>
      </w:r>
    </w:p>
    <w:p w14:paraId="146AFBC4" w14:textId="77777777" w:rsidR="00932C73" w:rsidRPr="00932C73" w:rsidRDefault="00932C73" w:rsidP="00932C73">
      <w:pPr>
        <w:rPr>
          <w:lang w:val="en-US"/>
        </w:rPr>
      </w:pPr>
      <w:proofErr w:type="spellStart"/>
      <w:r w:rsidRPr="00932C73">
        <w:rPr>
          <w:lang w:val="en-US"/>
        </w:rPr>
        <w:t>Bilgin</w:t>
      </w:r>
      <w:proofErr w:type="spellEnd"/>
      <w:r w:rsidRPr="00932C73">
        <w:rPr>
          <w:lang w:val="en-US"/>
        </w:rPr>
        <w:t xml:space="preserve"> </w:t>
      </w:r>
      <w:proofErr w:type="spellStart"/>
      <w:r w:rsidRPr="00932C73">
        <w:rPr>
          <w:lang w:val="en-US"/>
        </w:rPr>
        <w:t>Sonay</w:t>
      </w:r>
      <w:proofErr w:type="spellEnd"/>
      <w:r w:rsidRPr="00932C73">
        <w:rPr>
          <w:lang w:val="en-US"/>
        </w:rPr>
        <w:t xml:space="preserve"> </w:t>
      </w:r>
      <w:proofErr w:type="spellStart"/>
      <w:r w:rsidRPr="00932C73">
        <w:rPr>
          <w:lang w:val="en-US"/>
        </w:rPr>
        <w:t>Tugçe</w:t>
      </w:r>
      <w:proofErr w:type="spellEnd"/>
    </w:p>
    <w:p w14:paraId="7A289620" w14:textId="562A847D" w:rsidR="00894311" w:rsidRDefault="00165E6C" w:rsidP="00932C73">
      <w:pPr>
        <w:rPr>
          <w:lang w:val="en-US"/>
        </w:rPr>
      </w:pPr>
      <w:r>
        <w:rPr>
          <w:lang w:val="en-US"/>
        </w:rPr>
        <w:t>Company, address, location</w:t>
      </w:r>
    </w:p>
    <w:p w14:paraId="382999F6" w14:textId="77777777" w:rsidR="00894311" w:rsidRDefault="00894311">
      <w:pPr>
        <w:rPr>
          <w:lang w:val="en-US"/>
        </w:rPr>
      </w:pPr>
      <w:r>
        <w:rPr>
          <w:lang w:val="en-US"/>
        </w:rPr>
        <w:br w:type="page"/>
      </w:r>
    </w:p>
    <w:p w14:paraId="180014CC" w14:textId="0B2DAD73" w:rsidR="00894311" w:rsidRDefault="00894311" w:rsidP="00894311">
      <w:pPr>
        <w:pStyle w:val="berschrift1"/>
        <w:numPr>
          <w:ilvl w:val="0"/>
          <w:numId w:val="2"/>
        </w:numPr>
        <w:rPr>
          <w:lang w:val="en-US"/>
        </w:rPr>
      </w:pPr>
      <w:r>
        <w:rPr>
          <w:lang w:val="en-US"/>
        </w:rPr>
        <w:lastRenderedPageBreak/>
        <w:t>Abstract</w:t>
      </w:r>
    </w:p>
    <w:p w14:paraId="244338CB"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7263D80F" w14:textId="6C4CA378" w:rsidR="00894311" w:rsidRDefault="00894311" w:rsidP="00894311">
      <w:pPr>
        <w:pStyle w:val="berschrift1"/>
        <w:numPr>
          <w:ilvl w:val="0"/>
          <w:numId w:val="2"/>
        </w:numPr>
        <w:rPr>
          <w:lang w:val="en-US"/>
        </w:rPr>
      </w:pPr>
      <w:r>
        <w:rPr>
          <w:lang w:val="en-US"/>
        </w:rPr>
        <w:lastRenderedPageBreak/>
        <w:t>Acknowledgements</w:t>
      </w:r>
    </w:p>
    <w:p w14:paraId="4746E58F" w14:textId="05E1745F" w:rsidR="00894311" w:rsidRDefault="00894311">
      <w:pPr>
        <w:rPr>
          <w:lang w:val="en-US"/>
        </w:rPr>
      </w:pPr>
      <w:r>
        <w:rPr>
          <w:lang w:val="en-US"/>
        </w:rPr>
        <w:br w:type="page"/>
      </w:r>
    </w:p>
    <w:p w14:paraId="353A16B0" w14:textId="77777777" w:rsidR="00894311" w:rsidRPr="00894311" w:rsidRDefault="00894311" w:rsidP="00894311">
      <w:pPr>
        <w:rPr>
          <w:lang w:val="en-US"/>
        </w:rPr>
      </w:pPr>
    </w:p>
    <w:p w14:paraId="56BF7D10" w14:textId="77C66642" w:rsidR="00894311" w:rsidRDefault="00894311" w:rsidP="00894311">
      <w:pPr>
        <w:pStyle w:val="berschrift1"/>
        <w:numPr>
          <w:ilvl w:val="0"/>
          <w:numId w:val="2"/>
        </w:numPr>
        <w:rPr>
          <w:lang w:val="en-US"/>
        </w:rPr>
      </w:pPr>
      <w:r>
        <w:rPr>
          <w:lang w:val="en-US"/>
        </w:rPr>
        <w:t>Table of Contents</w:t>
      </w:r>
    </w:p>
    <w:p w14:paraId="114DE85E"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551DEAD2" w14:textId="09817577" w:rsidR="00894311" w:rsidRDefault="00894311" w:rsidP="00894311">
      <w:pPr>
        <w:pStyle w:val="berschrift1"/>
        <w:numPr>
          <w:ilvl w:val="0"/>
          <w:numId w:val="2"/>
        </w:numPr>
        <w:rPr>
          <w:lang w:val="en-US"/>
        </w:rPr>
      </w:pPr>
      <w:r>
        <w:rPr>
          <w:lang w:val="en-US"/>
        </w:rPr>
        <w:lastRenderedPageBreak/>
        <w:t>List of Abbreviations</w:t>
      </w:r>
    </w:p>
    <w:p w14:paraId="4683FFBE"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67C19BC3" w14:textId="5EFC3BB4" w:rsidR="00894311" w:rsidRDefault="00894311" w:rsidP="00894311">
      <w:pPr>
        <w:pStyle w:val="berschrift1"/>
        <w:numPr>
          <w:ilvl w:val="0"/>
          <w:numId w:val="2"/>
        </w:numPr>
        <w:rPr>
          <w:lang w:val="en-US"/>
        </w:rPr>
      </w:pPr>
      <w:r>
        <w:rPr>
          <w:lang w:val="en-US"/>
        </w:rPr>
        <w:lastRenderedPageBreak/>
        <w:t>Introduction</w:t>
      </w:r>
    </w:p>
    <w:p w14:paraId="496BADF0" w14:textId="77777777" w:rsidR="00014D57" w:rsidRDefault="0053652F">
      <w:pPr>
        <w:rPr>
          <w:lang w:val="en-US"/>
        </w:rPr>
      </w:pPr>
      <w:r w:rsidRPr="0053652F">
        <w:rPr>
          <w:lang w:val="en-US"/>
        </w:rPr>
        <w:t>13 species were present in more than 90 % of all investigated individuals, the majority of which produced short-chain fatty acids (SCFA)-producing bacteri</w:t>
      </w:r>
      <w:r w:rsidRPr="0053652F">
        <w:rPr>
          <w:lang w:val="en-US"/>
        </w:rPr>
        <w:t>a</w:t>
      </w:r>
      <w:proofErr w:type="gramStart"/>
      <w:r>
        <w:rPr>
          <w:lang w:val="en-US"/>
        </w:rPr>
        <w:t>….</w:t>
      </w:r>
      <w:r w:rsidRPr="0053652F">
        <w:rPr>
          <w:lang w:val="en-US"/>
        </w:rPr>
        <w:t>significant</w:t>
      </w:r>
      <w:proofErr w:type="gramEnd"/>
      <w:r w:rsidRPr="0053652F">
        <w:rPr>
          <w:lang w:val="en-US"/>
        </w:rPr>
        <w:t xml:space="preserve"> differences in gut microbial species and pathways between Western and non-Western countries</w:t>
      </w:r>
      <w:r>
        <w:rPr>
          <w:lang w:val="en-US"/>
        </w:rPr>
        <w:t>….</w:t>
      </w:r>
      <w:r w:rsidRPr="0053652F">
        <w:rPr>
          <w:lang w:val="en-US"/>
        </w:rPr>
        <w:t> Interestingly, we observed that China (CHN) was more similar to the United States (USA) and United Kingdom (GBR) in terms of the taxonomic and functional composition of the gut microbiome than India (IND) and Madagascar (MDG), which were more similar to the China (CHN) diet</w:t>
      </w:r>
      <w:r w:rsidR="00014D57">
        <w:rPr>
          <w:lang w:val="en-US"/>
        </w:rPr>
        <w:t>……</w:t>
      </w:r>
      <w:r w:rsidR="00014D57" w:rsidRPr="00014D57">
        <w:rPr>
          <w:lang w:val="en-US"/>
        </w:rPr>
        <w:t>Next, we identified 13 species (</w:t>
      </w:r>
      <w:proofErr w:type="spellStart"/>
      <w:r w:rsidR="00014D57" w:rsidRPr="00014D57">
        <w:rPr>
          <w:i/>
          <w:iCs/>
          <w:lang w:val="en-US"/>
        </w:rPr>
        <w:t>Collinsella</w:t>
      </w:r>
      <w:proofErr w:type="spellEnd"/>
      <w:r w:rsidR="00014D57" w:rsidRPr="00014D57">
        <w:rPr>
          <w:i/>
          <w:iCs/>
          <w:lang w:val="en-US"/>
        </w:rPr>
        <w:t xml:space="preserve"> </w:t>
      </w:r>
      <w:proofErr w:type="spellStart"/>
      <w:r w:rsidR="00014D57" w:rsidRPr="00014D57">
        <w:rPr>
          <w:i/>
          <w:iCs/>
          <w:lang w:val="en-US"/>
        </w:rPr>
        <w:t>aerofaciens</w:t>
      </w:r>
      <w:proofErr w:type="spellEnd"/>
      <w:r w:rsidR="00014D57" w:rsidRPr="00014D57">
        <w:rPr>
          <w:i/>
          <w:iCs/>
          <w:lang w:val="en-US"/>
        </w:rPr>
        <w:t xml:space="preserve">, </w:t>
      </w:r>
      <w:proofErr w:type="spellStart"/>
      <w:r w:rsidR="00014D57" w:rsidRPr="00014D57">
        <w:rPr>
          <w:i/>
          <w:iCs/>
          <w:lang w:val="en-US"/>
        </w:rPr>
        <w:t>Agathobaculum</w:t>
      </w:r>
      <w:proofErr w:type="spellEnd"/>
      <w:r w:rsidR="00014D57" w:rsidRPr="00014D57">
        <w:rPr>
          <w:i/>
          <w:iCs/>
          <w:lang w:val="en-US"/>
        </w:rPr>
        <w:t xml:space="preserve"> </w:t>
      </w:r>
      <w:proofErr w:type="spellStart"/>
      <w:r w:rsidR="00014D57" w:rsidRPr="00014D57">
        <w:rPr>
          <w:i/>
          <w:iCs/>
          <w:lang w:val="en-US"/>
        </w:rPr>
        <w:t>butyriciproducens</w:t>
      </w:r>
      <w:proofErr w:type="spellEnd"/>
      <w:r w:rsidR="00014D57" w:rsidRPr="00014D57">
        <w:rPr>
          <w:i/>
          <w:iCs/>
          <w:lang w:val="en-US"/>
        </w:rPr>
        <w:t xml:space="preserve">, </w:t>
      </w:r>
      <w:proofErr w:type="spellStart"/>
      <w:r w:rsidR="00014D57" w:rsidRPr="00014D57">
        <w:rPr>
          <w:i/>
          <w:iCs/>
          <w:lang w:val="en-US"/>
        </w:rPr>
        <w:t>Faecalibacterium</w:t>
      </w:r>
      <w:proofErr w:type="spellEnd"/>
      <w:r w:rsidR="00014D57" w:rsidRPr="00014D57">
        <w:rPr>
          <w:i/>
          <w:iCs/>
          <w:lang w:val="en-US"/>
        </w:rPr>
        <w:t xml:space="preserve"> </w:t>
      </w:r>
      <w:proofErr w:type="spellStart"/>
      <w:r w:rsidR="00014D57" w:rsidRPr="00014D57">
        <w:rPr>
          <w:i/>
          <w:iCs/>
          <w:lang w:val="en-US"/>
        </w:rPr>
        <w:t>prausnitzii</w:t>
      </w:r>
      <w:proofErr w:type="spellEnd"/>
      <w:r w:rsidR="00014D57" w:rsidRPr="00014D57">
        <w:rPr>
          <w:i/>
          <w:iCs/>
          <w:lang w:val="en-US"/>
        </w:rPr>
        <w:t xml:space="preserve">, </w:t>
      </w:r>
      <w:proofErr w:type="spellStart"/>
      <w:r w:rsidR="00014D57" w:rsidRPr="00014D57">
        <w:rPr>
          <w:i/>
          <w:iCs/>
          <w:lang w:val="en-US"/>
        </w:rPr>
        <w:t>Anaerostipes</w:t>
      </w:r>
      <w:proofErr w:type="spellEnd"/>
      <w:r w:rsidR="00014D57" w:rsidRPr="00014D57">
        <w:rPr>
          <w:i/>
          <w:iCs/>
          <w:lang w:val="en-US"/>
        </w:rPr>
        <w:t xml:space="preserve"> </w:t>
      </w:r>
      <w:proofErr w:type="spellStart"/>
      <w:r w:rsidR="00014D57" w:rsidRPr="00014D57">
        <w:rPr>
          <w:i/>
          <w:iCs/>
          <w:lang w:val="en-US"/>
        </w:rPr>
        <w:t>hadrus</w:t>
      </w:r>
      <w:proofErr w:type="spellEnd"/>
      <w:r w:rsidR="00014D57" w:rsidRPr="00014D57">
        <w:rPr>
          <w:i/>
          <w:iCs/>
          <w:lang w:val="en-US"/>
        </w:rPr>
        <w:t xml:space="preserve">, </w:t>
      </w:r>
      <w:proofErr w:type="spellStart"/>
      <w:r w:rsidR="00014D57" w:rsidRPr="00014D57">
        <w:rPr>
          <w:i/>
          <w:iCs/>
          <w:lang w:val="en-US"/>
        </w:rPr>
        <w:t>Fusicatenibacter</w:t>
      </w:r>
      <w:proofErr w:type="spellEnd"/>
      <w:r w:rsidR="00014D57" w:rsidRPr="00014D57">
        <w:rPr>
          <w:i/>
          <w:iCs/>
          <w:lang w:val="en-US"/>
        </w:rPr>
        <w:t xml:space="preserve"> </w:t>
      </w:r>
      <w:proofErr w:type="spellStart"/>
      <w:r w:rsidR="00014D57" w:rsidRPr="00014D57">
        <w:rPr>
          <w:i/>
          <w:iCs/>
          <w:lang w:val="en-US"/>
        </w:rPr>
        <w:t>saccharivorans</w:t>
      </w:r>
      <w:proofErr w:type="spellEnd"/>
      <w:r w:rsidR="00014D57" w:rsidRPr="00014D57">
        <w:rPr>
          <w:i/>
          <w:iCs/>
          <w:lang w:val="en-US"/>
        </w:rPr>
        <w:t xml:space="preserve">, </w:t>
      </w:r>
      <w:proofErr w:type="spellStart"/>
      <w:r w:rsidR="00014D57" w:rsidRPr="00014D57">
        <w:rPr>
          <w:i/>
          <w:iCs/>
          <w:lang w:val="en-US"/>
        </w:rPr>
        <w:t>Blautia</w:t>
      </w:r>
      <w:proofErr w:type="spellEnd"/>
      <w:r w:rsidR="00014D57" w:rsidRPr="00014D57">
        <w:rPr>
          <w:i/>
          <w:iCs/>
          <w:lang w:val="en-US"/>
        </w:rPr>
        <w:t xml:space="preserve"> </w:t>
      </w:r>
      <w:proofErr w:type="spellStart"/>
      <w:r w:rsidR="00014D57" w:rsidRPr="00014D57">
        <w:rPr>
          <w:i/>
          <w:iCs/>
          <w:lang w:val="en-US"/>
        </w:rPr>
        <w:t>wexlerae</w:t>
      </w:r>
      <w:proofErr w:type="spellEnd"/>
      <w:r w:rsidR="00014D57" w:rsidRPr="00014D57">
        <w:rPr>
          <w:i/>
          <w:iCs/>
          <w:lang w:val="en-US"/>
        </w:rPr>
        <w:t xml:space="preserve">, </w:t>
      </w:r>
      <w:proofErr w:type="spellStart"/>
      <w:r w:rsidR="00014D57" w:rsidRPr="00014D57">
        <w:rPr>
          <w:i/>
          <w:iCs/>
          <w:lang w:val="en-US"/>
        </w:rPr>
        <w:t>Blautia</w:t>
      </w:r>
      <w:proofErr w:type="spellEnd"/>
      <w:r w:rsidR="00014D57" w:rsidRPr="00014D57">
        <w:rPr>
          <w:i/>
          <w:iCs/>
          <w:lang w:val="en-US"/>
        </w:rPr>
        <w:t xml:space="preserve"> </w:t>
      </w:r>
      <w:proofErr w:type="spellStart"/>
      <w:r w:rsidR="00014D57" w:rsidRPr="00014D57">
        <w:rPr>
          <w:i/>
          <w:iCs/>
          <w:lang w:val="en-US"/>
        </w:rPr>
        <w:t>obeum</w:t>
      </w:r>
      <w:proofErr w:type="spellEnd"/>
      <w:r w:rsidR="00014D57" w:rsidRPr="00014D57">
        <w:rPr>
          <w:i/>
          <w:iCs/>
          <w:lang w:val="en-US"/>
        </w:rPr>
        <w:t xml:space="preserve">, </w:t>
      </w:r>
      <w:proofErr w:type="spellStart"/>
      <w:r w:rsidR="00014D57" w:rsidRPr="00014D57">
        <w:rPr>
          <w:i/>
          <w:iCs/>
          <w:lang w:val="en-US"/>
        </w:rPr>
        <w:t>Dorea</w:t>
      </w:r>
      <w:proofErr w:type="spellEnd"/>
      <w:r w:rsidR="00014D57" w:rsidRPr="00014D57">
        <w:rPr>
          <w:i/>
          <w:iCs/>
          <w:lang w:val="en-US"/>
        </w:rPr>
        <w:t xml:space="preserve"> </w:t>
      </w:r>
      <w:proofErr w:type="spellStart"/>
      <w:r w:rsidR="00014D57" w:rsidRPr="00014D57">
        <w:rPr>
          <w:i/>
          <w:iCs/>
          <w:lang w:val="en-US"/>
        </w:rPr>
        <w:t>longicatena</w:t>
      </w:r>
      <w:proofErr w:type="spellEnd"/>
      <w:r w:rsidR="00014D57" w:rsidRPr="00014D57">
        <w:rPr>
          <w:i/>
          <w:iCs/>
          <w:lang w:val="en-US"/>
        </w:rPr>
        <w:t xml:space="preserve">, </w:t>
      </w:r>
      <w:proofErr w:type="spellStart"/>
      <w:r w:rsidR="00014D57" w:rsidRPr="00014D57">
        <w:rPr>
          <w:i/>
          <w:iCs/>
          <w:lang w:val="en-US"/>
        </w:rPr>
        <w:t>Dorea</w:t>
      </w:r>
      <w:proofErr w:type="spellEnd"/>
      <w:r w:rsidR="00014D57" w:rsidRPr="00014D57">
        <w:rPr>
          <w:i/>
          <w:iCs/>
          <w:lang w:val="en-US"/>
        </w:rPr>
        <w:t xml:space="preserve"> </w:t>
      </w:r>
      <w:proofErr w:type="spellStart"/>
      <w:r w:rsidR="00014D57" w:rsidRPr="00014D57">
        <w:rPr>
          <w:i/>
          <w:iCs/>
          <w:lang w:val="en-US"/>
        </w:rPr>
        <w:t>formicigenerans</w:t>
      </w:r>
      <w:proofErr w:type="spellEnd"/>
      <w:r w:rsidR="00014D57" w:rsidRPr="00014D57">
        <w:rPr>
          <w:i/>
          <w:iCs/>
          <w:lang w:val="en-US"/>
        </w:rPr>
        <w:t xml:space="preserve">, Eubacterium </w:t>
      </w:r>
      <w:proofErr w:type="spellStart"/>
      <w:r w:rsidR="00014D57" w:rsidRPr="00014D57">
        <w:rPr>
          <w:i/>
          <w:iCs/>
          <w:lang w:val="en-US"/>
        </w:rPr>
        <w:t>hallii</w:t>
      </w:r>
      <w:proofErr w:type="spellEnd"/>
      <w:r w:rsidR="00014D57" w:rsidRPr="00014D57">
        <w:rPr>
          <w:i/>
          <w:iCs/>
          <w:lang w:val="en-US"/>
        </w:rPr>
        <w:t xml:space="preserve">, </w:t>
      </w:r>
      <w:proofErr w:type="spellStart"/>
      <w:r w:rsidR="00014D57" w:rsidRPr="00014D57">
        <w:rPr>
          <w:i/>
          <w:iCs/>
          <w:lang w:val="en-US"/>
        </w:rPr>
        <w:t>Roseburia</w:t>
      </w:r>
      <w:proofErr w:type="spellEnd"/>
      <w:r w:rsidR="00014D57" w:rsidRPr="00014D57">
        <w:rPr>
          <w:i/>
          <w:iCs/>
          <w:lang w:val="en-US"/>
        </w:rPr>
        <w:t xml:space="preserve"> </w:t>
      </w:r>
      <w:proofErr w:type="spellStart"/>
      <w:r w:rsidR="00014D57" w:rsidRPr="00014D57">
        <w:rPr>
          <w:i/>
          <w:iCs/>
          <w:lang w:val="en-US"/>
        </w:rPr>
        <w:t>inulinivorans</w:t>
      </w:r>
      <w:proofErr w:type="spellEnd"/>
      <w:r w:rsidR="00014D57" w:rsidRPr="00014D57">
        <w:rPr>
          <w:i/>
          <w:iCs/>
          <w:lang w:val="en-US"/>
        </w:rPr>
        <w:t xml:space="preserve">, Eubacterium </w:t>
      </w:r>
      <w:proofErr w:type="spellStart"/>
      <w:r w:rsidR="00014D57" w:rsidRPr="00014D57">
        <w:rPr>
          <w:i/>
          <w:iCs/>
          <w:lang w:val="en-US"/>
        </w:rPr>
        <w:t>rectale</w:t>
      </w:r>
      <w:proofErr w:type="spellEnd"/>
      <w:r w:rsidR="00014D57" w:rsidRPr="00014D57">
        <w:rPr>
          <w:i/>
          <w:iCs/>
          <w:lang w:val="en-US"/>
        </w:rPr>
        <w:t xml:space="preserve">, Bacteroides </w:t>
      </w:r>
      <w:proofErr w:type="spellStart"/>
      <w:r w:rsidR="00014D57" w:rsidRPr="00014D57">
        <w:rPr>
          <w:i/>
          <w:iCs/>
          <w:lang w:val="en-US"/>
        </w:rPr>
        <w:t>uniformis</w:t>
      </w:r>
      <w:proofErr w:type="spellEnd"/>
      <w:r w:rsidR="00014D57" w:rsidRPr="00014D57">
        <w:rPr>
          <w:lang w:val="en-US"/>
        </w:rPr>
        <w:t>) that were present in more than 90 % of all investigated individuals, indicating that they may play critical roles in the gut microbiome ecosystem of healthy individuals</w:t>
      </w:r>
      <w:r w:rsidR="00014D57">
        <w:rPr>
          <w:lang w:val="en-US"/>
        </w:rPr>
        <w:t>……</w:t>
      </w:r>
      <w:r w:rsidR="00014D57" w:rsidRPr="00014D57">
        <w:rPr>
          <w:lang w:val="en-US"/>
        </w:rPr>
        <w:t>10 species (</w:t>
      </w:r>
      <w:hyperlink r:id="rId5" w:anchor="sec0095" w:history="1">
        <w:r w:rsidR="00014D57" w:rsidRPr="00014D57">
          <w:rPr>
            <w:rStyle w:val="Hyperlink"/>
            <w:lang w:val="en-US"/>
          </w:rPr>
          <w:t>Supplementary Table S7</w:t>
        </w:r>
      </w:hyperlink>
      <w:r w:rsidR="00014D57" w:rsidRPr="00014D57">
        <w:rPr>
          <w:lang w:val="en-US"/>
        </w:rPr>
        <w:t>), including </w:t>
      </w:r>
      <w:proofErr w:type="spellStart"/>
      <w:r w:rsidR="00014D57" w:rsidRPr="00014D57">
        <w:rPr>
          <w:i/>
          <w:iCs/>
          <w:lang w:val="en-US"/>
        </w:rPr>
        <w:t>Akkermansia</w:t>
      </w:r>
      <w:proofErr w:type="spellEnd"/>
      <w:r w:rsidR="00014D57" w:rsidRPr="00014D57">
        <w:rPr>
          <w:i/>
          <w:iCs/>
          <w:lang w:val="en-US"/>
        </w:rPr>
        <w:t xml:space="preserve"> </w:t>
      </w:r>
      <w:proofErr w:type="spellStart"/>
      <w:r w:rsidR="00014D57" w:rsidRPr="00014D57">
        <w:rPr>
          <w:i/>
          <w:iCs/>
          <w:lang w:val="en-US"/>
        </w:rPr>
        <w:t>muciniphila</w:t>
      </w:r>
      <w:proofErr w:type="spellEnd"/>
      <w:r w:rsidR="00014D57" w:rsidRPr="00014D57">
        <w:rPr>
          <w:i/>
          <w:iCs/>
          <w:lang w:val="en-US"/>
        </w:rPr>
        <w:t xml:space="preserve">, </w:t>
      </w:r>
      <w:proofErr w:type="spellStart"/>
      <w:r w:rsidR="00014D57" w:rsidRPr="00014D57">
        <w:rPr>
          <w:i/>
          <w:iCs/>
          <w:lang w:val="en-US"/>
        </w:rPr>
        <w:t>Anaerostipes</w:t>
      </w:r>
      <w:proofErr w:type="spellEnd"/>
      <w:r w:rsidR="00014D57" w:rsidRPr="00014D57">
        <w:rPr>
          <w:i/>
          <w:iCs/>
          <w:lang w:val="en-US"/>
        </w:rPr>
        <w:t xml:space="preserve"> </w:t>
      </w:r>
      <w:proofErr w:type="spellStart"/>
      <w:r w:rsidR="00014D57" w:rsidRPr="00014D57">
        <w:rPr>
          <w:i/>
          <w:iCs/>
          <w:lang w:val="en-US"/>
        </w:rPr>
        <w:t>hadrus</w:t>
      </w:r>
      <w:proofErr w:type="spellEnd"/>
      <w:r w:rsidR="00014D57" w:rsidRPr="00014D57">
        <w:rPr>
          <w:i/>
          <w:iCs/>
          <w:lang w:val="en-US"/>
        </w:rPr>
        <w:t xml:space="preserve">, Clostridium </w:t>
      </w:r>
      <w:proofErr w:type="spellStart"/>
      <w:r w:rsidR="00014D57" w:rsidRPr="00014D57">
        <w:rPr>
          <w:i/>
          <w:iCs/>
          <w:lang w:val="en-US"/>
        </w:rPr>
        <w:t>leptum</w:t>
      </w:r>
      <w:proofErr w:type="spellEnd"/>
      <w:r w:rsidR="00014D57" w:rsidRPr="00014D57">
        <w:rPr>
          <w:i/>
          <w:iCs/>
          <w:lang w:val="en-US"/>
        </w:rPr>
        <w:t xml:space="preserve">, Clostridium sp. CAG 167, </w:t>
      </w:r>
      <w:proofErr w:type="spellStart"/>
      <w:r w:rsidR="00014D57" w:rsidRPr="00014D57">
        <w:rPr>
          <w:i/>
          <w:iCs/>
          <w:lang w:val="en-US"/>
        </w:rPr>
        <w:t>Barnesiella</w:t>
      </w:r>
      <w:proofErr w:type="spellEnd"/>
      <w:r w:rsidR="00014D57" w:rsidRPr="00014D57">
        <w:rPr>
          <w:i/>
          <w:iCs/>
          <w:lang w:val="en-US"/>
        </w:rPr>
        <w:t xml:space="preserve"> </w:t>
      </w:r>
      <w:proofErr w:type="spellStart"/>
      <w:r w:rsidR="00014D57" w:rsidRPr="00014D57">
        <w:rPr>
          <w:i/>
          <w:iCs/>
          <w:lang w:val="en-US"/>
        </w:rPr>
        <w:t>intestinihominis</w:t>
      </w:r>
      <w:proofErr w:type="spellEnd"/>
      <w:r w:rsidR="00014D57" w:rsidRPr="00014D57">
        <w:rPr>
          <w:lang w:val="en-US"/>
        </w:rPr>
        <w:t>, and </w:t>
      </w:r>
      <w:r w:rsidR="00014D57" w:rsidRPr="00014D57">
        <w:rPr>
          <w:i/>
          <w:iCs/>
          <w:lang w:val="en-US"/>
        </w:rPr>
        <w:t>Streptococcus thermophilus</w:t>
      </w:r>
      <w:r w:rsidR="00014D57" w:rsidRPr="00014D57">
        <w:rPr>
          <w:lang w:val="en-US"/>
        </w:rPr>
        <w:t>, that were more abundant in Western countries than in non-Western countries</w:t>
      </w:r>
      <w:r w:rsidR="00014D57" w:rsidRPr="00014D57">
        <w:rPr>
          <w:lang w:val="en-US"/>
        </w:rPr>
        <w:t>…..</w:t>
      </w:r>
      <w:r w:rsidR="00014D57" w:rsidRPr="00014D57">
        <w:rPr>
          <w:lang w:val="en-US"/>
        </w:rPr>
        <w:t>Conversely, eight species, including </w:t>
      </w:r>
      <w:r w:rsidR="00014D57" w:rsidRPr="00014D57">
        <w:rPr>
          <w:i/>
          <w:iCs/>
          <w:lang w:val="en-US"/>
        </w:rPr>
        <w:t>Escherichia coli</w:t>
      </w:r>
      <w:r w:rsidR="00014D57" w:rsidRPr="00014D57">
        <w:rPr>
          <w:lang w:val="en-US"/>
        </w:rPr>
        <w:t>, </w:t>
      </w:r>
      <w:proofErr w:type="spellStart"/>
      <w:r w:rsidR="00014D57" w:rsidRPr="00014D57">
        <w:rPr>
          <w:i/>
          <w:iCs/>
          <w:lang w:val="en-US"/>
        </w:rPr>
        <w:t>Prevotella</w:t>
      </w:r>
      <w:proofErr w:type="spellEnd"/>
      <w:r w:rsidR="00014D57" w:rsidRPr="00014D57">
        <w:rPr>
          <w:i/>
          <w:iCs/>
          <w:lang w:val="en-US"/>
        </w:rPr>
        <w:t xml:space="preserve"> </w:t>
      </w:r>
      <w:proofErr w:type="spellStart"/>
      <w:r w:rsidR="00014D57" w:rsidRPr="00014D57">
        <w:rPr>
          <w:i/>
          <w:iCs/>
          <w:lang w:val="en-US"/>
        </w:rPr>
        <w:t>copri</w:t>
      </w:r>
      <w:proofErr w:type="spellEnd"/>
      <w:r w:rsidR="00014D57" w:rsidRPr="00014D57">
        <w:rPr>
          <w:lang w:val="en-US"/>
        </w:rPr>
        <w:t>, and </w:t>
      </w:r>
      <w:proofErr w:type="spellStart"/>
      <w:r w:rsidR="00014D57" w:rsidRPr="00014D57">
        <w:rPr>
          <w:i/>
          <w:iCs/>
          <w:lang w:val="en-US"/>
        </w:rPr>
        <w:t>Prevotella</w:t>
      </w:r>
      <w:proofErr w:type="spellEnd"/>
      <w:r w:rsidR="00014D57" w:rsidRPr="00014D57">
        <w:rPr>
          <w:i/>
          <w:iCs/>
          <w:lang w:val="en-US"/>
        </w:rPr>
        <w:t xml:space="preserve"> </w:t>
      </w:r>
      <w:proofErr w:type="spellStart"/>
      <w:r w:rsidR="00014D57" w:rsidRPr="00014D57">
        <w:rPr>
          <w:i/>
          <w:iCs/>
          <w:lang w:val="en-US"/>
        </w:rPr>
        <w:t>stercorea</w:t>
      </w:r>
      <w:proofErr w:type="spellEnd"/>
      <w:r w:rsidR="00014D57" w:rsidRPr="00014D57">
        <w:rPr>
          <w:lang w:val="en-US"/>
        </w:rPr>
        <w:t> were less abundant in Western countries</w:t>
      </w:r>
      <w:r w:rsidR="00014D57">
        <w:rPr>
          <w:lang w:val="en-US"/>
        </w:rPr>
        <w:t>…..</w:t>
      </w:r>
    </w:p>
    <w:p w14:paraId="2009936D" w14:textId="77777777" w:rsidR="00014D57" w:rsidRDefault="00014D57">
      <w:pPr>
        <w:rPr>
          <w:lang w:val="en-US"/>
        </w:rPr>
      </w:pPr>
      <w:r>
        <w:rPr>
          <w:lang w:val="en-US"/>
        </w:rPr>
        <w:fldChar w:fldCharType="begin"/>
      </w:r>
      <w:r>
        <w:rPr>
          <w:lang w:val="en-US"/>
        </w:rPr>
        <w:instrText xml:space="preserve"> ADDIN ZOTERO_ITEM CSL_CITATION {"citationID":"G6W53i8J","properties":{"formattedCitation":"(Sheng et al., 2023)","plainCitation":"(Sheng et al., 2023)","noteIndex":0},"citationItems":[{"id":73,"uris":["http://zotero.org/users/19750285/items/LR6PUEDR"],"itemData":{"id":73,"type":"article-journal","abstract":"Despite extensive research on the gut microbiome of healthy individuals from a single country, there are still a limited number of population-level comparative studies. Moreover, the sequencing approach used in most related studies involves 16 S ribosomal RNA (rRNA) sequencing with a limited resolution, which cannot provide detailed functional profiles. In the present study, we applied a combined analysis approach to analyze whole metagenomic shotgun sequencing data from 2035 healthy adult samples from six countries across four continents. Analysis of core species revealed that 13 species were present in more than 90 % of all investigated individuals, the majority of which produced short-chain fatty acids (SCFA)-producing bacteria. Our analysis revealed consistently significant differences in gut microbial species and pathways between Western and non-Western countries, such as Escherichia coli and the relation of MetaCyc pathways to the TCA cycle. Specific changes in microbial species and pathways are potentially related to lifestyle and diet. Furthermore, we identified several noteworthy microbial species and pathways that exhibit distinct characteristics specific to China. Interestingly, we observed that China (CHN) was more similar to the United States (USA) and United Kingdom (GBR) in terms of the taxonomic and functional composition of the gut microbiome than India (IND) and Madagascar (MDG), which were more similar to the China (CHN) diet. The current study identified consistent microbial features associated with population and geography, which will inspire further clinical translations that consider paying attention to differences in microbiota backgrounds and confounding factors., This Graphical Abstract was created with BioRender.com.ga1","container-title":"Computational and Structural Biotechnology Journal","DOI":"10.1016/j.csbj.2023.11.047","ISSN":"2001-0370","journalAbbreviation":"Comput Struct Biotechnol J","page":"87-95","PMID":"38116074","PMCID":"PMC10730331","source":"PubMed Central","title":"Combined analysis of cross-population healthy adult human microbiome reveals consistent differences in gut microbial characteristics between Western and non-Western countries","volume":"23","author":[{"family":"Sheng","given":"Yanghao"},{"family":"Wang","given":"Jue"},{"family":"Gao","given":"Yongchao"},{"family":"Peng","given":"Yilei"},{"family":"Li","given":"Xiong"},{"family":"Huang","given":"Weihua"},{"family":"Zhou","given":"Honghao"},{"family":"Liu","given":"Rong"},{"family":"Zhang","given":"Wei"}],"issued":{"date-parts":[["2023",11,28]]}}}],"schema":"https://github.com/citation-style-language/schema/raw/master/csl-citation.json"} </w:instrText>
      </w:r>
      <w:r>
        <w:rPr>
          <w:lang w:val="en-US"/>
        </w:rPr>
        <w:fldChar w:fldCharType="separate"/>
      </w:r>
      <w:r>
        <w:rPr>
          <w:noProof/>
          <w:lang w:val="en-US"/>
        </w:rPr>
        <w:t>(Sheng et al., 2023)</w:t>
      </w:r>
      <w:r>
        <w:rPr>
          <w:lang w:val="en-US"/>
        </w:rPr>
        <w:fldChar w:fldCharType="end"/>
      </w:r>
    </w:p>
    <w:p w14:paraId="2D1996C1" w14:textId="77777777" w:rsidR="00014D57" w:rsidRDefault="00014D57">
      <w:pPr>
        <w:rPr>
          <w:lang w:val="en-US"/>
        </w:rPr>
      </w:pPr>
    </w:p>
    <w:p w14:paraId="44867674" w14:textId="5B287BAE" w:rsidR="002D1E8A" w:rsidRDefault="002D1E8A">
      <w:pPr>
        <w:rPr>
          <w:lang w:val="en-US"/>
        </w:rPr>
      </w:pPr>
      <w:r>
        <w:rPr>
          <w:lang w:val="en-US"/>
        </w:rPr>
        <w:t>General information about microbiome, good for the start of the introduction:</w:t>
      </w:r>
    </w:p>
    <w:p w14:paraId="05283F05" w14:textId="77777777" w:rsidR="002D1E8A" w:rsidRDefault="002D1E8A">
      <w:pPr>
        <w:rPr>
          <w:lang w:val="en-US"/>
        </w:rPr>
      </w:pPr>
      <w:r>
        <w:rPr>
          <w:lang w:val="en-US"/>
        </w:rPr>
        <w:fldChar w:fldCharType="begin"/>
      </w:r>
      <w:r>
        <w:rPr>
          <w:lang w:val="en-US"/>
        </w:rPr>
        <w:instrText xml:space="preserve"> ADDIN ZOTERO_ITEM CSL_CITATION {"citationID":"fUD6nOYc","properties":{"formattedCitation":"(Lloyd-Price et al., 2016)","plainCitation":"(Lloyd-Price et al., 2016)","noteIndex":0},"citationItems":[{"id":81,"uris":["http://zotero.org/groups/6441163/items/V3M8K4DG"],"itemData":{"id":81,"type":"article-journal","abstract":"Humans are virtually identical in their genetic makeup, yet the small differences in our DNA give rise to tremendous phenotypic diversity across the human population. By contrast, the metagenome of the human microbiome—the total DNA content of microbes inhabiting our bodies—is quite a bit more variable, with only a third of its constituent genes found in a majority of healthy individuals. Understanding this variability in the “healthy microbiome” has thus been a major challenge in microbiome research, dating back at least to the 1960s, continuing through the Human Microbiome Project and beyond. Cataloguing the necessary and sufficient sets of microbiome features that support health, and the normal ranges of these features in healthy populations, is an essential first step to identifying and correcting microbial configurations that are implicated in disease. Toward this goal, several population-scale studies have documented the ranges and diversity of both taxonomic compositions and functional potentials normally observed in the microbiomes of healthy populations, along with possible driving factors such as geography, diet, and lifestyle. Here, we review several definitions of a ‘healthy microbiome’ that have emerged, the current understanding of the ranges of healthy microbial diversity, and gaps such as the characterization of molecular function and the development of ecological therapies to be addressed in the future.","container-title":"Genome Medicine","DOI":"10.1186/s13073-016-0307-y","ISSN":"1756-994X","issue":"1","journalAbbreviation":"Genome Med","language":"en","page":"51","source":"Springer Link","title":"The healthy human microbiome","volume":"8","author":[{"family":"Lloyd-Price","given":"Jason"},{"family":"Abu-Ali","given":"Galeb"},{"family":"Huttenhower","given":"Curtis"}],"issued":{"date-parts":[["2016",4,27]]}}}],"schema":"https://github.com/citation-style-language/schema/raw/master/csl-citation.json"} </w:instrText>
      </w:r>
      <w:r>
        <w:rPr>
          <w:lang w:val="en-US"/>
        </w:rPr>
        <w:fldChar w:fldCharType="separate"/>
      </w:r>
      <w:r>
        <w:rPr>
          <w:noProof/>
          <w:lang w:val="en-US"/>
        </w:rPr>
        <w:t>(Lloyd-Price et al., 2016)</w:t>
      </w:r>
      <w:r>
        <w:rPr>
          <w:lang w:val="en-US"/>
        </w:rPr>
        <w:fldChar w:fldCharType="end"/>
      </w:r>
    </w:p>
    <w:p w14:paraId="0ABEF90E" w14:textId="77777777" w:rsidR="002D1E8A" w:rsidRDefault="002D1E8A">
      <w:pPr>
        <w:rPr>
          <w:lang w:val="en-US"/>
        </w:rPr>
      </w:pPr>
    </w:p>
    <w:p w14:paraId="555C09C0" w14:textId="77777777" w:rsidR="002D1E8A" w:rsidRDefault="002D1E8A">
      <w:pPr>
        <w:rPr>
          <w:lang w:val="en-US"/>
        </w:rPr>
      </w:pPr>
      <w:r w:rsidRPr="002D1E8A">
        <w:rPr>
          <w:lang w:val="en-US"/>
        </w:rPr>
        <w:t>host ethnic and geographical closeness have no large influence on the overall microbial composition of the human gut microbiome</w:t>
      </w:r>
      <w:proofErr w:type="gramStart"/>
      <w:r>
        <w:rPr>
          <w:lang w:val="en-US"/>
        </w:rPr>
        <w:t>….</w:t>
      </w:r>
      <w:r w:rsidRPr="002D1E8A">
        <w:rPr>
          <w:lang w:val="en-US"/>
        </w:rPr>
        <w:t>the</w:t>
      </w:r>
      <w:proofErr w:type="gramEnd"/>
      <w:r w:rsidRPr="002D1E8A">
        <w:rPr>
          <w:lang w:val="en-US"/>
        </w:rPr>
        <w:t xml:space="preserve"> population-level diversity in the human gut microbiome may not be relied on diet alone</w:t>
      </w:r>
      <w:r>
        <w:rPr>
          <w:lang w:val="en-US"/>
        </w:rPr>
        <w:t>….</w:t>
      </w:r>
      <w:r w:rsidRPr="002D1E8A">
        <w:rPr>
          <w:lang w:val="en-US"/>
        </w:rPr>
        <w:t>JPGM showed the highest abundance of Actinobacteria. In contrast, the abundance of Bacteroidetes and Proteobacteria in the JPGM was significantly lower than in the microbiomes of various other countries (Fig. 2A). At the genus level, the JPGM was characterized by the highest abundance of </w:t>
      </w:r>
      <w:proofErr w:type="spellStart"/>
      <w:r w:rsidRPr="002D1E8A">
        <w:rPr>
          <w:i/>
          <w:iCs/>
          <w:lang w:val="en-US"/>
        </w:rPr>
        <w:t>Bidfidobacterium</w:t>
      </w:r>
      <w:proofErr w:type="spellEnd"/>
      <w:r w:rsidRPr="002D1E8A">
        <w:rPr>
          <w:lang w:val="en-US"/>
        </w:rPr>
        <w:t>, </w:t>
      </w:r>
      <w:proofErr w:type="spellStart"/>
      <w:r w:rsidRPr="002D1E8A">
        <w:rPr>
          <w:i/>
          <w:iCs/>
          <w:lang w:val="en-US"/>
        </w:rPr>
        <w:t>Blautia</w:t>
      </w:r>
      <w:proofErr w:type="spellEnd"/>
      <w:r w:rsidRPr="002D1E8A">
        <w:rPr>
          <w:lang w:val="en-US"/>
        </w:rPr>
        <w:t>, </w:t>
      </w:r>
      <w:proofErr w:type="spellStart"/>
      <w:r w:rsidRPr="002D1E8A">
        <w:rPr>
          <w:i/>
          <w:iCs/>
          <w:lang w:val="en-US"/>
        </w:rPr>
        <w:t>Collinsella</w:t>
      </w:r>
      <w:proofErr w:type="spellEnd"/>
      <w:r w:rsidRPr="002D1E8A">
        <w:rPr>
          <w:lang w:val="en-US"/>
        </w:rPr>
        <w:t>, </w:t>
      </w:r>
      <w:r w:rsidRPr="002D1E8A">
        <w:rPr>
          <w:i/>
          <w:iCs/>
          <w:lang w:val="en-US"/>
        </w:rPr>
        <w:t>Streptococcus</w:t>
      </w:r>
      <w:r w:rsidRPr="002D1E8A">
        <w:rPr>
          <w:lang w:val="en-US"/>
        </w:rPr>
        <w:t xml:space="preserve">, and unclassified </w:t>
      </w:r>
      <w:proofErr w:type="spellStart"/>
      <w:r w:rsidRPr="002D1E8A">
        <w:rPr>
          <w:lang w:val="en-US"/>
        </w:rPr>
        <w:t>Clostridiales</w:t>
      </w:r>
      <w:proofErr w:type="spellEnd"/>
      <w:r w:rsidRPr="002D1E8A">
        <w:rPr>
          <w:lang w:val="en-US"/>
        </w:rPr>
        <w:t>, but the lowest abundance of </w:t>
      </w:r>
      <w:r w:rsidRPr="002D1E8A">
        <w:rPr>
          <w:i/>
          <w:iCs/>
          <w:lang w:val="en-US"/>
        </w:rPr>
        <w:t>Clostridium</w:t>
      </w:r>
      <w:r w:rsidRPr="002D1E8A">
        <w:rPr>
          <w:lang w:val="en-US"/>
        </w:rPr>
        <w:t>, </w:t>
      </w:r>
      <w:proofErr w:type="spellStart"/>
      <w:r w:rsidRPr="002D1E8A">
        <w:rPr>
          <w:i/>
          <w:iCs/>
          <w:lang w:val="en-US"/>
        </w:rPr>
        <w:t>Alistipes</w:t>
      </w:r>
      <w:proofErr w:type="spellEnd"/>
      <w:r w:rsidRPr="002D1E8A">
        <w:rPr>
          <w:lang w:val="en-US"/>
        </w:rPr>
        <w:t>, unclassified Firmicutes, </w:t>
      </w:r>
      <w:proofErr w:type="spellStart"/>
      <w:r w:rsidRPr="002D1E8A">
        <w:rPr>
          <w:i/>
          <w:iCs/>
          <w:lang w:val="en-US"/>
        </w:rPr>
        <w:t>Dialister</w:t>
      </w:r>
      <w:proofErr w:type="spellEnd"/>
      <w:r w:rsidRPr="002D1E8A">
        <w:rPr>
          <w:lang w:val="en-US"/>
        </w:rPr>
        <w:t>, and </w:t>
      </w:r>
      <w:proofErr w:type="spellStart"/>
      <w:r w:rsidRPr="002D1E8A">
        <w:rPr>
          <w:i/>
          <w:iCs/>
          <w:lang w:val="en-US"/>
        </w:rPr>
        <w:t>Butyrivibrio</w:t>
      </w:r>
      <w:proofErr w:type="spellEnd"/>
      <w:r w:rsidRPr="002D1E8A">
        <w:rPr>
          <w:lang w:val="en-US"/>
        </w:rPr>
        <w:t> among the 12 countries (Fig. 2</w:t>
      </w:r>
      <w:proofErr w:type="gramStart"/>
      <w:r w:rsidRPr="002D1E8A">
        <w:rPr>
          <w:lang w:val="en-US"/>
        </w:rPr>
        <w:t>B)</w:t>
      </w:r>
      <w:r>
        <w:rPr>
          <w:lang w:val="en-US"/>
        </w:rPr>
        <w:t>…..</w:t>
      </w:r>
      <w:proofErr w:type="gramEnd"/>
    </w:p>
    <w:p w14:paraId="531AD0DF" w14:textId="77777777" w:rsidR="009820AC" w:rsidRDefault="002D1E8A">
      <w:pPr>
        <w:rPr>
          <w:lang w:val="en-US"/>
        </w:rPr>
      </w:pPr>
      <w:r>
        <w:rPr>
          <w:lang w:val="en-US"/>
        </w:rPr>
        <w:fldChar w:fldCharType="begin"/>
      </w:r>
      <w:r w:rsidR="009820AC">
        <w:rPr>
          <w:lang w:val="en-US"/>
        </w:rPr>
        <w:instrText xml:space="preserve"> ADDIN ZOTERO_ITEM CSL_CITATION {"citationID":"gkXiKLnI","properties":{"formattedCitation":"(Nishijima et al., 2016)","plainCitation":"(Nishijima et al., 2016)","noteIndex":0},"citationItems":[{"id":83,"uris":["http://zotero.org/groups/6441163/items/JHIDRBSU"],"itemData":{"id":83,"type":"article-journal","abstract":"Abstract. The human gut microbiome has profound influences on the host's health largely through its interference with various intestinal functions. As rece","container-title":"DNA Research","DOI":"10.1093/dnares/dsw002","ISSN":"1340-2838","issue":"2","journalAbbreviation":"DNA Res","language":"en","page":"125-133","PMID":"26951067","publisher":"Oxford Academic","source":"academic.oup.com","title":"The gut microbiome of healthy Japanese and its microbial and functional uniqueness","volume":"23","author":[{"family":"Nishijima","given":"Suguru"},{"family":"Suda","given":"Wataru"},{"family":"Oshima","given":"Kenshiro"},{"family":"Kim","given":"Seok-Won"},{"family":"Hirose","given":"Yuu"},{"family":"Morita","given":"Hidetoshi"},{"family":"Hattori","given":"Masahira"}],"issued":{"date-parts":[["2016",4,1]]}}}],"schema":"https://github.com/citation-style-language/schema/raw/master/csl-citation.json"} </w:instrText>
      </w:r>
      <w:r>
        <w:rPr>
          <w:lang w:val="en-US"/>
        </w:rPr>
        <w:fldChar w:fldCharType="separate"/>
      </w:r>
      <w:r w:rsidR="009820AC">
        <w:rPr>
          <w:noProof/>
          <w:lang w:val="en-US"/>
        </w:rPr>
        <w:t>(Nishijima et al., 2016)</w:t>
      </w:r>
      <w:r>
        <w:rPr>
          <w:lang w:val="en-US"/>
        </w:rPr>
        <w:fldChar w:fldCharType="end"/>
      </w:r>
    </w:p>
    <w:p w14:paraId="172144CE" w14:textId="77777777" w:rsidR="009820AC" w:rsidRDefault="009820AC">
      <w:pPr>
        <w:rPr>
          <w:lang w:val="en-US"/>
        </w:rPr>
      </w:pPr>
    </w:p>
    <w:p w14:paraId="69D0AFDB" w14:textId="77777777" w:rsidR="009820AC" w:rsidRDefault="009820AC">
      <w:pPr>
        <w:rPr>
          <w:lang w:val="en-US"/>
        </w:rPr>
      </w:pPr>
    </w:p>
    <w:p w14:paraId="0D8B64A0" w14:textId="49884979" w:rsidR="00894311" w:rsidRDefault="009820AC">
      <w:pPr>
        <w:rPr>
          <w:rFonts w:asciiTheme="majorHAnsi" w:eastAsiaTheme="majorEastAsia" w:hAnsiTheme="majorHAnsi" w:cstheme="majorBidi"/>
          <w:color w:val="0F4761" w:themeColor="accent1" w:themeShade="BF"/>
          <w:sz w:val="40"/>
          <w:szCs w:val="40"/>
          <w:lang w:val="en-US"/>
        </w:rPr>
      </w:pPr>
      <w:r w:rsidRPr="009557AE">
        <w:rPr>
          <w:lang w:val="en-US"/>
        </w:rPr>
        <w:lastRenderedPageBreak/>
        <w:t xml:space="preserve">ChatGPT summary: </w:t>
      </w:r>
      <w:r w:rsidRPr="009557AE">
        <w:rPr>
          <w:lang w:val="en-US"/>
        </w:rPr>
        <w:t xml:space="preserve">In all groups, the dominant bacterial phyla are Firmicutes and Bacteroidetes, yet their proportions vary significantly between populations and are influenced by factors such as diet and lifestyle. For example, bacteria like </w:t>
      </w:r>
      <w:proofErr w:type="spellStart"/>
      <w:r w:rsidRPr="009557AE">
        <w:rPr>
          <w:lang w:val="en-US"/>
        </w:rPr>
        <w:t>Prevotella</w:t>
      </w:r>
      <w:proofErr w:type="spellEnd"/>
      <w:r w:rsidRPr="009557AE">
        <w:rPr>
          <w:lang w:val="en-US"/>
        </w:rPr>
        <w:t xml:space="preserve"> are more common in populations with high-fiber diets, while Bacteroides are more associated with Western diets. In addition to these compositional differences, there are also functional differences, meaning that the bacteria present may carry out different metabolic activities depending on the population. Another important distinction is microbial diversity, as some populations have a more diverse microbiome than others, which is often linked to better overall health. Overall, the main variation between populations is not which bacteria exist, but how abundant they are and what functions they perform.</w:t>
      </w:r>
      <w:r w:rsidRPr="009557AE">
        <w:rPr>
          <w:lang w:val="en-US"/>
        </w:rPr>
        <w:t xml:space="preserve"> </w:t>
      </w:r>
      <w:r w:rsidR="009557AE">
        <w:rPr>
          <w:lang w:val="en-US"/>
        </w:rPr>
        <w:fldChar w:fldCharType="begin"/>
      </w:r>
      <w:r w:rsidR="009557AE">
        <w:rPr>
          <w:lang w:val="en-US"/>
        </w:rPr>
        <w:instrText xml:space="preserve"> ADDIN ZOTERO_ITEM CSL_CITATION {"citationID":"5TyQUfqf","properties":{"formattedCitation":"(Loftus et al., 2021)","plainCitation":"(Loftus et al., 2021)","noteIndex":0},"citationItems":[{"id":85,"uris":["http://zotero.org/groups/6441163/items/PXLV2ECI"],"itemData":{"id":85,"type":"article-journal","abstract":"In a microbial community, associations between constituent members play an important role in determining the overall structure and function of the community. The human gut microbiome is believed to play an integral role in host health and disease. To understand the nature of bacterial associations at the species level in healthy human gut microbiomes, we analyzed previously published collections of whole-genome shotgun sequence data, totaling over 1.6 Tbp, generated from 606 fecal samples obtained from four different healthy human populations. Using a Random Forest Classifier, we identified 202 signature bacterial species that were prevalent in these populations and whose relative abundances could be used to accurately distinguish between the populations. Bacterial association networks were constructed with these signature species using an approach based on the graphical lasso. Network analysis revealed conserved bacterial associations across populations and a dominance of positive associations over negative associations, with this dominance being driven by associations between species that are closely related either taxonomically or functionally. Bacterial species that form network modules, and species that constitute hubs and bottlenecks, were also identified. Functional analysis using protein families suggests that much of the taxonomic variation across human populations does not foment substantial functional or structural differences.","container-title":"Scientific Reports","DOI":"10.1038/s41598-021-82449-0","ISSN":"2045-2322","journalAbbreviation":"Sci Rep","page":"2828","PMID":"33531651","PMCID":"PMC7854710","source":"PubMed Central","title":"Bacterial associations in the healthy human gut microbiome across populations","volume":"11","author":[{"family":"Loftus","given":"Mark"},{"family":"Hassouneh","given":"Sayf Al-Deen"},{"family":"Yooseph","given":"Shibu"}],"issued":{"date-parts":[["2021",2,2]]}}}],"schema":"https://github.com/citation-style-language/schema/raw/master/csl-citation.json"} </w:instrText>
      </w:r>
      <w:r w:rsidR="009557AE">
        <w:rPr>
          <w:lang w:val="en-US"/>
        </w:rPr>
        <w:fldChar w:fldCharType="separate"/>
      </w:r>
      <w:r w:rsidR="009557AE">
        <w:rPr>
          <w:noProof/>
          <w:lang w:val="en-US"/>
        </w:rPr>
        <w:t>(Loftus et al., 2021)</w:t>
      </w:r>
      <w:r w:rsidR="009557AE">
        <w:rPr>
          <w:lang w:val="en-US"/>
        </w:rPr>
        <w:fldChar w:fldCharType="end"/>
      </w:r>
      <w:r w:rsidR="00894311">
        <w:rPr>
          <w:lang w:val="en-US"/>
        </w:rPr>
        <w:br w:type="page"/>
      </w:r>
    </w:p>
    <w:p w14:paraId="5AE003BC" w14:textId="608264C9" w:rsidR="00894311" w:rsidRDefault="00894311" w:rsidP="00894311">
      <w:pPr>
        <w:pStyle w:val="berschrift1"/>
        <w:numPr>
          <w:ilvl w:val="0"/>
          <w:numId w:val="2"/>
        </w:numPr>
        <w:rPr>
          <w:lang w:val="en-US"/>
        </w:rPr>
      </w:pPr>
      <w:r>
        <w:rPr>
          <w:lang w:val="en-US"/>
        </w:rPr>
        <w:lastRenderedPageBreak/>
        <w:t>Literature Review or Theoretical Background</w:t>
      </w:r>
    </w:p>
    <w:p w14:paraId="05615089"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3B059719" w14:textId="7164A7C0" w:rsidR="00894311" w:rsidRDefault="00894311" w:rsidP="00894311">
      <w:pPr>
        <w:pStyle w:val="berschrift1"/>
        <w:numPr>
          <w:ilvl w:val="0"/>
          <w:numId w:val="2"/>
        </w:numPr>
        <w:rPr>
          <w:lang w:val="en-US"/>
        </w:rPr>
      </w:pPr>
      <w:r>
        <w:rPr>
          <w:lang w:val="en-US"/>
        </w:rPr>
        <w:t>Materials and methodology</w:t>
      </w:r>
    </w:p>
    <w:p w14:paraId="3D8458FA"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2E3E6D56" w14:textId="705EC30A" w:rsidR="00894311" w:rsidRDefault="00894311" w:rsidP="00894311">
      <w:pPr>
        <w:pStyle w:val="berschrift1"/>
        <w:numPr>
          <w:ilvl w:val="0"/>
          <w:numId w:val="2"/>
        </w:numPr>
        <w:rPr>
          <w:lang w:val="en-US"/>
        </w:rPr>
      </w:pPr>
      <w:r>
        <w:rPr>
          <w:lang w:val="en-US"/>
        </w:rPr>
        <w:t>Literature Review: Methodology</w:t>
      </w:r>
    </w:p>
    <w:p w14:paraId="7E6D4AEB"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52390417" w14:textId="4971A86E" w:rsidR="00894311" w:rsidRDefault="00894311" w:rsidP="00894311">
      <w:pPr>
        <w:pStyle w:val="berschrift1"/>
        <w:numPr>
          <w:ilvl w:val="0"/>
          <w:numId w:val="2"/>
        </w:numPr>
        <w:rPr>
          <w:lang w:val="en-US"/>
        </w:rPr>
      </w:pPr>
      <w:r>
        <w:rPr>
          <w:lang w:val="en-US"/>
        </w:rPr>
        <w:t>Results</w:t>
      </w:r>
    </w:p>
    <w:p w14:paraId="28576D50"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5C4E7880" w14:textId="56437F81" w:rsidR="00894311" w:rsidRDefault="00894311" w:rsidP="00894311">
      <w:pPr>
        <w:pStyle w:val="berschrift1"/>
        <w:numPr>
          <w:ilvl w:val="0"/>
          <w:numId w:val="2"/>
        </w:numPr>
        <w:rPr>
          <w:lang w:val="en-US"/>
        </w:rPr>
      </w:pPr>
      <w:r>
        <w:rPr>
          <w:lang w:val="en-US"/>
        </w:rPr>
        <w:t>Discussion</w:t>
      </w:r>
    </w:p>
    <w:p w14:paraId="767F6E3F"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5F01771D" w14:textId="73BB27B5" w:rsidR="00894311" w:rsidRDefault="00894311" w:rsidP="00894311">
      <w:pPr>
        <w:pStyle w:val="berschrift1"/>
        <w:numPr>
          <w:ilvl w:val="0"/>
          <w:numId w:val="2"/>
        </w:numPr>
        <w:rPr>
          <w:lang w:val="en-US"/>
        </w:rPr>
      </w:pPr>
      <w:proofErr w:type="spellStart"/>
      <w:r>
        <w:rPr>
          <w:lang w:val="en-US"/>
        </w:rPr>
        <w:t>Bilbiography</w:t>
      </w:r>
      <w:proofErr w:type="spellEnd"/>
    </w:p>
    <w:p w14:paraId="6DEF4BC7"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11B1F971" w14:textId="1D415381" w:rsidR="00894311" w:rsidRDefault="00894311" w:rsidP="00894311">
      <w:pPr>
        <w:pStyle w:val="berschrift1"/>
        <w:numPr>
          <w:ilvl w:val="0"/>
          <w:numId w:val="2"/>
        </w:numPr>
        <w:rPr>
          <w:lang w:val="en-US"/>
        </w:rPr>
      </w:pPr>
      <w:r>
        <w:rPr>
          <w:lang w:val="en-US"/>
        </w:rPr>
        <w:t>List of images</w:t>
      </w:r>
    </w:p>
    <w:p w14:paraId="6E2D3290"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02AF61A3" w14:textId="60CD7A57" w:rsidR="00894311" w:rsidRDefault="00894311" w:rsidP="00894311">
      <w:pPr>
        <w:pStyle w:val="berschrift1"/>
        <w:numPr>
          <w:ilvl w:val="0"/>
          <w:numId w:val="2"/>
        </w:numPr>
        <w:rPr>
          <w:lang w:val="en-US"/>
        </w:rPr>
      </w:pPr>
      <w:r>
        <w:rPr>
          <w:lang w:val="en-US"/>
        </w:rPr>
        <w:t>List of tables</w:t>
      </w:r>
    </w:p>
    <w:p w14:paraId="45DB44BB" w14:textId="77777777" w:rsidR="00894311" w:rsidRDefault="00894311">
      <w:pPr>
        <w:rPr>
          <w:rFonts w:asciiTheme="majorHAnsi" w:eastAsiaTheme="majorEastAsia" w:hAnsiTheme="majorHAnsi" w:cstheme="majorBidi"/>
          <w:color w:val="0F4761" w:themeColor="accent1" w:themeShade="BF"/>
          <w:sz w:val="40"/>
          <w:szCs w:val="40"/>
          <w:lang w:val="en-US"/>
        </w:rPr>
      </w:pPr>
      <w:r>
        <w:rPr>
          <w:lang w:val="en-US"/>
        </w:rPr>
        <w:br w:type="page"/>
      </w:r>
    </w:p>
    <w:p w14:paraId="7785BDC1" w14:textId="3AB26FB5" w:rsidR="00894311" w:rsidRPr="00894311" w:rsidRDefault="00894311" w:rsidP="00894311">
      <w:pPr>
        <w:pStyle w:val="berschrift1"/>
        <w:numPr>
          <w:ilvl w:val="0"/>
          <w:numId w:val="2"/>
        </w:numPr>
        <w:rPr>
          <w:lang w:val="en-US"/>
        </w:rPr>
      </w:pPr>
      <w:proofErr w:type="spellStart"/>
      <w:r>
        <w:rPr>
          <w:lang w:val="en-US"/>
        </w:rPr>
        <w:t>Apprendices</w:t>
      </w:r>
      <w:proofErr w:type="spellEnd"/>
    </w:p>
    <w:sectPr w:rsidR="00894311" w:rsidRPr="008943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099188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B8048E"/>
    <w:multiLevelType w:val="hybridMultilevel"/>
    <w:tmpl w:val="A6186E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75869367">
    <w:abstractNumId w:val="0"/>
  </w:num>
  <w:num w:numId="2" w16cid:durableId="319819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46"/>
    <w:rsid w:val="00014D57"/>
    <w:rsid w:val="000E53ED"/>
    <w:rsid w:val="00165E6C"/>
    <w:rsid w:val="002D1E8A"/>
    <w:rsid w:val="003C1127"/>
    <w:rsid w:val="0053652F"/>
    <w:rsid w:val="00715156"/>
    <w:rsid w:val="00894311"/>
    <w:rsid w:val="00932C73"/>
    <w:rsid w:val="009557AE"/>
    <w:rsid w:val="009820AC"/>
    <w:rsid w:val="00BD28F3"/>
    <w:rsid w:val="00EA2592"/>
    <w:rsid w:val="00EA2846"/>
    <w:rsid w:val="00F52B3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9CA6CEB"/>
  <w15:chartTrackingRefBased/>
  <w15:docId w15:val="{8BDF82C4-6DE8-4641-BD1D-A2B50A8C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4311"/>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28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28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28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28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28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28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28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43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28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28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28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28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28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28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28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2846"/>
    <w:rPr>
      <w:rFonts w:eastAsiaTheme="majorEastAsia" w:cstheme="majorBidi"/>
      <w:color w:val="272727" w:themeColor="text1" w:themeTint="D8"/>
    </w:rPr>
  </w:style>
  <w:style w:type="paragraph" w:styleId="Titel">
    <w:name w:val="Title"/>
    <w:basedOn w:val="Standard"/>
    <w:next w:val="Standard"/>
    <w:link w:val="TitelZchn"/>
    <w:uiPriority w:val="10"/>
    <w:qFormat/>
    <w:rsid w:val="00EA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28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28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28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28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2846"/>
    <w:rPr>
      <w:i/>
      <w:iCs/>
      <w:color w:val="404040" w:themeColor="text1" w:themeTint="BF"/>
    </w:rPr>
  </w:style>
  <w:style w:type="paragraph" w:styleId="Listenabsatz">
    <w:name w:val="List Paragraph"/>
    <w:basedOn w:val="Standard"/>
    <w:uiPriority w:val="34"/>
    <w:qFormat/>
    <w:rsid w:val="00EA2846"/>
    <w:pPr>
      <w:ind w:left="720"/>
      <w:contextualSpacing/>
    </w:pPr>
  </w:style>
  <w:style w:type="character" w:styleId="IntensiveHervorhebung">
    <w:name w:val="Intense Emphasis"/>
    <w:basedOn w:val="Absatz-Standardschriftart"/>
    <w:uiPriority w:val="21"/>
    <w:qFormat/>
    <w:rsid w:val="00EA2846"/>
    <w:rPr>
      <w:i/>
      <w:iCs/>
      <w:color w:val="0F4761" w:themeColor="accent1" w:themeShade="BF"/>
    </w:rPr>
  </w:style>
  <w:style w:type="paragraph" w:styleId="IntensivesZitat">
    <w:name w:val="Intense Quote"/>
    <w:basedOn w:val="Standard"/>
    <w:next w:val="Standard"/>
    <w:link w:val="IntensivesZitatZchn"/>
    <w:uiPriority w:val="30"/>
    <w:qFormat/>
    <w:rsid w:val="00EA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2846"/>
    <w:rPr>
      <w:i/>
      <w:iCs/>
      <w:color w:val="0F4761" w:themeColor="accent1" w:themeShade="BF"/>
    </w:rPr>
  </w:style>
  <w:style w:type="character" w:styleId="IntensiverVerweis">
    <w:name w:val="Intense Reference"/>
    <w:basedOn w:val="Absatz-Standardschriftart"/>
    <w:uiPriority w:val="32"/>
    <w:qFormat/>
    <w:rsid w:val="00EA2846"/>
    <w:rPr>
      <w:b/>
      <w:bCs/>
      <w:smallCaps/>
      <w:color w:val="0F4761" w:themeColor="accent1" w:themeShade="BF"/>
      <w:spacing w:val="5"/>
    </w:rPr>
  </w:style>
  <w:style w:type="paragraph" w:customStyle="1" w:styleId="Default">
    <w:name w:val="Default"/>
    <w:rsid w:val="00894311"/>
    <w:pPr>
      <w:autoSpaceDE w:val="0"/>
      <w:autoSpaceDN w:val="0"/>
      <w:adjustRightInd w:val="0"/>
      <w:spacing w:after="0" w:line="240" w:lineRule="auto"/>
    </w:pPr>
    <w:rPr>
      <w:rFonts w:ascii="Arial" w:hAnsi="Arial" w:cs="Arial"/>
      <w:color w:val="000000"/>
      <w:kern w:val="0"/>
      <w:lang w:val="de-DE"/>
    </w:rPr>
  </w:style>
  <w:style w:type="character" w:styleId="Hyperlink">
    <w:name w:val="Hyperlink"/>
    <w:basedOn w:val="Absatz-Standardschriftart"/>
    <w:uiPriority w:val="99"/>
    <w:unhideWhenUsed/>
    <w:rsid w:val="00014D57"/>
    <w:rPr>
      <w:color w:val="467886" w:themeColor="hyperlink"/>
      <w:u w:val="single"/>
    </w:rPr>
  </w:style>
  <w:style w:type="character" w:styleId="NichtaufgelsteErwhnung">
    <w:name w:val="Unresolved Mention"/>
    <w:basedOn w:val="Absatz-Standardschriftart"/>
    <w:uiPriority w:val="99"/>
    <w:semiHidden/>
    <w:unhideWhenUsed/>
    <w:rsid w:val="00014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3119159">
      <w:bodyDiv w:val="1"/>
      <w:marLeft w:val="0"/>
      <w:marRight w:val="0"/>
      <w:marTop w:val="0"/>
      <w:marBottom w:val="0"/>
      <w:divBdr>
        <w:top w:val="none" w:sz="0" w:space="0" w:color="auto"/>
        <w:left w:val="none" w:sz="0" w:space="0" w:color="auto"/>
        <w:bottom w:val="none" w:sz="0" w:space="0" w:color="auto"/>
        <w:right w:val="none" w:sz="0" w:space="0" w:color="auto"/>
      </w:divBdr>
    </w:div>
    <w:div w:id="204277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c.ncbi.nlm.nih.gov/articles/PMC10730331/"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1743</Words>
  <Characters>10986</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Binaki Ajna (binakajn)</dc:creator>
  <cp:keywords/>
  <dc:description/>
  <cp:lastModifiedBy>Binaki Ajna (binakajn)</cp:lastModifiedBy>
  <cp:revision>3</cp:revision>
  <dcterms:created xsi:type="dcterms:W3CDTF">2026-03-22T10:30:00Z</dcterms:created>
  <dcterms:modified xsi:type="dcterms:W3CDTF">2026-03-23T08:56:00Z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id="AmPIP8Vu"/&gt;&lt;style id="http://www.zotero.org/styles/apa" locale="de-DE"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