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BD5B" w14:textId="42DACF49" w:rsidR="00BD28F3" w:rsidRPr="00B90A35" w:rsidRDefault="00932C73" w:rsidP="00932C73">
      <w:pPr>
        <w:jc w:val="center"/>
        <w:rPr>
          <w:rFonts w:ascii="Arial" w:hAnsi="Arial" w:cs="Arial"/>
        </w:rPr>
      </w:pPr>
      <w:r w:rsidRPr="00B90A35">
        <w:rPr>
          <w:rFonts w:ascii="Arial" w:hAnsi="Arial" w:cs="Arial"/>
        </w:rPr>
        <w:t>ZURICH UNIVERSITY OF APPLIED SCIENCES</w:t>
      </w:r>
    </w:p>
    <w:p w14:paraId="739FAC7F" w14:textId="590A173F" w:rsidR="00932C73" w:rsidRPr="00B90A35" w:rsidRDefault="00932C73" w:rsidP="00932C73">
      <w:pPr>
        <w:jc w:val="center"/>
        <w:rPr>
          <w:rFonts w:ascii="Arial" w:hAnsi="Arial" w:cs="Arial"/>
        </w:rPr>
      </w:pPr>
      <w:r w:rsidRPr="00B90A35">
        <w:rPr>
          <w:rFonts w:ascii="Arial" w:hAnsi="Arial" w:cs="Arial"/>
        </w:rPr>
        <w:t>SCHOOL OF LIFE SCIENCES AND FACILITY MANAGEMENT</w:t>
      </w:r>
    </w:p>
    <w:p w14:paraId="23C021F1" w14:textId="33FB96FE" w:rsidR="00932C73" w:rsidRPr="00B90A35" w:rsidRDefault="00932C73" w:rsidP="00932C73">
      <w:pPr>
        <w:jc w:val="center"/>
        <w:rPr>
          <w:rFonts w:ascii="Arial" w:hAnsi="Arial" w:cs="Arial"/>
        </w:rPr>
      </w:pPr>
      <w:r w:rsidRPr="00B90A35">
        <w:rPr>
          <w:rFonts w:ascii="Arial" w:hAnsi="Arial" w:cs="Arial"/>
        </w:rPr>
        <w:t>INSTITUTE OF ICLS?</w:t>
      </w:r>
    </w:p>
    <w:p w14:paraId="0228C282" w14:textId="77777777" w:rsidR="00932C73" w:rsidRPr="00B90A35" w:rsidRDefault="00932C73" w:rsidP="00932C73">
      <w:pPr>
        <w:jc w:val="center"/>
        <w:rPr>
          <w:rFonts w:ascii="Arial" w:hAnsi="Arial" w:cs="Arial"/>
        </w:rPr>
      </w:pPr>
    </w:p>
    <w:p w14:paraId="4129729F" w14:textId="77777777" w:rsidR="00932C73" w:rsidRPr="00B90A35" w:rsidRDefault="00932C73" w:rsidP="00932C73">
      <w:pPr>
        <w:jc w:val="center"/>
        <w:rPr>
          <w:rFonts w:ascii="Arial" w:hAnsi="Arial" w:cs="Arial"/>
        </w:rPr>
      </w:pPr>
    </w:p>
    <w:p w14:paraId="38AE4E11" w14:textId="77777777" w:rsidR="00932C73" w:rsidRPr="00B90A35" w:rsidRDefault="00932C73" w:rsidP="00932C73">
      <w:pPr>
        <w:jc w:val="center"/>
        <w:rPr>
          <w:rFonts w:ascii="Arial" w:hAnsi="Arial" w:cs="Arial"/>
        </w:rPr>
      </w:pPr>
    </w:p>
    <w:p w14:paraId="1C266C86" w14:textId="757E6CCE" w:rsidR="00932C73" w:rsidRPr="00B90A35" w:rsidRDefault="00273F8E" w:rsidP="00932C73">
      <w:pPr>
        <w:jc w:val="center"/>
        <w:rPr>
          <w:rFonts w:ascii="Arial" w:hAnsi="Arial" w:cs="Arial"/>
        </w:rPr>
      </w:pPr>
      <w:r>
        <w:rPr>
          <w:rFonts w:ascii="Arial" w:hAnsi="Arial" w:cs="Arial"/>
        </w:rPr>
        <w:t>An</w:t>
      </w:r>
    </w:p>
    <w:p w14:paraId="30292A38" w14:textId="77777777" w:rsidR="00932C73" w:rsidRPr="00B90A35" w:rsidRDefault="00932C73" w:rsidP="00932C73">
      <w:pPr>
        <w:jc w:val="center"/>
        <w:rPr>
          <w:rFonts w:ascii="Arial" w:hAnsi="Arial" w:cs="Arial"/>
        </w:rPr>
      </w:pPr>
    </w:p>
    <w:p w14:paraId="1FBB8622" w14:textId="39DD0343" w:rsidR="00932C73" w:rsidRPr="00B90A35" w:rsidRDefault="00932C73" w:rsidP="00932C73">
      <w:pPr>
        <w:jc w:val="center"/>
        <w:rPr>
          <w:rFonts w:ascii="Arial" w:hAnsi="Arial" w:cs="Arial"/>
        </w:rPr>
      </w:pPr>
      <w:r w:rsidRPr="00B90A35">
        <w:rPr>
          <w:rFonts w:ascii="Arial" w:hAnsi="Arial" w:cs="Arial"/>
        </w:rPr>
        <w:t>Type of work</w:t>
      </w:r>
    </w:p>
    <w:p w14:paraId="2BA52BCB" w14:textId="77777777" w:rsidR="00932C73" w:rsidRPr="00B90A35" w:rsidRDefault="00932C73" w:rsidP="00932C73">
      <w:pPr>
        <w:jc w:val="center"/>
        <w:rPr>
          <w:rFonts w:ascii="Arial" w:hAnsi="Arial" w:cs="Arial"/>
        </w:rPr>
      </w:pPr>
    </w:p>
    <w:p w14:paraId="2FEBE726" w14:textId="40F5B28E" w:rsidR="00932C73" w:rsidRPr="00B90A35" w:rsidRDefault="00932C73" w:rsidP="00932C73">
      <w:pPr>
        <w:jc w:val="center"/>
        <w:rPr>
          <w:rFonts w:ascii="Arial" w:hAnsi="Arial" w:cs="Arial"/>
        </w:rPr>
      </w:pPr>
      <w:r w:rsidRPr="00B90A35">
        <w:rPr>
          <w:rFonts w:ascii="Arial" w:hAnsi="Arial" w:cs="Arial"/>
        </w:rPr>
        <w:t xml:space="preserve">By </w:t>
      </w:r>
    </w:p>
    <w:p w14:paraId="38B39DAE" w14:textId="2F3E4337" w:rsidR="00932C73" w:rsidRPr="00B90A35" w:rsidRDefault="00932C73" w:rsidP="00932C73">
      <w:pPr>
        <w:jc w:val="center"/>
        <w:rPr>
          <w:rFonts w:ascii="Arial" w:hAnsi="Arial" w:cs="Arial"/>
        </w:rPr>
      </w:pPr>
      <w:proofErr w:type="spellStart"/>
      <w:r w:rsidRPr="00B90A35">
        <w:rPr>
          <w:rFonts w:ascii="Arial" w:hAnsi="Arial" w:cs="Arial"/>
        </w:rPr>
        <w:t>Fillipone</w:t>
      </w:r>
      <w:proofErr w:type="spellEnd"/>
      <w:r w:rsidRPr="00B90A35">
        <w:rPr>
          <w:rFonts w:ascii="Arial" w:hAnsi="Arial" w:cs="Arial"/>
        </w:rPr>
        <w:t xml:space="preserve"> Dario</w:t>
      </w:r>
    </w:p>
    <w:p w14:paraId="1BB3CCD7" w14:textId="181B3C87" w:rsidR="00932C73" w:rsidRPr="00B90A35" w:rsidRDefault="00932C73" w:rsidP="00932C73">
      <w:pPr>
        <w:jc w:val="center"/>
        <w:rPr>
          <w:rFonts w:ascii="Arial" w:hAnsi="Arial" w:cs="Arial"/>
        </w:rPr>
      </w:pPr>
      <w:proofErr w:type="spellStart"/>
      <w:r w:rsidRPr="00B90A35">
        <w:rPr>
          <w:rFonts w:ascii="Arial" w:hAnsi="Arial" w:cs="Arial"/>
        </w:rPr>
        <w:t>Binaki</w:t>
      </w:r>
      <w:proofErr w:type="spellEnd"/>
      <w:r w:rsidRPr="00B90A35">
        <w:rPr>
          <w:rFonts w:ascii="Arial" w:hAnsi="Arial" w:cs="Arial"/>
        </w:rPr>
        <w:t xml:space="preserve"> Ajna</w:t>
      </w:r>
    </w:p>
    <w:p w14:paraId="2866977A" w14:textId="21E7ECA3" w:rsidR="00932C73" w:rsidRPr="00B90A35" w:rsidRDefault="00932C73" w:rsidP="00932C73">
      <w:pPr>
        <w:jc w:val="center"/>
        <w:rPr>
          <w:rFonts w:ascii="Arial" w:hAnsi="Arial" w:cs="Arial"/>
        </w:rPr>
      </w:pPr>
      <w:r w:rsidRPr="00B90A35">
        <w:rPr>
          <w:rFonts w:ascii="Arial" w:hAnsi="Arial" w:cs="Arial"/>
        </w:rPr>
        <w:t>PA1….</w:t>
      </w:r>
    </w:p>
    <w:p w14:paraId="68870F26" w14:textId="73306287" w:rsidR="00932C73" w:rsidRPr="00B90A35" w:rsidRDefault="00932C73" w:rsidP="00932C73">
      <w:pPr>
        <w:jc w:val="center"/>
        <w:rPr>
          <w:rFonts w:ascii="Arial" w:hAnsi="Arial" w:cs="Arial"/>
        </w:rPr>
      </w:pPr>
      <w:r w:rsidRPr="00B90A35">
        <w:rPr>
          <w:rFonts w:ascii="Arial" w:hAnsi="Arial" w:cs="Arial"/>
        </w:rPr>
        <w:t>Submission date:</w:t>
      </w:r>
    </w:p>
    <w:p w14:paraId="292E0712" w14:textId="13E3AB73" w:rsidR="00932C73" w:rsidRPr="00B90A35" w:rsidRDefault="00932C73" w:rsidP="00932C73">
      <w:pPr>
        <w:jc w:val="center"/>
        <w:rPr>
          <w:rFonts w:ascii="Arial" w:hAnsi="Arial" w:cs="Arial"/>
        </w:rPr>
      </w:pPr>
      <w:r w:rsidRPr="00B90A35">
        <w:rPr>
          <w:rFonts w:ascii="Arial" w:hAnsi="Arial" w:cs="Arial"/>
        </w:rPr>
        <w:t>Subject area:</w:t>
      </w:r>
    </w:p>
    <w:p w14:paraId="2ECCA126" w14:textId="77777777" w:rsidR="00932C73" w:rsidRPr="00B90A35" w:rsidRDefault="00932C73" w:rsidP="00932C73">
      <w:pPr>
        <w:jc w:val="center"/>
        <w:rPr>
          <w:rFonts w:ascii="Arial" w:hAnsi="Arial" w:cs="Arial"/>
        </w:rPr>
      </w:pPr>
    </w:p>
    <w:p w14:paraId="1F76515C" w14:textId="77777777" w:rsidR="00932C73" w:rsidRPr="00B90A35" w:rsidRDefault="00932C73" w:rsidP="00932C73">
      <w:pPr>
        <w:jc w:val="center"/>
        <w:rPr>
          <w:rFonts w:ascii="Arial" w:hAnsi="Arial" w:cs="Arial"/>
        </w:rPr>
      </w:pPr>
    </w:p>
    <w:p w14:paraId="62E8402F" w14:textId="77777777" w:rsidR="00932C73" w:rsidRPr="00B90A35" w:rsidRDefault="00932C73" w:rsidP="00932C73">
      <w:pPr>
        <w:rPr>
          <w:rFonts w:ascii="Arial" w:hAnsi="Arial" w:cs="Arial"/>
        </w:rPr>
      </w:pPr>
    </w:p>
    <w:p w14:paraId="49260547" w14:textId="77777777" w:rsidR="00932C73" w:rsidRPr="00B90A35" w:rsidRDefault="00932C73" w:rsidP="00932C73">
      <w:pPr>
        <w:rPr>
          <w:rFonts w:ascii="Arial" w:hAnsi="Arial" w:cs="Arial"/>
        </w:rPr>
      </w:pPr>
    </w:p>
    <w:p w14:paraId="2A8188A2" w14:textId="77777777" w:rsidR="00932C73" w:rsidRPr="00B90A35" w:rsidRDefault="00932C73" w:rsidP="00932C73">
      <w:pPr>
        <w:rPr>
          <w:rFonts w:ascii="Arial" w:hAnsi="Arial" w:cs="Arial"/>
        </w:rPr>
      </w:pPr>
    </w:p>
    <w:p w14:paraId="6FA5CC54" w14:textId="77777777" w:rsidR="00932C73" w:rsidRPr="00B90A35" w:rsidRDefault="00932C73" w:rsidP="00932C73">
      <w:pPr>
        <w:rPr>
          <w:rFonts w:ascii="Arial" w:hAnsi="Arial" w:cs="Arial"/>
        </w:rPr>
      </w:pPr>
    </w:p>
    <w:p w14:paraId="038CB983" w14:textId="77777777" w:rsidR="00932C73" w:rsidRPr="00B90A35" w:rsidRDefault="00932C73" w:rsidP="00932C73">
      <w:pPr>
        <w:rPr>
          <w:rFonts w:ascii="Arial" w:hAnsi="Arial" w:cs="Arial"/>
        </w:rPr>
      </w:pPr>
    </w:p>
    <w:p w14:paraId="782DD7F5" w14:textId="77777777" w:rsidR="00932C73" w:rsidRPr="00B90A35" w:rsidRDefault="00932C73" w:rsidP="00932C73">
      <w:pPr>
        <w:rPr>
          <w:rFonts w:ascii="Arial" w:hAnsi="Arial" w:cs="Arial"/>
        </w:rPr>
      </w:pPr>
    </w:p>
    <w:p w14:paraId="76C8524C" w14:textId="0E939773" w:rsidR="00932C73" w:rsidRPr="00B90A35" w:rsidRDefault="00932C73" w:rsidP="00932C73">
      <w:pPr>
        <w:rPr>
          <w:rFonts w:ascii="Arial" w:hAnsi="Arial" w:cs="Arial"/>
        </w:rPr>
      </w:pPr>
      <w:r w:rsidRPr="00B90A35">
        <w:rPr>
          <w:rFonts w:ascii="Arial" w:hAnsi="Arial" w:cs="Arial"/>
        </w:rPr>
        <w:t>Supervisors:</w:t>
      </w:r>
    </w:p>
    <w:p w14:paraId="146AFBC4" w14:textId="77777777" w:rsidR="00932C73" w:rsidRPr="00B90A35" w:rsidRDefault="00932C73" w:rsidP="00932C73">
      <w:pPr>
        <w:rPr>
          <w:rFonts w:ascii="Arial" w:hAnsi="Arial" w:cs="Arial"/>
        </w:rPr>
      </w:pPr>
      <w:r w:rsidRPr="00B90A35">
        <w:rPr>
          <w:rFonts w:ascii="Arial" w:hAnsi="Arial" w:cs="Arial"/>
        </w:rPr>
        <w:t xml:space="preserve">Bilgin Sonay </w:t>
      </w:r>
      <w:proofErr w:type="spellStart"/>
      <w:r w:rsidRPr="00B90A35">
        <w:rPr>
          <w:rFonts w:ascii="Arial" w:hAnsi="Arial" w:cs="Arial"/>
        </w:rPr>
        <w:t>Tugçe</w:t>
      </w:r>
      <w:proofErr w:type="spellEnd"/>
    </w:p>
    <w:p w14:paraId="7A289620" w14:textId="0F643AE4" w:rsidR="00153B4F" w:rsidRPr="00B90A35" w:rsidRDefault="00165E6C" w:rsidP="00932C73">
      <w:pPr>
        <w:rPr>
          <w:rFonts w:ascii="Arial" w:hAnsi="Arial" w:cs="Arial"/>
        </w:rPr>
      </w:pPr>
      <w:r w:rsidRPr="00B90A35">
        <w:rPr>
          <w:rFonts w:ascii="Arial" w:hAnsi="Arial" w:cs="Arial"/>
        </w:rPr>
        <w:t>Company, address, location</w:t>
      </w:r>
    </w:p>
    <w:p w14:paraId="133400DE" w14:textId="77777777" w:rsidR="00153B4F" w:rsidRPr="00B90A35" w:rsidRDefault="00153B4F">
      <w:pPr>
        <w:rPr>
          <w:rFonts w:ascii="Arial" w:hAnsi="Arial" w:cs="Arial"/>
        </w:rPr>
      </w:pPr>
      <w:r w:rsidRPr="00B90A35">
        <w:rPr>
          <w:rFonts w:ascii="Arial" w:hAnsi="Arial" w:cs="Arial"/>
        </w:rPr>
        <w:br w:type="page"/>
      </w:r>
    </w:p>
    <w:p w14:paraId="4A03D08B" w14:textId="4D11F56D" w:rsidR="00153B4F" w:rsidRPr="00B90A35" w:rsidRDefault="00153B4F">
      <w:pPr>
        <w:rPr>
          <w:rFonts w:ascii="Arial" w:hAnsi="Arial" w:cs="Arial"/>
        </w:rPr>
      </w:pPr>
      <w:r w:rsidRPr="00B90A35">
        <w:rPr>
          <w:rFonts w:ascii="Arial" w:hAnsi="Arial" w:cs="Arial"/>
        </w:rPr>
        <w:lastRenderedPageBreak/>
        <w:br w:type="page"/>
      </w:r>
    </w:p>
    <w:p w14:paraId="17E9BED6" w14:textId="11D5B18D" w:rsidR="00D6710E" w:rsidRPr="00B90A35" w:rsidRDefault="00D6710E" w:rsidP="00D6710E">
      <w:pPr>
        <w:pStyle w:val="berschrift1"/>
        <w:rPr>
          <w:rFonts w:ascii="Arial" w:hAnsi="Arial" w:cs="Arial"/>
        </w:rPr>
      </w:pPr>
      <w:r w:rsidRPr="00B90A35">
        <w:rPr>
          <w:rFonts w:ascii="Arial" w:hAnsi="Arial" w:cs="Arial"/>
        </w:rPr>
        <w:lastRenderedPageBreak/>
        <w:t>Introduction</w:t>
      </w:r>
    </w:p>
    <w:p w14:paraId="4D61CBAF" w14:textId="405E737A" w:rsidR="00D6710E" w:rsidRPr="00B90A35" w:rsidRDefault="00D6710E" w:rsidP="0042458F">
      <w:pPr>
        <w:pStyle w:val="berschrift2"/>
      </w:pPr>
      <w:r w:rsidRPr="00B90A35">
        <w:t>Background and Motivation</w:t>
      </w:r>
    </w:p>
    <w:p w14:paraId="5D27129C" w14:textId="5F4856DC" w:rsidR="00121B7B" w:rsidRPr="00B90A35" w:rsidRDefault="00121B7B" w:rsidP="00121B7B">
      <w:pPr>
        <w:pStyle w:val="StandardWeb"/>
        <w:spacing w:line="360" w:lineRule="auto"/>
        <w:jc w:val="both"/>
        <w:rPr>
          <w:rFonts w:ascii="Arial" w:hAnsi="Arial" w:cs="Arial"/>
          <w:color w:val="000000"/>
          <w:sz w:val="22"/>
          <w:szCs w:val="22"/>
        </w:rPr>
      </w:pPr>
      <w:r w:rsidRPr="00B90A35">
        <w:rPr>
          <w:rFonts w:ascii="Arial" w:hAnsi="Arial" w:cs="Arial"/>
          <w:color w:val="000000"/>
          <w:sz w:val="22"/>
          <w:szCs w:val="22"/>
        </w:rPr>
        <w:t>The human gut microbiome is currently defined as an essential, dynamic "metabolic organ" that plays a pivotal role in human health</w:t>
      </w:r>
      <w:r w:rsidRPr="00B90A35">
        <w:rPr>
          <w:rFonts w:ascii="Arial" w:hAnsi="Arial" w:cs="Arial"/>
          <w:color w:val="000000"/>
          <w:sz w:val="22"/>
          <w:szCs w:val="22"/>
        </w:rPr>
        <w:fldChar w:fldCharType="begin"/>
      </w:r>
      <w:r w:rsidR="00273F8E">
        <w:rPr>
          <w:rFonts w:ascii="Arial" w:hAnsi="Arial" w:cs="Arial"/>
          <w:color w:val="000000"/>
          <w:sz w:val="22"/>
          <w:szCs w:val="22"/>
        </w:rPr>
        <w:instrText xml:space="preserve"> ADDIN ZOTERO_ITEM CSL_CITATION {"citationID":"SphXkyZZ","properties":{"unsorted":false,"formattedCitation":"[1]","plainCitation":"[1]","noteIndex":0},"citationItems":[{"id":72,"uris":["http://zotero.org/groups/6441163/items/4QSHSISM"],"itemData":{"id":72,"type":"article-journal","abstract":"Observational findings achieved during the past two decades suggest that the intestinal microbiota may contribute to the metabolic health of the human host and, when aberrant, to the pathogenesis of various common metabolic disorders including obesity, type 2 diabetes, non-alcoholic liver disease, cardio-metabolic diseases and malnutrition. However, to gain a mechanistic understanding of how the gut microbiota affects host metabolism, research is moving from descriptive microbiota census analyses to cause-and-effect studies. Joint analyses of high-throughput human multi-omics data, including metagenomics and metabolomics data, together with measures of host physiology and mechanistic experiments in humans, animals and cells hold potential as initial steps in the identification of potential molecular mechanisms behind reported associations. In this Review, we discuss the current knowledge on how gut microbiota and derived microbial compounds may link to metabolism of the healthy host or to the pathogenesis of common metabolic diseases. We highlight examples of microbiota-targeted interventions aiming to optimize metabolic health, and we provide perspectives for future basic and translational investigations within the nascent and promising research field.","container-title":"Nature Reviews. Microbiology","DOI":"10.1038/s41579-020-0433-9","ISSN":"1740-1534","issue":"1","journalAbbreviation":"Nat Rev Microbiol","language":"eng","page":"55-71","PMID":"32887946","source":"PubMed","title":"Gut microbiota in human metabolic health and disease","volume":"19","author":[{"family":"Fan","given":"Yong"},{"family":"Pedersen","given":"Oluf"}],"issued":{"date-parts":[["2021",1]]}}}],"schema":"https://github.com/citation-style-language/schema/raw/master/csl-citation.json"} </w:instrText>
      </w:r>
      <w:r w:rsidRPr="00B90A35">
        <w:rPr>
          <w:rFonts w:ascii="Arial" w:hAnsi="Arial" w:cs="Arial"/>
          <w:color w:val="000000"/>
          <w:sz w:val="22"/>
          <w:szCs w:val="22"/>
        </w:rPr>
        <w:fldChar w:fldCharType="separate"/>
      </w:r>
      <w:r w:rsidR="00273F8E">
        <w:rPr>
          <w:rFonts w:ascii="Arial" w:hAnsi="Arial" w:cs="Arial"/>
          <w:noProof/>
          <w:color w:val="000000"/>
          <w:sz w:val="22"/>
          <w:szCs w:val="22"/>
        </w:rPr>
        <w:t>[1]</w:t>
      </w:r>
      <w:r w:rsidRPr="00B90A35">
        <w:rPr>
          <w:rFonts w:ascii="Arial" w:hAnsi="Arial" w:cs="Arial"/>
          <w:color w:val="000000"/>
          <w:sz w:val="22"/>
          <w:szCs w:val="22"/>
        </w:rPr>
        <w:fldChar w:fldCharType="end"/>
      </w:r>
      <w:r w:rsidRPr="00B90A35">
        <w:rPr>
          <w:rFonts w:ascii="Arial" w:hAnsi="Arial" w:cs="Arial"/>
          <w:color w:val="000000"/>
          <w:sz w:val="22"/>
          <w:szCs w:val="22"/>
        </w:rPr>
        <w:t>. It serves as a biological fingerprint, primarily shaped by host genetics and external factors such as diet and lifestyle</w:t>
      </w:r>
      <w:r w:rsidR="00273F8E">
        <w:rPr>
          <w:rFonts w:ascii="Arial" w:hAnsi="Arial" w:cs="Arial"/>
          <w:color w:val="000000"/>
          <w:sz w:val="22"/>
          <w:szCs w:val="22"/>
        </w:rPr>
        <w:t xml:space="preserve"> </w:t>
      </w:r>
      <w:r w:rsidRPr="00B90A35">
        <w:rPr>
          <w:rFonts w:ascii="Arial" w:hAnsi="Arial" w:cs="Arial"/>
          <w:color w:val="000000"/>
          <w:sz w:val="22"/>
          <w:szCs w:val="22"/>
        </w:rPr>
        <w:fldChar w:fldCharType="begin"/>
      </w:r>
      <w:r w:rsidR="00273F8E">
        <w:rPr>
          <w:rFonts w:ascii="Arial" w:hAnsi="Arial" w:cs="Arial"/>
          <w:color w:val="000000"/>
          <w:sz w:val="22"/>
          <w:szCs w:val="22"/>
        </w:rPr>
        <w:instrText xml:space="preserve"> ADDIN ZOTERO_ITEM CSL_CITATION {"citationID":"wBlL2qlH","properties":{"unsorted":false,"formattedCitation":"[2]","plainCitation":"[2]","noteIndex":0},"citationItems":[{"id":69,"uris":["http://zotero.org/groups/6441163/items/ENGYA6C4"],"itemData":{"id":69,"type":"article-journal","abstract":"The gut microbiota is now considered as one of the key elements contributing to the regulation of host health. Virtually all our body sites are colonised by microbes suggesting different types of crosstalk with our organs. Because of the development of molecular tools and techniques (ie, metagenomic, metabolomic, lipidomic, metatranscriptomic), the complex interactions occurring between the host and the different microorganisms are progressively being deciphered. Nowadays, gut microbiota deviations are linked with many diseases including obesity, type 2 diabetes, hepatic steatosis, intestinal bowel diseases (IBDs) and several types of cancer. Thus, suggesting that various pathways involved in immunity, energy, lipid and glucose metabolism are affected., In this review, specific attention is given to provide a critical evaluation of the current understanding in this field. Numerous molecular mechanisms explaining how gut bacteria might be causally linked with the protection or the onset of diseases are discussed. We examine well-established metabolites (ie, short-chain fatty acids, bile acids, trimethylamine N-oxide) and extend this to more recently identified molecular actors (ie, endocannabinoids, bioactive lipids, phenolic-derived compounds, advanced glycation end products and enterosynes) and their specific receptors such as peroxisome proliferator-activated receptor alpha (PPARα) and gamma (PPARγ), aryl hydrocarbon receptor (AhR), and G protein-coupled receptors (ie, GPR41, GPR43, GPR119, Takeda G protein-coupled receptor 5)., Altogether, understanding the complexity and the molecular aspects linking gut microbes to health will help to set the basis for novel therapies that are already being developed.","container-title":"Gut","DOI":"10.1136/gutjnl-2021-326789","ISSN":"0017-5749","issue":"5","journalAbbreviation":"Gut","page":"1020-1032","PMID":"35105664","PMCID":"PMC8995832","source":"PubMed Central","title":"Gut microbiome and health: mechanistic insights","title-short":"Gut microbiome and health","volume":"71","author":[{"family":"Vos","given":"Willem M","non-dropping-particle":"de"},{"family":"Tilg","given":"Herbert"},{"family":"Van Hul","given":"Matthias"},{"family":"Cani","given":"Patrice D"}],"issued":{"date-parts":[["2022",5]]}}}],"schema":"https://github.com/citation-style-language/schema/raw/master/csl-citation.json"} </w:instrText>
      </w:r>
      <w:r w:rsidRPr="00B90A35">
        <w:rPr>
          <w:rFonts w:ascii="Arial" w:hAnsi="Arial" w:cs="Arial"/>
          <w:color w:val="000000"/>
          <w:sz w:val="22"/>
          <w:szCs w:val="22"/>
        </w:rPr>
        <w:fldChar w:fldCharType="separate"/>
      </w:r>
      <w:r w:rsidR="00273F8E">
        <w:rPr>
          <w:rFonts w:ascii="Arial" w:hAnsi="Arial" w:cs="Arial"/>
          <w:noProof/>
          <w:color w:val="000000"/>
          <w:sz w:val="22"/>
          <w:szCs w:val="22"/>
        </w:rPr>
        <w:t>[2]</w:t>
      </w:r>
      <w:r w:rsidRPr="00B90A35">
        <w:rPr>
          <w:rFonts w:ascii="Arial" w:hAnsi="Arial" w:cs="Arial"/>
          <w:color w:val="000000"/>
          <w:sz w:val="22"/>
          <w:szCs w:val="22"/>
        </w:rPr>
        <w:fldChar w:fldCharType="end"/>
      </w:r>
      <w:r w:rsidRPr="00B90A35">
        <w:rPr>
          <w:rFonts w:ascii="Arial" w:hAnsi="Arial" w:cs="Arial"/>
          <w:color w:val="000000"/>
          <w:sz w:val="22"/>
          <w:szCs w:val="22"/>
        </w:rPr>
        <w:t xml:space="preserve">. These microbial communities are not only responsible for digestion but also engage in complex interactions with the immune system and metabolism, where high diversity is generally considered an indicator of a robust state of health </w:t>
      </w:r>
      <w:r w:rsidRPr="00B90A35">
        <w:rPr>
          <w:rFonts w:ascii="Arial" w:hAnsi="Arial" w:cs="Arial"/>
          <w:color w:val="000000"/>
          <w:sz w:val="22"/>
          <w:szCs w:val="22"/>
        </w:rPr>
        <w:fldChar w:fldCharType="begin"/>
      </w:r>
      <w:r w:rsidR="00273F8E">
        <w:rPr>
          <w:rFonts w:ascii="Arial" w:hAnsi="Arial" w:cs="Arial"/>
          <w:color w:val="000000"/>
          <w:sz w:val="22"/>
          <w:szCs w:val="22"/>
        </w:rPr>
        <w:instrText xml:space="preserve"> ADDIN ZOTERO_ITEM CSL_CITATION {"citationID":"UKhYZPzU","properties":{"unsorted":false,"formattedCitation":"[1]","plainCitation":"[1]","noteIndex":0},"citationItems":[{"id":72,"uris":["http://zotero.org/groups/6441163/items/4QSHSISM"],"itemData":{"id":72,"type":"article-journal","abstract":"Observational findings achieved during the past two decades suggest that the intestinal microbiota may contribute to the metabolic health of the human host and, when aberrant, to the pathogenesis of various common metabolic disorders including obesity, type 2 diabetes, non-alcoholic liver disease, cardio-metabolic diseases and malnutrition. However, to gain a mechanistic understanding of how the gut microbiota affects host metabolism, research is moving from descriptive microbiota census analyses to cause-and-effect studies. Joint analyses of high-throughput human multi-omics data, including metagenomics and metabolomics data, together with measures of host physiology and mechanistic experiments in humans, animals and cells hold potential as initial steps in the identification of potential molecular mechanisms behind reported associations. In this Review, we discuss the current knowledge on how gut microbiota and derived microbial compounds may link to metabolism of the healthy host or to the pathogenesis of common metabolic diseases. We highlight examples of microbiota-targeted interventions aiming to optimize metabolic health, and we provide perspectives for future basic and translational investigations within the nascent and promising research field.","container-title":"Nature Reviews. Microbiology","DOI":"10.1038/s41579-020-0433-9","ISSN":"1740-1534","issue":"1","journalAbbreviation":"Nat Rev Microbiol","language":"eng","page":"55-71","PMID":"32887946","source":"PubMed","title":"Gut microbiota in human metabolic health and disease","volume":"19","author":[{"family":"Fan","given":"Yong"},{"family":"Pedersen","given":"Oluf"}],"issued":{"date-parts":[["2021",1]]}}}],"schema":"https://github.com/citation-style-language/schema/raw/master/csl-citation.json"} </w:instrText>
      </w:r>
      <w:r w:rsidRPr="00B90A35">
        <w:rPr>
          <w:rFonts w:ascii="Arial" w:hAnsi="Arial" w:cs="Arial"/>
          <w:color w:val="000000"/>
          <w:sz w:val="22"/>
          <w:szCs w:val="22"/>
        </w:rPr>
        <w:fldChar w:fldCharType="separate"/>
      </w:r>
      <w:r w:rsidR="00273F8E">
        <w:rPr>
          <w:rFonts w:ascii="Arial" w:hAnsi="Arial" w:cs="Arial"/>
          <w:noProof/>
          <w:color w:val="000000"/>
          <w:sz w:val="22"/>
          <w:szCs w:val="22"/>
        </w:rPr>
        <w:t>[1]</w:t>
      </w:r>
      <w:r w:rsidRPr="00B90A35">
        <w:rPr>
          <w:rFonts w:ascii="Arial" w:hAnsi="Arial" w:cs="Arial"/>
          <w:color w:val="000000"/>
          <w:sz w:val="22"/>
          <w:szCs w:val="22"/>
        </w:rPr>
        <w:fldChar w:fldCharType="end"/>
      </w:r>
      <w:r w:rsidRPr="00B90A35">
        <w:rPr>
          <w:rFonts w:ascii="Arial" w:hAnsi="Arial" w:cs="Arial"/>
          <w:color w:val="000000"/>
          <w:sz w:val="22"/>
          <w:szCs w:val="22"/>
        </w:rPr>
        <w:t>.</w:t>
      </w:r>
    </w:p>
    <w:p w14:paraId="3F01DBAA" w14:textId="359EEC6E" w:rsidR="00121B7B" w:rsidRPr="00B90A35" w:rsidRDefault="00121B7B" w:rsidP="00121B7B">
      <w:pPr>
        <w:pStyle w:val="StandardWeb"/>
        <w:spacing w:line="360" w:lineRule="auto"/>
        <w:jc w:val="both"/>
        <w:rPr>
          <w:rFonts w:ascii="Arial" w:hAnsi="Arial" w:cs="Arial"/>
          <w:color w:val="000000"/>
          <w:sz w:val="22"/>
          <w:szCs w:val="22"/>
        </w:rPr>
      </w:pPr>
      <w:r w:rsidRPr="00B90A35">
        <w:rPr>
          <w:rFonts w:ascii="Arial" w:hAnsi="Arial" w:cs="Arial"/>
          <w:color w:val="000000"/>
          <w:sz w:val="22"/>
          <w:szCs w:val="22"/>
        </w:rPr>
        <w:t xml:space="preserve">As global urbanization continues to shift traditional lifestyles toward "Westernization", characterized by highly processed foods and altered hygiene standards, a significant change in microbial composition is observable </w:t>
      </w:r>
      <w:r w:rsidRPr="00B90A35">
        <w:rPr>
          <w:rFonts w:ascii="Arial" w:hAnsi="Arial" w:cs="Arial"/>
          <w:color w:val="000000"/>
          <w:sz w:val="22"/>
          <w:szCs w:val="22"/>
        </w:rPr>
        <w:fldChar w:fldCharType="begin"/>
      </w:r>
      <w:r w:rsidR="00273F8E">
        <w:rPr>
          <w:rFonts w:ascii="Arial" w:hAnsi="Arial" w:cs="Arial"/>
          <w:color w:val="000000"/>
          <w:sz w:val="22"/>
          <w:szCs w:val="22"/>
        </w:rPr>
        <w:instrText xml:space="preserve"> ADDIN ZOTERO_ITEM CSL_CITATION {"citationID":"sofRaQxJ","properties":{"unsorted":false,"formattedCitation":"[1]","plainCitation":"[1]","noteIndex":0},"citationItems":[{"id":72,"uris":["http://zotero.org/groups/6441163/items/4QSHSISM"],"itemData":{"id":72,"type":"article-journal","abstract":"Observational findings achieved during the past two decades suggest that the intestinal microbiota may contribute to the metabolic health of the human host and, when aberrant, to the pathogenesis of various common metabolic disorders including obesity, type 2 diabetes, non-alcoholic liver disease, cardio-metabolic diseases and malnutrition. However, to gain a mechanistic understanding of how the gut microbiota affects host metabolism, research is moving from descriptive microbiota census analyses to cause-and-effect studies. Joint analyses of high-throughput human multi-omics data, including metagenomics and metabolomics data, together with measures of host physiology and mechanistic experiments in humans, animals and cells hold potential as initial steps in the identification of potential molecular mechanisms behind reported associations. In this Review, we discuss the current knowledge on how gut microbiota and derived microbial compounds may link to metabolism of the healthy host or to the pathogenesis of common metabolic diseases. We highlight examples of microbiota-targeted interventions aiming to optimize metabolic health, and we provide perspectives for future basic and translational investigations within the nascent and promising research field.","container-title":"Nature Reviews. Microbiology","DOI":"10.1038/s41579-020-0433-9","ISSN":"1740-1534","issue":"1","journalAbbreviation":"Nat Rev Microbiol","language":"eng","page":"55-71","PMID":"32887946","source":"PubMed","title":"Gut microbiota in human metabolic health and disease","volume":"19","author":[{"family":"Fan","given":"Yong"},{"family":"Pedersen","given":"Oluf"}],"issued":{"date-parts":[["2021",1]]}}}],"schema":"https://github.com/citation-style-language/schema/raw/master/csl-citation.json"} </w:instrText>
      </w:r>
      <w:r w:rsidRPr="00B90A35">
        <w:rPr>
          <w:rFonts w:ascii="Arial" w:hAnsi="Arial" w:cs="Arial"/>
          <w:color w:val="000000"/>
          <w:sz w:val="22"/>
          <w:szCs w:val="22"/>
        </w:rPr>
        <w:fldChar w:fldCharType="separate"/>
      </w:r>
      <w:r w:rsidR="00273F8E">
        <w:rPr>
          <w:rFonts w:ascii="Arial" w:hAnsi="Arial" w:cs="Arial"/>
          <w:noProof/>
          <w:color w:val="000000"/>
          <w:sz w:val="22"/>
          <w:szCs w:val="22"/>
        </w:rPr>
        <w:t>[1]</w:t>
      </w:r>
      <w:r w:rsidRPr="00B90A35">
        <w:rPr>
          <w:rFonts w:ascii="Arial" w:hAnsi="Arial" w:cs="Arial"/>
          <w:color w:val="000000"/>
          <w:sz w:val="22"/>
          <w:szCs w:val="22"/>
        </w:rPr>
        <w:fldChar w:fldCharType="end"/>
      </w:r>
      <w:r w:rsidRPr="00B90A35">
        <w:rPr>
          <w:rFonts w:ascii="Arial" w:hAnsi="Arial" w:cs="Arial"/>
          <w:color w:val="000000"/>
          <w:sz w:val="22"/>
          <w:szCs w:val="22"/>
        </w:rPr>
        <w:t>. These shifts, often termed dysbiosis, are closely linked to the rise of non-communicable diseases, including obesity, type 2 diabetes, and chronic inflammatory processes</w:t>
      </w:r>
      <w:r w:rsidR="004077E4" w:rsidRPr="00B90A35">
        <w:rPr>
          <w:rFonts w:ascii="Arial" w:hAnsi="Arial" w:cs="Arial"/>
          <w:color w:val="000000"/>
          <w:sz w:val="22"/>
          <w:szCs w:val="22"/>
        </w:rPr>
        <w:t xml:space="preserve"> </w:t>
      </w:r>
      <w:r w:rsidRPr="00B90A35">
        <w:rPr>
          <w:rFonts w:ascii="Arial" w:hAnsi="Arial" w:cs="Arial"/>
          <w:color w:val="000000"/>
          <w:sz w:val="22"/>
          <w:szCs w:val="22"/>
        </w:rPr>
        <w:fldChar w:fldCharType="begin"/>
      </w:r>
      <w:r w:rsidR="00273F8E">
        <w:rPr>
          <w:rFonts w:ascii="Arial" w:hAnsi="Arial" w:cs="Arial"/>
          <w:color w:val="000000"/>
          <w:sz w:val="22"/>
          <w:szCs w:val="22"/>
        </w:rPr>
        <w:instrText xml:space="preserve"> ADDIN ZOTERO_ITEM CSL_CITATION {"citationID":"WvS3VL7I","properties":{"unsorted":false,"formattedCitation":"[1]","plainCitation":"[1]","noteIndex":0},"citationItems":[{"id":72,"uris":["http://zotero.org/groups/6441163/items/4QSHSISM"],"itemData":{"id":72,"type":"article-journal","abstract":"Observational findings achieved during the past two decades suggest that the intestinal microbiota may contribute to the metabolic health of the human host and, when aberrant, to the pathogenesis of various common metabolic disorders including obesity, type 2 diabetes, non-alcoholic liver disease, cardio-metabolic diseases and malnutrition. However, to gain a mechanistic understanding of how the gut microbiota affects host metabolism, research is moving from descriptive microbiota census analyses to cause-and-effect studies. Joint analyses of high-throughput human multi-omics data, including metagenomics and metabolomics data, together with measures of host physiology and mechanistic experiments in humans, animals and cells hold potential as initial steps in the identification of potential molecular mechanisms behind reported associations. In this Review, we discuss the current knowledge on how gut microbiota and derived microbial compounds may link to metabolism of the healthy host or to the pathogenesis of common metabolic diseases. We highlight examples of microbiota-targeted interventions aiming to optimize metabolic health, and we provide perspectives for future basic and translational investigations within the nascent and promising research field.","container-title":"Nature Reviews. Microbiology","DOI":"10.1038/s41579-020-0433-9","ISSN":"1740-1534","issue":"1","journalAbbreviation":"Nat Rev Microbiol","language":"eng","page":"55-71","PMID":"32887946","source":"PubMed","title":"Gut microbiota in human metabolic health and disease","volume":"19","author":[{"family":"Fan","given":"Yong"},{"family":"Pedersen","given":"Oluf"}],"issued":{"date-parts":[["2021",1]]}}}],"schema":"https://github.com/citation-style-language/schema/raw/master/csl-citation.json"} </w:instrText>
      </w:r>
      <w:r w:rsidRPr="00B90A35">
        <w:rPr>
          <w:rFonts w:ascii="Arial" w:hAnsi="Arial" w:cs="Arial"/>
          <w:color w:val="000000"/>
          <w:sz w:val="22"/>
          <w:szCs w:val="22"/>
        </w:rPr>
        <w:fldChar w:fldCharType="separate"/>
      </w:r>
      <w:r w:rsidR="00273F8E">
        <w:rPr>
          <w:rFonts w:ascii="Arial" w:hAnsi="Arial" w:cs="Arial"/>
          <w:noProof/>
          <w:color w:val="000000"/>
          <w:sz w:val="22"/>
          <w:szCs w:val="22"/>
        </w:rPr>
        <w:t>[1]</w:t>
      </w:r>
      <w:r w:rsidRPr="00B90A35">
        <w:rPr>
          <w:rFonts w:ascii="Arial" w:hAnsi="Arial" w:cs="Arial"/>
          <w:color w:val="000000"/>
          <w:sz w:val="22"/>
          <w:szCs w:val="22"/>
        </w:rPr>
        <w:fldChar w:fldCharType="end"/>
      </w:r>
      <w:r w:rsidRPr="00B90A35">
        <w:rPr>
          <w:rFonts w:ascii="Arial" w:hAnsi="Arial" w:cs="Arial"/>
          <w:color w:val="000000"/>
          <w:sz w:val="22"/>
          <w:szCs w:val="22"/>
        </w:rPr>
        <w:t>.</w:t>
      </w:r>
    </w:p>
    <w:p w14:paraId="7339D9EB" w14:textId="05B58C7A" w:rsidR="0042458F" w:rsidRPr="00B90A35" w:rsidRDefault="0042458F" w:rsidP="0042458F">
      <w:pPr>
        <w:pStyle w:val="berschrift2"/>
      </w:pPr>
      <w:r w:rsidRPr="00B90A35">
        <w:t>Research gap and Relevance</w:t>
      </w:r>
    </w:p>
    <w:p w14:paraId="1A492B91" w14:textId="428A44A0" w:rsidR="001E4529" w:rsidRPr="00B90A35" w:rsidRDefault="001E4529" w:rsidP="001E4529">
      <w:pPr>
        <w:pStyle w:val="StandardWeb"/>
        <w:spacing w:line="360" w:lineRule="auto"/>
        <w:jc w:val="both"/>
        <w:rPr>
          <w:rFonts w:ascii="Arial" w:hAnsi="Arial" w:cs="Arial"/>
          <w:color w:val="000000"/>
          <w:sz w:val="22"/>
          <w:szCs w:val="22"/>
        </w:rPr>
      </w:pPr>
      <w:r w:rsidRPr="00B90A35">
        <w:rPr>
          <w:rFonts w:ascii="Arial" w:hAnsi="Arial" w:cs="Arial"/>
          <w:color w:val="000000"/>
          <w:sz w:val="22"/>
          <w:szCs w:val="22"/>
        </w:rPr>
        <w:t>While it is well-established that geography and diet influence the human gut, identifying specific microbial "signatures" that remain consistent across diverse global populations remains a significant challenge</w:t>
      </w:r>
      <w:r w:rsidR="00273F8E">
        <w:rPr>
          <w:rFonts w:ascii="Arial" w:hAnsi="Arial" w:cs="Arial"/>
          <w:color w:val="000000"/>
          <w:sz w:val="22"/>
          <w:szCs w:val="22"/>
        </w:rPr>
        <w:t xml:space="preserve"> </w:t>
      </w:r>
      <w:r w:rsidR="004077E4" w:rsidRPr="00B90A35">
        <w:rPr>
          <w:rFonts w:ascii="Arial" w:hAnsi="Arial" w:cs="Arial"/>
          <w:color w:val="000000"/>
          <w:sz w:val="22"/>
          <w:szCs w:val="22"/>
        </w:rPr>
        <w:fldChar w:fldCharType="begin"/>
      </w:r>
      <w:r w:rsidR="006309CB">
        <w:rPr>
          <w:rFonts w:ascii="Arial" w:hAnsi="Arial" w:cs="Arial"/>
          <w:color w:val="000000"/>
          <w:sz w:val="22"/>
          <w:szCs w:val="22"/>
        </w:rPr>
        <w:instrText xml:space="preserve"> ADDIN ZOTERO_ITEM CSL_CITATION {"citationID":"IOBRJgio","properties":{"unsorted":false,"formattedCitation":"[3]","plainCitation":"[3]","noteIndex":0},"citationItems":[{"id":31,"uris":["http://zotero.org/groups/6441163/items/V3M8K4DG"],"itemData":{"id":31,"type":"article-journal","abstract":"Humans are virtually identical in their genetic makeup, yet the small differences in our DNA give rise to tremendous phenotypic diversity across the human population. By contrast, the metagenome of the human microbiome—the total DNA content of microbes inhabiting our bodies—is quite a bit more variable, with only a third of its constituent genes found in a majority of healthy individuals. Understanding this variability in the “healthy microbiome” has thus been a major challenge in microbiome research, dating back at least to the 1960s, continuing through the Human Microbiome Project and beyond. Cataloguing the necessary and sufficient sets of microbiome features that support health, and the normal ranges of these features in healthy populations, is an essential first step to identifying and correcting microbial configurations that are implicated in disease. Toward this goal, several population-scale studies have documented the ranges and diversity of both taxonomic compositions and functional potentials normally observed in the microbiomes of healthy populations, along with possible driving factors such as geography, diet, and lifestyle. Here, we review several definitions of a ‘healthy microbiome’ that have emerged, the current understanding of the ranges of healthy microbial diversity, and gaps such as the characterization of molecular function and the development of ecological therapies to be addressed in the future.","container-title":"Genome Medicine","DOI":"10.1186/s13073-016-0307-y","ISSN":"1756-994X","issue":"1","journalAbbreviation":"Genome Med","language":"en","page":"51","source":"Springer Link","title":"The healthy human microbiome","volume":"8","author":[{"family":"Lloyd-Price","given":"Jason"},{"family":"Abu-Ali","given":"Galeb"},{"family":"Huttenhower","given":"Curtis"}],"issued":{"date-parts":[["2016",4,27]]}}}],"schema":"https://github.com/citation-style-language/schema/raw/master/csl-citation.json"} </w:instrText>
      </w:r>
      <w:r w:rsidR="004077E4" w:rsidRPr="00B90A35">
        <w:rPr>
          <w:rFonts w:ascii="Arial" w:hAnsi="Arial" w:cs="Arial"/>
          <w:color w:val="000000"/>
          <w:sz w:val="22"/>
          <w:szCs w:val="22"/>
        </w:rPr>
        <w:fldChar w:fldCharType="separate"/>
      </w:r>
      <w:r w:rsidR="006309CB">
        <w:rPr>
          <w:rFonts w:ascii="Arial" w:hAnsi="Arial" w:cs="Arial"/>
          <w:noProof/>
          <w:color w:val="000000"/>
          <w:sz w:val="22"/>
          <w:szCs w:val="22"/>
        </w:rPr>
        <w:t>[3]</w:t>
      </w:r>
      <w:r w:rsidR="004077E4" w:rsidRPr="00B90A35">
        <w:rPr>
          <w:rFonts w:ascii="Arial" w:hAnsi="Arial" w:cs="Arial"/>
          <w:color w:val="000000"/>
          <w:sz w:val="22"/>
          <w:szCs w:val="22"/>
        </w:rPr>
        <w:fldChar w:fldCharType="end"/>
      </w:r>
      <w:r w:rsidR="004077E4" w:rsidRPr="00B90A35">
        <w:rPr>
          <w:rFonts w:ascii="Arial" w:hAnsi="Arial" w:cs="Arial"/>
          <w:color w:val="000000"/>
          <w:sz w:val="22"/>
          <w:szCs w:val="22"/>
        </w:rPr>
        <w:t xml:space="preserve">. </w:t>
      </w:r>
      <w:r w:rsidRPr="00B90A35">
        <w:rPr>
          <w:rFonts w:ascii="Arial" w:hAnsi="Arial" w:cs="Arial"/>
          <w:color w:val="000000"/>
          <w:sz w:val="22"/>
          <w:szCs w:val="22"/>
        </w:rPr>
        <w:t>Current research highlights that even in healthy individuals, the abundance of shared microbial taxa can vary by more than an order of magnitude</w:t>
      </w:r>
      <w:r w:rsidR="003425F3" w:rsidRPr="00B90A35">
        <w:rPr>
          <w:rFonts w:ascii="Arial" w:hAnsi="Arial" w:cs="Arial"/>
          <w:color w:val="000000"/>
          <w:sz w:val="22"/>
          <w:szCs w:val="22"/>
        </w:rPr>
        <w:t xml:space="preserve"> </w:t>
      </w:r>
      <w:r w:rsidR="003425F3" w:rsidRPr="00B90A35">
        <w:rPr>
          <w:rFonts w:ascii="Arial" w:hAnsi="Arial" w:cs="Arial"/>
          <w:color w:val="000000"/>
          <w:sz w:val="22"/>
          <w:szCs w:val="22"/>
        </w:rPr>
        <w:fldChar w:fldCharType="begin"/>
      </w:r>
      <w:r w:rsidR="006309CB">
        <w:rPr>
          <w:rFonts w:ascii="Arial" w:hAnsi="Arial" w:cs="Arial"/>
          <w:color w:val="000000"/>
          <w:sz w:val="22"/>
          <w:szCs w:val="22"/>
        </w:rPr>
        <w:instrText xml:space="preserve"> ADDIN ZOTERO_ITEM CSL_CITATION {"citationID":"QiF5GOoE","properties":{"unsorted":false,"formattedCitation":"[3]","plainCitation":"[3]","noteIndex":0},"citationItems":[{"id":31,"uris":["http://zotero.org/groups/6441163/items/V3M8K4DG"],"itemData":{"id":31,"type":"article-journal","abstract":"Humans are virtually identical in their genetic makeup, yet the small differences in our DNA give rise to tremendous phenotypic diversity across the human population. By contrast, the metagenome of the human microbiome—the total DNA content of microbes inhabiting our bodies—is quite a bit more variable, with only a third of its constituent genes found in a majority of healthy individuals. Understanding this variability in the “healthy microbiome” has thus been a major challenge in microbiome research, dating back at least to the 1960s, continuing through the Human Microbiome Project and beyond. Cataloguing the necessary and sufficient sets of microbiome features that support health, and the normal ranges of these features in healthy populations, is an essential first step to identifying and correcting microbial configurations that are implicated in disease. Toward this goal, several population-scale studies have documented the ranges and diversity of both taxonomic compositions and functional potentials normally observed in the microbiomes of healthy populations, along with possible driving factors such as geography, diet, and lifestyle. Here, we review several definitions of a ‘healthy microbiome’ that have emerged, the current understanding of the ranges of healthy microbial diversity, and gaps such as the characterization of molecular function and the development of ecological therapies to be addressed in the future.","container-title":"Genome Medicine","DOI":"10.1186/s13073-016-0307-y","ISSN":"1756-994X","issue":"1","journalAbbreviation":"Genome Med","language":"en","page":"51","source":"Springer Link","title":"The healthy human microbiome","volume":"8","author":[{"family":"Lloyd-Price","given":"Jason"},{"family":"Abu-Ali","given":"Galeb"},{"family":"Huttenhower","given":"Curtis"}],"issued":{"date-parts":[["2016",4,27]]}}}],"schema":"https://github.com/citation-style-language/schema/raw/master/csl-citation.json"} </w:instrText>
      </w:r>
      <w:r w:rsidR="003425F3" w:rsidRPr="00B90A35">
        <w:rPr>
          <w:rFonts w:ascii="Arial" w:hAnsi="Arial" w:cs="Arial"/>
          <w:color w:val="000000"/>
          <w:sz w:val="22"/>
          <w:szCs w:val="22"/>
        </w:rPr>
        <w:fldChar w:fldCharType="separate"/>
      </w:r>
      <w:r w:rsidR="006309CB">
        <w:rPr>
          <w:rFonts w:ascii="Arial" w:hAnsi="Arial" w:cs="Arial"/>
          <w:noProof/>
          <w:color w:val="000000"/>
          <w:sz w:val="22"/>
          <w:szCs w:val="22"/>
        </w:rPr>
        <w:t>[3]</w:t>
      </w:r>
      <w:r w:rsidR="003425F3" w:rsidRPr="00B90A35">
        <w:rPr>
          <w:rFonts w:ascii="Arial" w:hAnsi="Arial" w:cs="Arial"/>
          <w:color w:val="000000"/>
          <w:sz w:val="22"/>
          <w:szCs w:val="22"/>
        </w:rPr>
        <w:fldChar w:fldCharType="end"/>
      </w:r>
      <w:r w:rsidR="003425F3" w:rsidRPr="00B90A35">
        <w:rPr>
          <w:rFonts w:ascii="Arial" w:hAnsi="Arial" w:cs="Arial"/>
          <w:color w:val="000000"/>
          <w:sz w:val="22"/>
          <w:szCs w:val="22"/>
        </w:rPr>
        <w:t>.</w:t>
      </w:r>
      <w:r w:rsidRPr="00B90A35">
        <w:rPr>
          <w:rFonts w:ascii="Arial" w:hAnsi="Arial" w:cs="Arial"/>
          <w:color w:val="000000"/>
          <w:sz w:val="22"/>
          <w:szCs w:val="22"/>
        </w:rPr>
        <w:t xml:space="preserve"> This high degree of interpersonal variability often masks the underlying patterns that distinguish one cultural group from another. Furthermore, the presence of technical "batch effects" between different country-specific datasets makes it difficult to determine if a microbial signature represents a true biological trait or a result of differing sampling methodologies. Consequently, a streamlined analytical approach is required to sift through high-dimensional metagenomic data and identify bacterial groups characteristic of specific lifestyles, regardless of the country of origin.</w:t>
      </w:r>
    </w:p>
    <w:p w14:paraId="041929C7" w14:textId="710133C1" w:rsidR="001E4529" w:rsidRPr="00B90A35" w:rsidRDefault="001E4529" w:rsidP="001E4529">
      <w:pPr>
        <w:pStyle w:val="StandardWeb"/>
        <w:spacing w:line="360" w:lineRule="auto"/>
        <w:jc w:val="both"/>
        <w:rPr>
          <w:rFonts w:ascii="Arial" w:hAnsi="Arial" w:cs="Arial"/>
          <w:color w:val="000000"/>
          <w:sz w:val="22"/>
          <w:szCs w:val="22"/>
        </w:rPr>
      </w:pPr>
      <w:r w:rsidRPr="00B90A35">
        <w:rPr>
          <w:rFonts w:ascii="Arial" w:hAnsi="Arial" w:cs="Arial"/>
          <w:color w:val="000000"/>
          <w:sz w:val="22"/>
          <w:szCs w:val="22"/>
        </w:rPr>
        <w:t>To fully grasp the relevance of identifying these consistent signatures, the current state of microbiome research must be considered. Recent advancements in high-throughput molecular tools, such as metagenomic sequencing, have confirmed that deviations in the gut microbiota are inextricably linked to a multitude of disorders, including obesity, type 2 diabetes, and inflammatory bowel diseases</w:t>
      </w:r>
      <w:r w:rsidR="00273F8E">
        <w:rPr>
          <w:rFonts w:ascii="Arial" w:hAnsi="Arial" w:cs="Arial"/>
          <w:color w:val="000000"/>
          <w:sz w:val="22"/>
          <w:szCs w:val="22"/>
        </w:rPr>
        <w:t xml:space="preserve"> </w:t>
      </w:r>
      <w:r w:rsidR="003425F3" w:rsidRPr="00B90A35">
        <w:rPr>
          <w:rFonts w:ascii="Arial" w:hAnsi="Arial" w:cs="Arial"/>
          <w:color w:val="000000"/>
          <w:sz w:val="22"/>
          <w:szCs w:val="22"/>
        </w:rPr>
        <w:fldChar w:fldCharType="begin"/>
      </w:r>
      <w:r w:rsidR="006309CB">
        <w:rPr>
          <w:rFonts w:ascii="Arial" w:hAnsi="Arial" w:cs="Arial"/>
          <w:color w:val="000000"/>
          <w:sz w:val="22"/>
          <w:szCs w:val="22"/>
        </w:rPr>
        <w:instrText xml:space="preserve"> ADDIN ZOTERO_ITEM CSL_CITATION {"citationID":"KZy7Wb8h","properties":{"unsorted":false,"formattedCitation":"[3]","plainCitation":"[3]","noteIndex":0},"citationItems":[{"id":31,"uris":["http://zotero.org/groups/6441163/items/V3M8K4DG"],"itemData":{"id":31,"type":"article-journal","abstract":"Humans are virtually identical in their genetic makeup, yet the small differences in our DNA give rise to tremendous phenotypic diversity across the human population. By contrast, the metagenome of the human microbiome—the total DNA content of microbes inhabiting our bodies—is quite a bit more variable, with only a third of its constituent genes found in a majority of healthy individuals. Understanding this variability in the “healthy microbiome” has thus been a major challenge in microbiome research, dating back at least to the 1960s, continuing through the Human Microbiome Project and beyond. Cataloguing the necessary and sufficient sets of microbiome features that support health, and the normal ranges of these features in healthy populations, is an essential first step to identifying and correcting microbial configurations that are implicated in disease. Toward this goal, several population-scale studies have documented the ranges and diversity of both taxonomic compositions and functional potentials normally observed in the microbiomes of healthy populations, along with possible driving factors such as geography, diet, and lifestyle. Here, we review several definitions of a ‘healthy microbiome’ that have emerged, the current understanding of the ranges of healthy microbial diversity, and gaps such as the characterization of molecular function and the development of ecological therapies to be addressed in the future.","container-title":"Genome Medicine","DOI":"10.1186/s13073-016-0307-y","ISSN":"1756-994X","issue":"1","journalAbbreviation":"Genome Med","language":"en","page":"51","source":"Springer Link","title":"The healthy human microbiome","volume":"8","author":[{"family":"Lloyd-Price","given":"Jason"},{"family":"Abu-Ali","given":"Galeb"},{"family":"Huttenhower","given":"Curtis"}],"issued":{"date-parts":[["2016",4,27]]}}}],"schema":"https://github.com/citation-style-language/schema/raw/master/csl-citation.json"} </w:instrText>
      </w:r>
      <w:r w:rsidR="003425F3" w:rsidRPr="00B90A35">
        <w:rPr>
          <w:rFonts w:ascii="Arial" w:hAnsi="Arial" w:cs="Arial"/>
          <w:color w:val="000000"/>
          <w:sz w:val="22"/>
          <w:szCs w:val="22"/>
        </w:rPr>
        <w:fldChar w:fldCharType="separate"/>
      </w:r>
      <w:r w:rsidR="006309CB">
        <w:rPr>
          <w:rFonts w:ascii="Arial" w:hAnsi="Arial" w:cs="Arial"/>
          <w:noProof/>
          <w:color w:val="000000"/>
          <w:sz w:val="22"/>
          <w:szCs w:val="22"/>
        </w:rPr>
        <w:t>[3]</w:t>
      </w:r>
      <w:r w:rsidR="003425F3" w:rsidRPr="00B90A35">
        <w:rPr>
          <w:rFonts w:ascii="Arial" w:hAnsi="Arial" w:cs="Arial"/>
          <w:color w:val="000000"/>
          <w:sz w:val="22"/>
          <w:szCs w:val="22"/>
        </w:rPr>
        <w:fldChar w:fldCharType="end"/>
      </w:r>
      <w:r w:rsidR="00273F8E">
        <w:rPr>
          <w:rFonts w:ascii="Arial" w:hAnsi="Arial" w:cs="Arial"/>
          <w:color w:val="000000"/>
          <w:sz w:val="22"/>
          <w:szCs w:val="22"/>
        </w:rPr>
        <w:t>.</w:t>
      </w:r>
      <w:r w:rsidRPr="00B90A35">
        <w:rPr>
          <w:rFonts w:ascii="Arial" w:hAnsi="Arial" w:cs="Arial"/>
          <w:color w:val="000000"/>
          <w:sz w:val="22"/>
          <w:szCs w:val="22"/>
        </w:rPr>
        <w:t xml:space="preserve"> These microbes are not passive inhabitants; they actively produce a wide variety of metabolites, such as short-chain fatty acids, that interact with host cellular receptors to regulate energy, immunity, and overall metabolism</w:t>
      </w:r>
      <w:r w:rsidR="006309CB">
        <w:rPr>
          <w:rFonts w:ascii="Arial" w:hAnsi="Arial" w:cs="Arial"/>
          <w:color w:val="000000"/>
          <w:sz w:val="22"/>
          <w:szCs w:val="22"/>
        </w:rPr>
        <w:t xml:space="preserve"> </w:t>
      </w:r>
      <w:r w:rsidR="003425F3" w:rsidRPr="00B90A35">
        <w:rPr>
          <w:rFonts w:ascii="Arial" w:hAnsi="Arial" w:cs="Arial"/>
          <w:color w:val="000000"/>
          <w:sz w:val="22"/>
          <w:szCs w:val="22"/>
        </w:rPr>
        <w:fldChar w:fldCharType="begin"/>
      </w:r>
      <w:r w:rsidR="00273F8E">
        <w:rPr>
          <w:rFonts w:ascii="Arial" w:hAnsi="Arial" w:cs="Arial"/>
          <w:color w:val="000000"/>
          <w:sz w:val="22"/>
          <w:szCs w:val="22"/>
        </w:rPr>
        <w:instrText xml:space="preserve"> ADDIN ZOTERO_ITEM CSL_CITATION {"citationID":"AaKmphh1","properties":{"unsorted":false,"formattedCitation":"[2]","plainCitation":"[2]","noteIndex":0},"citationItems":[{"id":69,"uris":["http://zotero.org/groups/6441163/items/ENGYA6C4"],"itemData":{"id":69,"type":"article-journal","abstract":"The gut microbiota is now considered as one of the key elements contributing to the regulation of host health. Virtually all our body sites are colonised by microbes suggesting different types of crosstalk with our organs. Because of the development of molecular tools and techniques (ie, metagenomic, metabolomic, lipidomic, metatranscriptomic), the complex interactions occurring between the host and the different microorganisms are progressively being deciphered. Nowadays, gut microbiota deviations are linked with many diseases including obesity, type 2 diabetes, hepatic steatosis, intestinal bowel diseases (IBDs) and several types of cancer. Thus, suggesting that various pathways involved in immunity, energy, lipid and glucose metabolism are affected., In this review, specific attention is given to provide a critical evaluation of the current understanding in this field. Numerous molecular mechanisms explaining how gut bacteria might be causally linked with the protection or the onset of diseases are discussed. We examine well-established metabolites (ie, short-chain fatty acids, bile acids, trimethylamine N-oxide) and extend this to more recently identified molecular actors (ie, endocannabinoids, bioactive lipids, phenolic-derived compounds, advanced glycation end products and enterosynes) and their specific receptors such as peroxisome proliferator-activated receptor alpha (PPARα) and gamma (PPARγ), aryl hydrocarbon receptor (AhR), and G protein-coupled receptors (ie, GPR41, GPR43, GPR119, Takeda G protein-coupled receptor 5)., Altogether, understanding the complexity and the molecular aspects linking gut microbes to health will help to set the basis for novel therapies that are already being developed.","container-title":"Gut","DOI":"10.1136/gutjnl-2021-326789","ISSN":"0017-5749","issue":"5","journalAbbreviation":"Gut","page":"1020-1032","PMID":"35105664","PMCID":"PMC8995832","source":"PubMed Central","title":"Gut microbiome and health: mechanistic insights","title-short":"Gut microbiome and health","volume":"71","author":[{"family":"Vos","given":"Willem M","non-dropping-particle":"de"},{"family":"Tilg","given":"Herbert"},{"family":"Van Hul","given":"Matthias"},{"family":"Cani","given":"Patrice D"}],"issued":{"date-parts":[["2022",5]]}}}],"schema":"https://github.com/citation-style-language/schema/raw/master/csl-citation.json"} </w:instrText>
      </w:r>
      <w:r w:rsidR="003425F3" w:rsidRPr="00B90A35">
        <w:rPr>
          <w:rFonts w:ascii="Arial" w:hAnsi="Arial" w:cs="Arial"/>
          <w:color w:val="000000"/>
          <w:sz w:val="22"/>
          <w:szCs w:val="22"/>
        </w:rPr>
        <w:fldChar w:fldCharType="separate"/>
      </w:r>
      <w:r w:rsidR="00273F8E">
        <w:rPr>
          <w:rFonts w:ascii="Arial" w:hAnsi="Arial" w:cs="Arial"/>
          <w:noProof/>
          <w:color w:val="000000"/>
          <w:sz w:val="22"/>
          <w:szCs w:val="22"/>
        </w:rPr>
        <w:t>[2]</w:t>
      </w:r>
      <w:r w:rsidR="003425F3" w:rsidRPr="00B90A35">
        <w:rPr>
          <w:rFonts w:ascii="Arial" w:hAnsi="Arial" w:cs="Arial"/>
          <w:color w:val="000000"/>
          <w:sz w:val="22"/>
          <w:szCs w:val="22"/>
        </w:rPr>
        <w:fldChar w:fldCharType="end"/>
      </w:r>
      <w:r w:rsidR="006309CB">
        <w:rPr>
          <w:rFonts w:ascii="Arial" w:hAnsi="Arial" w:cs="Arial"/>
          <w:color w:val="000000"/>
          <w:sz w:val="22"/>
          <w:szCs w:val="22"/>
        </w:rPr>
        <w:t>.</w:t>
      </w:r>
      <w:r w:rsidRPr="00B90A35">
        <w:rPr>
          <w:rFonts w:ascii="Arial" w:hAnsi="Arial" w:cs="Arial"/>
          <w:color w:val="000000"/>
          <w:sz w:val="22"/>
          <w:szCs w:val="22"/>
        </w:rPr>
        <w:t xml:space="preserve"> The availability and </w:t>
      </w:r>
      <w:r w:rsidRPr="00B90A35">
        <w:rPr>
          <w:rFonts w:ascii="Arial" w:hAnsi="Arial" w:cs="Arial"/>
          <w:color w:val="000000"/>
          <w:sz w:val="22"/>
          <w:szCs w:val="22"/>
        </w:rPr>
        <w:lastRenderedPageBreak/>
        <w:t>abundance of these metabolites are highly dependent on the host's diet and environment, which drives a substantial amount of natural variation.</w:t>
      </w:r>
    </w:p>
    <w:p w14:paraId="54647170" w14:textId="170155F1" w:rsidR="001E4529" w:rsidRPr="00B90A35" w:rsidRDefault="001E4529" w:rsidP="001E4529">
      <w:pPr>
        <w:pStyle w:val="StandardWeb"/>
        <w:spacing w:line="360" w:lineRule="auto"/>
        <w:jc w:val="both"/>
        <w:rPr>
          <w:rFonts w:ascii="Arial" w:hAnsi="Arial" w:cs="Arial"/>
          <w:color w:val="000000"/>
          <w:sz w:val="22"/>
          <w:szCs w:val="22"/>
        </w:rPr>
      </w:pPr>
      <w:r w:rsidRPr="00B90A35">
        <w:rPr>
          <w:rFonts w:ascii="Arial" w:hAnsi="Arial" w:cs="Arial"/>
          <w:color w:val="000000"/>
          <w:sz w:val="22"/>
          <w:szCs w:val="22"/>
        </w:rPr>
        <w:t>Despite this mechanistic understanding, the scientific community is at a turning point: the field is transitioning from observing clinical correlations to establishing causal links between specific bacteria and human health</w:t>
      </w:r>
      <w:r w:rsidR="00273F8E">
        <w:rPr>
          <w:rFonts w:ascii="Arial" w:hAnsi="Arial" w:cs="Arial"/>
          <w:color w:val="000000"/>
          <w:sz w:val="22"/>
          <w:szCs w:val="22"/>
        </w:rPr>
        <w:t xml:space="preserve"> </w:t>
      </w:r>
      <w:r w:rsidR="003425F3" w:rsidRPr="00B90A35">
        <w:rPr>
          <w:rFonts w:ascii="Arial" w:hAnsi="Arial" w:cs="Arial"/>
          <w:color w:val="000000"/>
          <w:sz w:val="22"/>
          <w:szCs w:val="22"/>
        </w:rPr>
        <w:fldChar w:fldCharType="begin"/>
      </w:r>
      <w:r w:rsidR="006309CB">
        <w:rPr>
          <w:rFonts w:ascii="Arial" w:hAnsi="Arial" w:cs="Arial"/>
          <w:color w:val="000000"/>
          <w:sz w:val="22"/>
          <w:szCs w:val="22"/>
        </w:rPr>
        <w:instrText xml:space="preserve"> ADDIN ZOTERO_ITEM CSL_CITATION {"citationID":"zKv3PX3C","properties":{"unsorted":false,"formattedCitation":"[2], [4]","plainCitation":"[2], [4]","noteIndex":0},"citationItems":[{"id":69,"uris":["http://zotero.org/groups/6441163/items/ENGYA6C4"],"itemData":{"id":69,"type":"article-journal","abstract":"The gut microbiota is now considered as one of the key elements contributing to the regulation of host health. Virtually all our body sites are colonised by microbes suggesting different types of crosstalk with our organs. Because of the development of molecular tools and techniques (ie, metagenomic, metabolomic, lipidomic, metatranscriptomic), the complex interactions occurring between the host and the different microorganisms are progressively being deciphered. Nowadays, gut microbiota deviations are linked with many diseases including obesity, type 2 diabetes, hepatic steatosis, intestinal bowel diseases (IBDs) and several types of cancer. Thus, suggesting that various pathways involved in immunity, energy, lipid and glucose metabolism are affected., In this review, specific attention is given to provide a critical evaluation of the current understanding in this field. Numerous molecular mechanisms explaining how gut bacteria might be causally linked with the protection or the onset of diseases are discussed. We examine well-established metabolites (ie, short-chain fatty acids, bile acids, trimethylamine N-oxide) and extend this to more recently identified molecular actors (ie, endocannabinoids, bioactive lipids, phenolic-derived compounds, advanced glycation end products and enterosynes) and their specific receptors such as peroxisome proliferator-activated receptor alpha (PPARα) and gamma (PPARγ), aryl hydrocarbon receptor (AhR), and G protein-coupled receptors (ie, GPR41, GPR43, GPR119, Takeda G protein-coupled receptor 5)., Altogether, understanding the complexity and the molecular aspects linking gut microbes to health will help to set the basis for novel therapies that are already being developed.","container-title":"Gut","DOI":"10.1136/gutjnl-2021-326789","ISSN":"0017-5749","issue":"5","journalAbbreviation":"Gut","page":"1020-1032","PMID":"35105664","PMCID":"PMC8995832","source":"PubMed Central","title":"Gut microbiome and health: mechanistic insights","title-short":"Gut microbiome and health","volume":"71","author":[{"family":"Vos","given":"Willem M","non-dropping-particle":"de"},{"family":"Tilg","given":"Herbert"},{"family":"Van Hul","given":"Matthias"},{"family":"Cani","given":"Patrice D"}],"issued":{"date-parts":[["2022",5]]}}},{"id":63,"uris":["http://zotero.org/groups/6441163/items/ITE3JV2T"],"itemData":{"id":63,"type":"webpage","title":"Microbiome Atlas","URL":"https://www.microbiomeatlas.org/","accessed":{"date-parts":[["2026",4,20]]}}}],"schema":"https://github.com/citation-style-language/schema/raw/master/csl-citation.json"} </w:instrText>
      </w:r>
      <w:r w:rsidR="003425F3" w:rsidRPr="00B90A35">
        <w:rPr>
          <w:rFonts w:ascii="Arial" w:hAnsi="Arial" w:cs="Arial"/>
          <w:color w:val="000000"/>
          <w:sz w:val="22"/>
          <w:szCs w:val="22"/>
        </w:rPr>
        <w:fldChar w:fldCharType="separate"/>
      </w:r>
      <w:r w:rsidR="006309CB">
        <w:rPr>
          <w:rFonts w:ascii="Arial" w:hAnsi="Arial" w:cs="Arial"/>
          <w:noProof/>
          <w:color w:val="000000"/>
          <w:sz w:val="22"/>
          <w:szCs w:val="22"/>
        </w:rPr>
        <w:t>[2], [4]</w:t>
      </w:r>
      <w:r w:rsidR="003425F3" w:rsidRPr="00B90A35">
        <w:rPr>
          <w:rFonts w:ascii="Arial" w:hAnsi="Arial" w:cs="Arial"/>
          <w:color w:val="000000"/>
          <w:sz w:val="22"/>
          <w:szCs w:val="22"/>
        </w:rPr>
        <w:fldChar w:fldCharType="end"/>
      </w:r>
      <w:r w:rsidR="003425F3" w:rsidRPr="00B90A35">
        <w:rPr>
          <w:rFonts w:ascii="Arial" w:hAnsi="Arial" w:cs="Arial"/>
          <w:color w:val="000000"/>
          <w:sz w:val="22"/>
          <w:szCs w:val="22"/>
        </w:rPr>
        <w:t xml:space="preserve">. </w:t>
      </w:r>
      <w:r w:rsidRPr="00B90A35">
        <w:rPr>
          <w:rFonts w:ascii="Arial" w:hAnsi="Arial" w:cs="Arial"/>
          <w:color w:val="000000"/>
          <w:sz w:val="22"/>
          <w:szCs w:val="22"/>
        </w:rPr>
        <w:t>Because the human gut features massive spatial gradients of microbial communities</w:t>
      </w:r>
      <w:r w:rsidR="003425F3" w:rsidRPr="00B90A35">
        <w:rPr>
          <w:rFonts w:ascii="Arial" w:hAnsi="Arial" w:cs="Arial"/>
          <w:color w:val="000000"/>
          <w:sz w:val="22"/>
          <w:szCs w:val="22"/>
        </w:rPr>
        <w:t xml:space="preserve">, </w:t>
      </w:r>
      <w:r w:rsidRPr="00B90A35">
        <w:rPr>
          <w:rFonts w:ascii="Arial" w:hAnsi="Arial" w:cs="Arial"/>
          <w:color w:val="000000"/>
          <w:sz w:val="22"/>
          <w:szCs w:val="22"/>
        </w:rPr>
        <w:t>with a microbial biomass that eclipses that of other body habitats by more than an order of magnitude</w:t>
      </w:r>
      <w:r w:rsidR="003425F3" w:rsidRPr="00B90A35">
        <w:rPr>
          <w:rFonts w:ascii="Arial" w:hAnsi="Arial" w:cs="Arial"/>
          <w:color w:val="000000"/>
          <w:sz w:val="22"/>
          <w:szCs w:val="22"/>
        </w:rPr>
        <w:t xml:space="preserve">, </w:t>
      </w:r>
      <w:r w:rsidRPr="00B90A35">
        <w:rPr>
          <w:rFonts w:ascii="Arial" w:hAnsi="Arial" w:cs="Arial"/>
          <w:color w:val="000000"/>
          <w:sz w:val="22"/>
          <w:szCs w:val="22"/>
        </w:rPr>
        <w:t xml:space="preserve">the resulting data is inherently noisy and highly variable. </w:t>
      </w:r>
    </w:p>
    <w:p w14:paraId="2C60ADBB" w14:textId="77777777" w:rsidR="001E4529" w:rsidRPr="00B90A35" w:rsidRDefault="001E4529" w:rsidP="001E4529">
      <w:pPr>
        <w:pStyle w:val="StandardWeb"/>
        <w:spacing w:line="360" w:lineRule="auto"/>
        <w:jc w:val="both"/>
        <w:rPr>
          <w:rFonts w:ascii="Arial" w:hAnsi="Arial" w:cs="Arial"/>
          <w:color w:val="000000"/>
          <w:sz w:val="22"/>
          <w:szCs w:val="22"/>
        </w:rPr>
      </w:pPr>
      <w:r w:rsidRPr="00B90A35">
        <w:rPr>
          <w:rFonts w:ascii="Arial" w:hAnsi="Arial" w:cs="Arial"/>
          <w:color w:val="000000"/>
          <w:sz w:val="22"/>
          <w:szCs w:val="22"/>
        </w:rPr>
        <w:t>Therefore, developing robust analytical approaches to overcome technical batch effects and high interpersonal variability is a vital necessity. Only by reliably filtering through this high-dimensional data to find overarching biological patterns can the research move beyond correlative studies, ultimately paving the way for personalized medicine and targeted, microbiota-based therapies.</w:t>
      </w:r>
    </w:p>
    <w:p w14:paraId="71646E01" w14:textId="0D05C6B1" w:rsidR="003425F3" w:rsidRPr="00B90A35" w:rsidRDefault="003425F3" w:rsidP="003425F3">
      <w:pPr>
        <w:pStyle w:val="berschrift2"/>
      </w:pPr>
      <w:r w:rsidRPr="00B90A35">
        <w:t>Objectives and Research Questions</w:t>
      </w:r>
    </w:p>
    <w:p w14:paraId="12C24960" w14:textId="2B4D8858" w:rsidR="00B90A35" w:rsidRPr="00B90A35" w:rsidRDefault="00B90A35" w:rsidP="00B90A35">
      <w:pPr>
        <w:spacing w:line="360" w:lineRule="auto"/>
        <w:jc w:val="both"/>
        <w:rPr>
          <w:rFonts w:ascii="Arial" w:hAnsi="Arial" w:cs="Arial"/>
          <w:sz w:val="22"/>
          <w:szCs w:val="22"/>
        </w:rPr>
      </w:pPr>
      <w:r w:rsidRPr="00B90A35">
        <w:rPr>
          <w:rFonts w:ascii="Arial" w:hAnsi="Arial" w:cs="Arial"/>
          <w:sz w:val="22"/>
          <w:szCs w:val="22"/>
        </w:rPr>
        <w:t>The primary objective of this project is to identify and compare microbial differences between different countries to characterize global variation. By utilizing machine learning models, the work seeks to analyse microbial signatures and their functional relevance to the host. The project is guided by the following research goals:</w:t>
      </w:r>
    </w:p>
    <w:p w14:paraId="42859176" w14:textId="77777777" w:rsidR="00B90A35" w:rsidRPr="00B90A35" w:rsidRDefault="00B90A35" w:rsidP="00B90A35">
      <w:pPr>
        <w:numPr>
          <w:ilvl w:val="0"/>
          <w:numId w:val="7"/>
        </w:numPr>
        <w:spacing w:line="360" w:lineRule="auto"/>
        <w:jc w:val="both"/>
        <w:rPr>
          <w:rFonts w:ascii="Arial" w:hAnsi="Arial" w:cs="Arial"/>
          <w:sz w:val="22"/>
          <w:szCs w:val="22"/>
        </w:rPr>
      </w:pPr>
      <w:r w:rsidRPr="00B90A35">
        <w:rPr>
          <w:rFonts w:ascii="Arial" w:hAnsi="Arial" w:cs="Arial"/>
          <w:b/>
          <w:bCs/>
          <w:sz w:val="22"/>
          <w:szCs w:val="22"/>
        </w:rPr>
        <w:t>Signature Analysis:</w:t>
      </w:r>
      <w:r w:rsidRPr="00B90A35">
        <w:rPr>
          <w:rFonts w:ascii="Arial" w:hAnsi="Arial" w:cs="Arial"/>
          <w:sz w:val="22"/>
          <w:szCs w:val="22"/>
        </w:rPr>
        <w:t> To determine whether specific microbial markers can be identified that are characteristic of different groups or populations.</w:t>
      </w:r>
    </w:p>
    <w:p w14:paraId="192A2E71" w14:textId="77777777" w:rsidR="00B90A35" w:rsidRPr="00B90A35" w:rsidRDefault="00B90A35" w:rsidP="00B90A35">
      <w:pPr>
        <w:numPr>
          <w:ilvl w:val="0"/>
          <w:numId w:val="7"/>
        </w:numPr>
        <w:spacing w:line="360" w:lineRule="auto"/>
        <w:jc w:val="both"/>
        <w:rPr>
          <w:rFonts w:ascii="Arial" w:hAnsi="Arial" w:cs="Arial"/>
          <w:sz w:val="22"/>
          <w:szCs w:val="22"/>
        </w:rPr>
      </w:pPr>
      <w:r w:rsidRPr="00B90A35">
        <w:rPr>
          <w:rFonts w:ascii="Arial" w:hAnsi="Arial" w:cs="Arial"/>
          <w:b/>
          <w:bCs/>
          <w:sz w:val="22"/>
          <w:szCs w:val="22"/>
        </w:rPr>
        <w:t>Bacteria Characterization:</w:t>
      </w:r>
      <w:r w:rsidRPr="00B90A35">
        <w:rPr>
          <w:rFonts w:ascii="Arial" w:hAnsi="Arial" w:cs="Arial"/>
          <w:sz w:val="22"/>
          <w:szCs w:val="22"/>
        </w:rPr>
        <w:t> To determine the biological functions of specific bacteria and establish their link to different physiological traits.</w:t>
      </w:r>
    </w:p>
    <w:p w14:paraId="02445EF9" w14:textId="77777777" w:rsidR="00B90A35" w:rsidRPr="00B90A35" w:rsidRDefault="00B90A35" w:rsidP="00B90A35">
      <w:pPr>
        <w:numPr>
          <w:ilvl w:val="0"/>
          <w:numId w:val="7"/>
        </w:numPr>
        <w:spacing w:line="360" w:lineRule="auto"/>
        <w:jc w:val="both"/>
        <w:rPr>
          <w:rFonts w:ascii="Arial" w:hAnsi="Arial" w:cs="Arial"/>
          <w:sz w:val="22"/>
          <w:szCs w:val="22"/>
        </w:rPr>
      </w:pPr>
      <w:r w:rsidRPr="00B90A35">
        <w:rPr>
          <w:rFonts w:ascii="Arial" w:hAnsi="Arial" w:cs="Arial"/>
          <w:b/>
          <w:bCs/>
          <w:sz w:val="22"/>
          <w:szCs w:val="22"/>
        </w:rPr>
        <w:t>Clinical Correlation:</w:t>
      </w:r>
      <w:r w:rsidRPr="00B90A35">
        <w:rPr>
          <w:rFonts w:ascii="Arial" w:hAnsi="Arial" w:cs="Arial"/>
          <w:sz w:val="22"/>
          <w:szCs w:val="22"/>
        </w:rPr>
        <w:t> To evaluate whether the identified microbial markers are significantly overrepresented in specific disease profiles, including tumor-associated microbiomes.</w:t>
      </w:r>
    </w:p>
    <w:p w14:paraId="7FBC844D" w14:textId="77777777" w:rsidR="003425F3" w:rsidRPr="00B90A35" w:rsidRDefault="003425F3" w:rsidP="003425F3"/>
    <w:p w14:paraId="074DFFC7" w14:textId="1321396D" w:rsidR="009D318C" w:rsidRPr="00B90A35" w:rsidRDefault="009D318C" w:rsidP="00121B7B">
      <w:pPr>
        <w:spacing w:before="100" w:beforeAutospacing="1" w:after="100" w:afterAutospacing="1" w:line="360" w:lineRule="auto"/>
        <w:rPr>
          <w:rFonts w:ascii="Arial" w:eastAsia="Times New Roman" w:hAnsi="Arial" w:cs="Arial"/>
          <w:color w:val="000000"/>
          <w:kern w:val="0"/>
          <w:sz w:val="22"/>
          <w:szCs w:val="22"/>
          <w:lang w:eastAsia="de-DE"/>
          <w14:ligatures w14:val="none"/>
        </w:rPr>
      </w:pPr>
    </w:p>
    <w:p w14:paraId="06999D1C" w14:textId="77777777" w:rsidR="00D6710E" w:rsidRPr="00B90A35" w:rsidRDefault="00D6710E" w:rsidP="00D6710E">
      <w:pPr>
        <w:rPr>
          <w:rFonts w:ascii="Arial" w:hAnsi="Arial" w:cs="Arial"/>
        </w:rPr>
      </w:pPr>
    </w:p>
    <w:p w14:paraId="1497896B" w14:textId="53CDC312" w:rsidR="00153B4F" w:rsidRPr="00B90A35" w:rsidRDefault="00FF01DE" w:rsidP="00FF01DE">
      <w:pPr>
        <w:pStyle w:val="berschrift1"/>
        <w:rPr>
          <w:rFonts w:ascii="Arial" w:hAnsi="Arial" w:cs="Arial"/>
        </w:rPr>
      </w:pPr>
      <w:r w:rsidRPr="00B90A35">
        <w:rPr>
          <w:rFonts w:ascii="Arial" w:hAnsi="Arial" w:cs="Arial"/>
        </w:rPr>
        <w:t xml:space="preserve"> Materials and Methodology</w:t>
      </w:r>
    </w:p>
    <w:p w14:paraId="73083B25" w14:textId="68CF77D6" w:rsidR="00FF01DE" w:rsidRPr="00B90A35" w:rsidRDefault="00FF01DE" w:rsidP="00FF01DE">
      <w:pPr>
        <w:rPr>
          <w:rFonts w:ascii="Arial" w:hAnsi="Arial" w:cs="Arial"/>
        </w:rPr>
      </w:pPr>
      <w:r w:rsidRPr="00B90A35">
        <w:rPr>
          <w:rFonts w:ascii="Arial" w:hAnsi="Arial" w:cs="Arial"/>
        </w:rPr>
        <w:t xml:space="preserve">This chapter describes the preprocessing and methods used for analysis. It focuses on the scientific questions formulated in “Chapter 1: Introduction” which contains the geographical differences, determination of the specific microbial signatures and their </w:t>
      </w:r>
      <w:r w:rsidRPr="00B90A35">
        <w:rPr>
          <w:rFonts w:ascii="Arial" w:hAnsi="Arial" w:cs="Arial"/>
        </w:rPr>
        <w:lastRenderedPageBreak/>
        <w:t xml:space="preserve">link to specific health traits. The project started with the data from the website “Human gut microbiome atlas” </w:t>
      </w:r>
      <w:r w:rsidRPr="00B90A35">
        <w:rPr>
          <w:rFonts w:ascii="Arial" w:hAnsi="Arial" w:cs="Arial"/>
        </w:rPr>
        <w:fldChar w:fldCharType="begin"/>
      </w:r>
      <w:r w:rsidR="006309CB">
        <w:rPr>
          <w:rFonts w:ascii="Arial" w:hAnsi="Arial" w:cs="Arial"/>
        </w:rPr>
        <w:instrText xml:space="preserve"> ADDIN ZOTERO_ITEM CSL_CITATION {"citationID":"6cv7t0vC","properties":{"formattedCitation":"[4]","plainCitation":"[4]","noteIndex":0},"citationItems":[{"id":63,"uris":["http://zotero.org/groups/6441163/items/ITE3JV2T"],"itemData":{"id":63,"type":"webpage","title":"Microbiome Atlas","URL":"https://www.microbiomeatlas.org/","accessed":{"date-parts":[["2026",4,20]]}}}],"schema":"https://github.com/citation-style-language/schema/raw/master/csl-citation.json"} </w:instrText>
      </w:r>
      <w:r w:rsidRPr="00B90A35">
        <w:rPr>
          <w:rFonts w:ascii="Arial" w:hAnsi="Arial" w:cs="Arial"/>
        </w:rPr>
        <w:fldChar w:fldCharType="separate"/>
      </w:r>
      <w:r w:rsidR="006309CB">
        <w:rPr>
          <w:rFonts w:ascii="Arial" w:hAnsi="Arial" w:cs="Arial"/>
          <w:kern w:val="0"/>
        </w:rPr>
        <w:t>[4]</w:t>
      </w:r>
      <w:r w:rsidRPr="00B90A35">
        <w:rPr>
          <w:rFonts w:ascii="Arial" w:hAnsi="Arial" w:cs="Arial"/>
        </w:rPr>
        <w:fldChar w:fldCharType="end"/>
      </w:r>
      <w:r w:rsidRPr="00B90A35">
        <w:rPr>
          <w:rFonts w:ascii="Arial" w:hAnsi="Arial" w:cs="Arial"/>
        </w:rPr>
        <w:t xml:space="preserve">, which contains samples from multiple study cohorts from different countries (the exact study cohorts can be viewed </w:t>
      </w:r>
      <w:r w:rsidRPr="00B90A35">
        <w:rPr>
          <w:rFonts w:ascii="Arial" w:hAnsi="Arial" w:cs="Arial"/>
          <w:color w:val="FF0000"/>
        </w:rPr>
        <w:t>…….</w:t>
      </w:r>
    </w:p>
    <w:p w14:paraId="427543CC" w14:textId="146A50E9" w:rsidR="00153B4F" w:rsidRPr="00B90A35" w:rsidRDefault="00FF01DE" w:rsidP="00153B4F">
      <w:pPr>
        <w:rPr>
          <w:rFonts w:ascii="Arial" w:hAnsi="Arial" w:cs="Arial"/>
        </w:rPr>
      </w:pPr>
      <w:r w:rsidRPr="00B90A35">
        <w:rPr>
          <w:rFonts w:ascii="Arial" w:hAnsi="Arial" w:cs="Arial"/>
        </w:rPr>
        <w:t xml:space="preserve">Python was primarily used for the entire pipeline, with some exceptions where R was needed. All </w:t>
      </w:r>
      <w:proofErr w:type="spellStart"/>
      <w:r w:rsidR="006C2D1D" w:rsidRPr="00B90A35">
        <w:rPr>
          <w:rFonts w:ascii="Arial" w:hAnsi="Arial" w:cs="Arial"/>
        </w:rPr>
        <w:t>Jupyter</w:t>
      </w:r>
      <w:proofErr w:type="spellEnd"/>
      <w:r w:rsidR="006C2D1D" w:rsidRPr="00B90A35">
        <w:rPr>
          <w:rFonts w:ascii="Arial" w:hAnsi="Arial" w:cs="Arial"/>
        </w:rPr>
        <w:t xml:space="preserve"> Notebooks can be viewed with this </w:t>
      </w:r>
      <w:r w:rsidR="006C2D1D" w:rsidRPr="00B90A35">
        <w:rPr>
          <w:rFonts w:ascii="Arial" w:hAnsi="Arial" w:cs="Arial"/>
          <w:color w:val="FF0000"/>
        </w:rPr>
        <w:t>link</w:t>
      </w:r>
      <w:r w:rsidR="006C2D1D" w:rsidRPr="00B90A35">
        <w:rPr>
          <w:rFonts w:ascii="Arial" w:hAnsi="Arial" w:cs="Arial"/>
        </w:rPr>
        <w:t xml:space="preserve">: </w:t>
      </w:r>
    </w:p>
    <w:p w14:paraId="4018BB6B" w14:textId="547E8A21" w:rsidR="006C2D1D" w:rsidRPr="00B90A35" w:rsidRDefault="006C2D1D" w:rsidP="00153B4F">
      <w:pPr>
        <w:rPr>
          <w:rFonts w:ascii="Arial" w:hAnsi="Arial" w:cs="Arial"/>
        </w:rPr>
      </w:pPr>
      <w:r w:rsidRPr="00B90A35">
        <w:rPr>
          <w:rFonts w:ascii="Arial" w:hAnsi="Arial" w:cs="Arial"/>
        </w:rPr>
        <w:t xml:space="preserve">Artificial Intelligence was used to support in coding and grammatical correction. All suggested codes were </w:t>
      </w:r>
      <w:proofErr w:type="spellStart"/>
      <w:r w:rsidRPr="00B90A35">
        <w:rPr>
          <w:rFonts w:ascii="Arial" w:hAnsi="Arial" w:cs="Arial"/>
        </w:rPr>
        <w:t>analyzed</w:t>
      </w:r>
      <w:proofErr w:type="spellEnd"/>
      <w:r w:rsidRPr="00B90A35">
        <w:rPr>
          <w:rFonts w:ascii="Arial" w:hAnsi="Arial" w:cs="Arial"/>
        </w:rPr>
        <w:t xml:space="preserve"> and understood fully to avoid mistakes.</w:t>
      </w:r>
    </w:p>
    <w:p w14:paraId="4FAB1C8C" w14:textId="58A74CB4" w:rsidR="006C2D1D" w:rsidRPr="00B90A35" w:rsidRDefault="006C2D1D" w:rsidP="006C2D1D">
      <w:pPr>
        <w:pStyle w:val="berschrift2"/>
        <w:numPr>
          <w:ilvl w:val="1"/>
          <w:numId w:val="2"/>
        </w:numPr>
        <w:rPr>
          <w:rFonts w:ascii="Arial" w:hAnsi="Arial" w:cs="Arial"/>
        </w:rPr>
      </w:pPr>
      <w:r w:rsidRPr="00B90A35">
        <w:rPr>
          <w:rFonts w:ascii="Arial" w:hAnsi="Arial" w:cs="Arial"/>
        </w:rPr>
        <w:t>Dataset exploration</w:t>
      </w:r>
    </w:p>
    <w:p w14:paraId="6039C3ED" w14:textId="0212A606" w:rsidR="006C2D1D" w:rsidRPr="00B90A35" w:rsidRDefault="006C2D1D" w:rsidP="008004F0">
      <w:pPr>
        <w:rPr>
          <w:rFonts w:ascii="Arial" w:hAnsi="Arial" w:cs="Arial"/>
        </w:rPr>
      </w:pPr>
    </w:p>
    <w:p w14:paraId="234A8CD1" w14:textId="1BA59FC5" w:rsidR="004077E4" w:rsidRPr="00B90A35" w:rsidRDefault="004077E4">
      <w:pPr>
        <w:rPr>
          <w:rFonts w:ascii="Arial" w:hAnsi="Arial" w:cs="Arial"/>
        </w:rPr>
      </w:pPr>
      <w:r w:rsidRPr="00B90A35">
        <w:rPr>
          <w:rFonts w:ascii="Arial" w:hAnsi="Arial" w:cs="Arial"/>
        </w:rPr>
        <w:br w:type="page"/>
      </w:r>
    </w:p>
    <w:p w14:paraId="5BA98458" w14:textId="77777777" w:rsidR="006309CB" w:rsidRPr="006309CB" w:rsidRDefault="004077E4" w:rsidP="006309CB">
      <w:pPr>
        <w:pStyle w:val="Literaturverzeichnis"/>
        <w:rPr>
          <w:rFonts w:ascii="Arial" w:hAnsi="Arial" w:cs="Arial"/>
          <w:lang w:val="de-DE"/>
        </w:rPr>
      </w:pPr>
      <w:r w:rsidRPr="00B90A35">
        <w:rPr>
          <w:rFonts w:ascii="Arial" w:hAnsi="Arial" w:cs="Arial"/>
        </w:rPr>
        <w:lastRenderedPageBreak/>
        <w:fldChar w:fldCharType="begin"/>
      </w:r>
      <w:r w:rsidR="006309CB">
        <w:rPr>
          <w:rFonts w:ascii="Arial" w:hAnsi="Arial" w:cs="Arial"/>
        </w:rPr>
        <w:instrText xml:space="preserve"> ADDIN ZOTERO_BIBL {"uncited":[],"omitted":[],"custom":[]} CSL_BIBLIOGRAPHY </w:instrText>
      </w:r>
      <w:r w:rsidRPr="00B90A35">
        <w:rPr>
          <w:rFonts w:ascii="Arial" w:hAnsi="Arial" w:cs="Arial"/>
        </w:rPr>
        <w:fldChar w:fldCharType="separate"/>
      </w:r>
      <w:r w:rsidR="006309CB" w:rsidRPr="006309CB">
        <w:rPr>
          <w:rFonts w:ascii="Arial" w:hAnsi="Arial" w:cs="Arial"/>
          <w:lang w:val="de-DE"/>
        </w:rPr>
        <w:t>[1]</w:t>
      </w:r>
      <w:r w:rsidR="006309CB" w:rsidRPr="006309CB">
        <w:rPr>
          <w:rFonts w:ascii="Arial" w:hAnsi="Arial" w:cs="Arial"/>
          <w:lang w:val="de-DE"/>
        </w:rPr>
        <w:tab/>
        <w:t xml:space="preserve">Y. Fan and O. Pedersen, “Gut </w:t>
      </w:r>
      <w:proofErr w:type="spellStart"/>
      <w:r w:rsidR="006309CB" w:rsidRPr="006309CB">
        <w:rPr>
          <w:rFonts w:ascii="Arial" w:hAnsi="Arial" w:cs="Arial"/>
          <w:lang w:val="de-DE"/>
        </w:rPr>
        <w:t>microbiota</w:t>
      </w:r>
      <w:proofErr w:type="spellEnd"/>
      <w:r w:rsidR="006309CB" w:rsidRPr="006309CB">
        <w:rPr>
          <w:rFonts w:ascii="Arial" w:hAnsi="Arial" w:cs="Arial"/>
          <w:lang w:val="de-DE"/>
        </w:rPr>
        <w:t xml:space="preserve"> in human </w:t>
      </w:r>
      <w:proofErr w:type="spellStart"/>
      <w:r w:rsidR="006309CB" w:rsidRPr="006309CB">
        <w:rPr>
          <w:rFonts w:ascii="Arial" w:hAnsi="Arial" w:cs="Arial"/>
          <w:lang w:val="de-DE"/>
        </w:rPr>
        <w:t>metabolic</w:t>
      </w:r>
      <w:proofErr w:type="spellEnd"/>
      <w:r w:rsidR="006309CB" w:rsidRPr="006309CB">
        <w:rPr>
          <w:rFonts w:ascii="Arial" w:hAnsi="Arial" w:cs="Arial"/>
          <w:lang w:val="de-DE"/>
        </w:rPr>
        <w:t xml:space="preserve"> </w:t>
      </w:r>
      <w:proofErr w:type="spellStart"/>
      <w:r w:rsidR="006309CB" w:rsidRPr="006309CB">
        <w:rPr>
          <w:rFonts w:ascii="Arial" w:hAnsi="Arial" w:cs="Arial"/>
          <w:lang w:val="de-DE"/>
        </w:rPr>
        <w:t>health</w:t>
      </w:r>
      <w:proofErr w:type="spellEnd"/>
      <w:r w:rsidR="006309CB" w:rsidRPr="006309CB">
        <w:rPr>
          <w:rFonts w:ascii="Arial" w:hAnsi="Arial" w:cs="Arial"/>
          <w:lang w:val="de-DE"/>
        </w:rPr>
        <w:t xml:space="preserve"> and </w:t>
      </w:r>
      <w:proofErr w:type="spellStart"/>
      <w:r w:rsidR="006309CB" w:rsidRPr="006309CB">
        <w:rPr>
          <w:rFonts w:ascii="Arial" w:hAnsi="Arial" w:cs="Arial"/>
          <w:lang w:val="de-DE"/>
        </w:rPr>
        <w:t>disease</w:t>
      </w:r>
      <w:proofErr w:type="spellEnd"/>
      <w:r w:rsidR="006309CB" w:rsidRPr="006309CB">
        <w:rPr>
          <w:rFonts w:ascii="Arial" w:hAnsi="Arial" w:cs="Arial"/>
          <w:lang w:val="de-DE"/>
        </w:rPr>
        <w:t xml:space="preserve">,” </w:t>
      </w:r>
      <w:r w:rsidR="006309CB" w:rsidRPr="006309CB">
        <w:rPr>
          <w:rFonts w:ascii="Arial" w:hAnsi="Arial" w:cs="Arial"/>
          <w:i/>
          <w:iCs/>
          <w:lang w:val="de-DE"/>
        </w:rPr>
        <w:t>Nat. Rev. Microbiol.</w:t>
      </w:r>
      <w:r w:rsidR="006309CB" w:rsidRPr="006309CB">
        <w:rPr>
          <w:rFonts w:ascii="Arial" w:hAnsi="Arial" w:cs="Arial"/>
          <w:lang w:val="de-DE"/>
        </w:rPr>
        <w:t xml:space="preserve">, vol. 19, </w:t>
      </w:r>
      <w:proofErr w:type="spellStart"/>
      <w:r w:rsidR="006309CB" w:rsidRPr="006309CB">
        <w:rPr>
          <w:rFonts w:ascii="Arial" w:hAnsi="Arial" w:cs="Arial"/>
          <w:lang w:val="de-DE"/>
        </w:rPr>
        <w:t>no</w:t>
      </w:r>
      <w:proofErr w:type="spellEnd"/>
      <w:r w:rsidR="006309CB" w:rsidRPr="006309CB">
        <w:rPr>
          <w:rFonts w:ascii="Arial" w:hAnsi="Arial" w:cs="Arial"/>
          <w:lang w:val="de-DE"/>
        </w:rPr>
        <w:t xml:space="preserve">. 1, pp. 55–71, Jan. 2021, </w:t>
      </w:r>
      <w:proofErr w:type="spellStart"/>
      <w:r w:rsidR="006309CB" w:rsidRPr="006309CB">
        <w:rPr>
          <w:rFonts w:ascii="Arial" w:hAnsi="Arial" w:cs="Arial"/>
          <w:lang w:val="de-DE"/>
        </w:rPr>
        <w:t>doi</w:t>
      </w:r>
      <w:proofErr w:type="spellEnd"/>
      <w:r w:rsidR="006309CB" w:rsidRPr="006309CB">
        <w:rPr>
          <w:rFonts w:ascii="Arial" w:hAnsi="Arial" w:cs="Arial"/>
          <w:lang w:val="de-DE"/>
        </w:rPr>
        <w:t>: 10.1038/s41579-020-0433-9.</w:t>
      </w:r>
    </w:p>
    <w:p w14:paraId="114713D7" w14:textId="77777777" w:rsidR="006309CB" w:rsidRPr="006309CB" w:rsidRDefault="006309CB" w:rsidP="006309CB">
      <w:pPr>
        <w:pStyle w:val="Literaturverzeichnis"/>
        <w:rPr>
          <w:rFonts w:ascii="Arial" w:hAnsi="Arial" w:cs="Arial"/>
          <w:lang w:val="de-DE"/>
        </w:rPr>
      </w:pPr>
      <w:r w:rsidRPr="006309CB">
        <w:rPr>
          <w:rFonts w:ascii="Arial" w:hAnsi="Arial" w:cs="Arial"/>
          <w:lang w:val="de-DE"/>
        </w:rPr>
        <w:t>[2]</w:t>
      </w:r>
      <w:r w:rsidRPr="006309CB">
        <w:rPr>
          <w:rFonts w:ascii="Arial" w:hAnsi="Arial" w:cs="Arial"/>
          <w:lang w:val="de-DE"/>
        </w:rPr>
        <w:tab/>
        <w:t xml:space="preserve">W. M. de Vos, H. Tilg, M. Van Hul, and P. D. Cani, “Gut </w:t>
      </w:r>
      <w:proofErr w:type="spellStart"/>
      <w:r w:rsidRPr="006309CB">
        <w:rPr>
          <w:rFonts w:ascii="Arial" w:hAnsi="Arial" w:cs="Arial"/>
          <w:lang w:val="de-DE"/>
        </w:rPr>
        <w:t>microbiome</w:t>
      </w:r>
      <w:proofErr w:type="spellEnd"/>
      <w:r w:rsidRPr="006309CB">
        <w:rPr>
          <w:rFonts w:ascii="Arial" w:hAnsi="Arial" w:cs="Arial"/>
          <w:lang w:val="de-DE"/>
        </w:rPr>
        <w:t xml:space="preserve"> and </w:t>
      </w:r>
      <w:proofErr w:type="spellStart"/>
      <w:r w:rsidRPr="006309CB">
        <w:rPr>
          <w:rFonts w:ascii="Arial" w:hAnsi="Arial" w:cs="Arial"/>
          <w:lang w:val="de-DE"/>
        </w:rPr>
        <w:t>health</w:t>
      </w:r>
      <w:proofErr w:type="spellEnd"/>
      <w:r w:rsidRPr="006309CB">
        <w:rPr>
          <w:rFonts w:ascii="Arial" w:hAnsi="Arial" w:cs="Arial"/>
          <w:lang w:val="de-DE"/>
        </w:rPr>
        <w:t xml:space="preserve">: </w:t>
      </w:r>
      <w:proofErr w:type="spellStart"/>
      <w:r w:rsidRPr="006309CB">
        <w:rPr>
          <w:rFonts w:ascii="Arial" w:hAnsi="Arial" w:cs="Arial"/>
          <w:lang w:val="de-DE"/>
        </w:rPr>
        <w:t>mechanistic</w:t>
      </w:r>
      <w:proofErr w:type="spellEnd"/>
      <w:r w:rsidRPr="006309CB">
        <w:rPr>
          <w:rFonts w:ascii="Arial" w:hAnsi="Arial" w:cs="Arial"/>
          <w:lang w:val="de-DE"/>
        </w:rPr>
        <w:t xml:space="preserve"> </w:t>
      </w:r>
      <w:proofErr w:type="spellStart"/>
      <w:r w:rsidRPr="006309CB">
        <w:rPr>
          <w:rFonts w:ascii="Arial" w:hAnsi="Arial" w:cs="Arial"/>
          <w:lang w:val="de-DE"/>
        </w:rPr>
        <w:t>insights</w:t>
      </w:r>
      <w:proofErr w:type="spellEnd"/>
      <w:r w:rsidRPr="006309CB">
        <w:rPr>
          <w:rFonts w:ascii="Arial" w:hAnsi="Arial" w:cs="Arial"/>
          <w:lang w:val="de-DE"/>
        </w:rPr>
        <w:t xml:space="preserve">,” </w:t>
      </w:r>
      <w:r w:rsidRPr="006309CB">
        <w:rPr>
          <w:rFonts w:ascii="Arial" w:hAnsi="Arial" w:cs="Arial"/>
          <w:i/>
          <w:iCs/>
          <w:lang w:val="de-DE"/>
        </w:rPr>
        <w:t>Gut</w:t>
      </w:r>
      <w:r w:rsidRPr="006309CB">
        <w:rPr>
          <w:rFonts w:ascii="Arial" w:hAnsi="Arial" w:cs="Arial"/>
          <w:lang w:val="de-DE"/>
        </w:rPr>
        <w:t xml:space="preserve">, vol. 71, </w:t>
      </w:r>
      <w:proofErr w:type="spellStart"/>
      <w:r w:rsidRPr="006309CB">
        <w:rPr>
          <w:rFonts w:ascii="Arial" w:hAnsi="Arial" w:cs="Arial"/>
          <w:lang w:val="de-DE"/>
        </w:rPr>
        <w:t>no</w:t>
      </w:r>
      <w:proofErr w:type="spellEnd"/>
      <w:r w:rsidRPr="006309CB">
        <w:rPr>
          <w:rFonts w:ascii="Arial" w:hAnsi="Arial" w:cs="Arial"/>
          <w:lang w:val="de-DE"/>
        </w:rPr>
        <w:t xml:space="preserve">. 5, pp. 1020–1032, May 2022, </w:t>
      </w:r>
      <w:proofErr w:type="spellStart"/>
      <w:r w:rsidRPr="006309CB">
        <w:rPr>
          <w:rFonts w:ascii="Arial" w:hAnsi="Arial" w:cs="Arial"/>
          <w:lang w:val="de-DE"/>
        </w:rPr>
        <w:t>doi</w:t>
      </w:r>
      <w:proofErr w:type="spellEnd"/>
      <w:r w:rsidRPr="006309CB">
        <w:rPr>
          <w:rFonts w:ascii="Arial" w:hAnsi="Arial" w:cs="Arial"/>
          <w:lang w:val="de-DE"/>
        </w:rPr>
        <w:t>: 10.1136/gutjnl-2021-326789.</w:t>
      </w:r>
    </w:p>
    <w:p w14:paraId="6ED0D9D9" w14:textId="77777777" w:rsidR="006309CB" w:rsidRPr="006309CB" w:rsidRDefault="006309CB" w:rsidP="006309CB">
      <w:pPr>
        <w:pStyle w:val="Literaturverzeichnis"/>
        <w:rPr>
          <w:rFonts w:ascii="Arial" w:hAnsi="Arial" w:cs="Arial"/>
          <w:lang w:val="de-DE"/>
        </w:rPr>
      </w:pPr>
      <w:r w:rsidRPr="006309CB">
        <w:rPr>
          <w:rFonts w:ascii="Arial" w:hAnsi="Arial" w:cs="Arial"/>
          <w:lang w:val="de-DE"/>
        </w:rPr>
        <w:t>[3]</w:t>
      </w:r>
      <w:r w:rsidRPr="006309CB">
        <w:rPr>
          <w:rFonts w:ascii="Arial" w:hAnsi="Arial" w:cs="Arial"/>
          <w:lang w:val="de-DE"/>
        </w:rPr>
        <w:tab/>
        <w:t xml:space="preserve">J. Lloyd-Price, G. Abu-Ali, and C. </w:t>
      </w:r>
      <w:proofErr w:type="spellStart"/>
      <w:r w:rsidRPr="006309CB">
        <w:rPr>
          <w:rFonts w:ascii="Arial" w:hAnsi="Arial" w:cs="Arial"/>
          <w:lang w:val="de-DE"/>
        </w:rPr>
        <w:t>Huttenhower</w:t>
      </w:r>
      <w:proofErr w:type="spellEnd"/>
      <w:r w:rsidRPr="006309CB">
        <w:rPr>
          <w:rFonts w:ascii="Arial" w:hAnsi="Arial" w:cs="Arial"/>
          <w:lang w:val="de-DE"/>
        </w:rPr>
        <w:t xml:space="preserve">, “The </w:t>
      </w:r>
      <w:proofErr w:type="spellStart"/>
      <w:r w:rsidRPr="006309CB">
        <w:rPr>
          <w:rFonts w:ascii="Arial" w:hAnsi="Arial" w:cs="Arial"/>
          <w:lang w:val="de-DE"/>
        </w:rPr>
        <w:t>healthy</w:t>
      </w:r>
      <w:proofErr w:type="spellEnd"/>
      <w:r w:rsidRPr="006309CB">
        <w:rPr>
          <w:rFonts w:ascii="Arial" w:hAnsi="Arial" w:cs="Arial"/>
          <w:lang w:val="de-DE"/>
        </w:rPr>
        <w:t xml:space="preserve"> human </w:t>
      </w:r>
      <w:proofErr w:type="spellStart"/>
      <w:r w:rsidRPr="006309CB">
        <w:rPr>
          <w:rFonts w:ascii="Arial" w:hAnsi="Arial" w:cs="Arial"/>
          <w:lang w:val="de-DE"/>
        </w:rPr>
        <w:t>microbiome</w:t>
      </w:r>
      <w:proofErr w:type="spellEnd"/>
      <w:r w:rsidRPr="006309CB">
        <w:rPr>
          <w:rFonts w:ascii="Arial" w:hAnsi="Arial" w:cs="Arial"/>
          <w:lang w:val="de-DE"/>
        </w:rPr>
        <w:t xml:space="preserve">,” </w:t>
      </w:r>
      <w:r w:rsidRPr="006309CB">
        <w:rPr>
          <w:rFonts w:ascii="Arial" w:hAnsi="Arial" w:cs="Arial"/>
          <w:i/>
          <w:iCs/>
          <w:lang w:val="de-DE"/>
        </w:rPr>
        <w:t>Genome Med.</w:t>
      </w:r>
      <w:r w:rsidRPr="006309CB">
        <w:rPr>
          <w:rFonts w:ascii="Arial" w:hAnsi="Arial" w:cs="Arial"/>
          <w:lang w:val="de-DE"/>
        </w:rPr>
        <w:t xml:space="preserve">, vol. 8, </w:t>
      </w:r>
      <w:proofErr w:type="spellStart"/>
      <w:r w:rsidRPr="006309CB">
        <w:rPr>
          <w:rFonts w:ascii="Arial" w:hAnsi="Arial" w:cs="Arial"/>
          <w:lang w:val="de-DE"/>
        </w:rPr>
        <w:t>no</w:t>
      </w:r>
      <w:proofErr w:type="spellEnd"/>
      <w:r w:rsidRPr="006309CB">
        <w:rPr>
          <w:rFonts w:ascii="Arial" w:hAnsi="Arial" w:cs="Arial"/>
          <w:lang w:val="de-DE"/>
        </w:rPr>
        <w:t xml:space="preserve">. 1, p. 51, Apr. 2016, </w:t>
      </w:r>
      <w:proofErr w:type="spellStart"/>
      <w:r w:rsidRPr="006309CB">
        <w:rPr>
          <w:rFonts w:ascii="Arial" w:hAnsi="Arial" w:cs="Arial"/>
          <w:lang w:val="de-DE"/>
        </w:rPr>
        <w:t>doi</w:t>
      </w:r>
      <w:proofErr w:type="spellEnd"/>
      <w:r w:rsidRPr="006309CB">
        <w:rPr>
          <w:rFonts w:ascii="Arial" w:hAnsi="Arial" w:cs="Arial"/>
          <w:lang w:val="de-DE"/>
        </w:rPr>
        <w:t>: 10.1186/s13073-016-0307-y.</w:t>
      </w:r>
    </w:p>
    <w:p w14:paraId="5D424341" w14:textId="77777777" w:rsidR="006309CB" w:rsidRPr="006309CB" w:rsidRDefault="006309CB" w:rsidP="006309CB">
      <w:pPr>
        <w:pStyle w:val="Literaturverzeichnis"/>
        <w:rPr>
          <w:rFonts w:ascii="Arial" w:hAnsi="Arial" w:cs="Arial"/>
          <w:lang w:val="fr-CH"/>
        </w:rPr>
      </w:pPr>
      <w:r w:rsidRPr="006309CB">
        <w:rPr>
          <w:rFonts w:ascii="Arial" w:hAnsi="Arial" w:cs="Arial"/>
          <w:lang w:val="fr-CH"/>
        </w:rPr>
        <w:t>[4]</w:t>
      </w:r>
      <w:r w:rsidRPr="006309CB">
        <w:rPr>
          <w:rFonts w:ascii="Arial" w:hAnsi="Arial" w:cs="Arial"/>
          <w:lang w:val="fr-CH"/>
        </w:rPr>
        <w:tab/>
        <w:t xml:space="preserve">“Microbiome Atlas.” </w:t>
      </w:r>
      <w:proofErr w:type="spellStart"/>
      <w:proofErr w:type="gramStart"/>
      <w:r w:rsidRPr="006309CB">
        <w:rPr>
          <w:rFonts w:ascii="Arial" w:hAnsi="Arial" w:cs="Arial"/>
          <w:lang w:val="fr-CH"/>
        </w:rPr>
        <w:t>Accessed</w:t>
      </w:r>
      <w:proofErr w:type="spellEnd"/>
      <w:r w:rsidRPr="006309CB">
        <w:rPr>
          <w:rFonts w:ascii="Arial" w:hAnsi="Arial" w:cs="Arial"/>
          <w:lang w:val="fr-CH"/>
        </w:rPr>
        <w:t>:</w:t>
      </w:r>
      <w:proofErr w:type="gramEnd"/>
      <w:r w:rsidRPr="006309CB">
        <w:rPr>
          <w:rFonts w:ascii="Arial" w:hAnsi="Arial" w:cs="Arial"/>
          <w:lang w:val="fr-CH"/>
        </w:rPr>
        <w:t xml:space="preserve"> Apr. 20, 2026. [Online]. </w:t>
      </w:r>
      <w:proofErr w:type="spellStart"/>
      <w:proofErr w:type="gramStart"/>
      <w:r w:rsidRPr="006309CB">
        <w:rPr>
          <w:rFonts w:ascii="Arial" w:hAnsi="Arial" w:cs="Arial"/>
          <w:lang w:val="fr-CH"/>
        </w:rPr>
        <w:t>Available</w:t>
      </w:r>
      <w:proofErr w:type="spellEnd"/>
      <w:r w:rsidRPr="006309CB">
        <w:rPr>
          <w:rFonts w:ascii="Arial" w:hAnsi="Arial" w:cs="Arial"/>
          <w:lang w:val="fr-CH"/>
        </w:rPr>
        <w:t>:</w:t>
      </w:r>
      <w:proofErr w:type="gramEnd"/>
      <w:r w:rsidRPr="006309CB">
        <w:rPr>
          <w:rFonts w:ascii="Arial" w:hAnsi="Arial" w:cs="Arial"/>
          <w:lang w:val="fr-CH"/>
        </w:rPr>
        <w:t xml:space="preserve"> https://www.microbiomeatlas.org/</w:t>
      </w:r>
    </w:p>
    <w:p w14:paraId="3BEF0915" w14:textId="521B0455" w:rsidR="004077E4" w:rsidRPr="00B90A35" w:rsidRDefault="004077E4" w:rsidP="006309CB">
      <w:pPr>
        <w:pStyle w:val="Literaturverzeichnis"/>
        <w:rPr>
          <w:rFonts w:ascii="Arial" w:hAnsi="Arial" w:cs="Arial"/>
        </w:rPr>
      </w:pPr>
      <w:r w:rsidRPr="00B90A35">
        <w:rPr>
          <w:rFonts w:ascii="Arial" w:hAnsi="Arial" w:cs="Arial"/>
        </w:rPr>
        <w:fldChar w:fldCharType="end"/>
      </w:r>
    </w:p>
    <w:p w14:paraId="3CBEFC3D" w14:textId="71F54616" w:rsidR="008004F0" w:rsidRPr="00B90A35" w:rsidRDefault="008004F0" w:rsidP="004077E4">
      <w:pPr>
        <w:pStyle w:val="Literaturverzeichnis"/>
        <w:rPr>
          <w:rFonts w:ascii="Arial" w:hAnsi="Arial" w:cs="Arial"/>
        </w:rPr>
      </w:pPr>
    </w:p>
    <w:sectPr w:rsidR="008004F0" w:rsidRPr="00B90A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99188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F70C9"/>
    <w:multiLevelType w:val="multilevel"/>
    <w:tmpl w:val="7272F108"/>
    <w:lvl w:ilvl="0">
      <w:start w:val="1"/>
      <w:numFmt w:val="decimal"/>
      <w:pStyle w:val="berschrift1"/>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B01DF8"/>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2D35869"/>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5657E1A"/>
    <w:multiLevelType w:val="hybridMultilevel"/>
    <w:tmpl w:val="F1C0D5DE"/>
    <w:lvl w:ilvl="0" w:tplc="43989FE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232543"/>
    <w:multiLevelType w:val="multilevel"/>
    <w:tmpl w:val="7340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D2B7F"/>
    <w:multiLevelType w:val="multilevel"/>
    <w:tmpl w:val="B68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869367">
    <w:abstractNumId w:val="0"/>
  </w:num>
  <w:num w:numId="2" w16cid:durableId="1567834753">
    <w:abstractNumId w:val="1"/>
  </w:num>
  <w:num w:numId="3" w16cid:durableId="341125170">
    <w:abstractNumId w:val="4"/>
  </w:num>
  <w:num w:numId="4" w16cid:durableId="1181436040">
    <w:abstractNumId w:val="3"/>
  </w:num>
  <w:num w:numId="5" w16cid:durableId="1981377079">
    <w:abstractNumId w:val="2"/>
  </w:num>
  <w:num w:numId="6" w16cid:durableId="503017541">
    <w:abstractNumId w:val="5"/>
  </w:num>
  <w:num w:numId="7" w16cid:durableId="1093747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46"/>
    <w:rsid w:val="000E53ED"/>
    <w:rsid w:val="00121B7B"/>
    <w:rsid w:val="00153B4F"/>
    <w:rsid w:val="00165E6C"/>
    <w:rsid w:val="001E4529"/>
    <w:rsid w:val="00273F8E"/>
    <w:rsid w:val="00275857"/>
    <w:rsid w:val="00320749"/>
    <w:rsid w:val="003425F3"/>
    <w:rsid w:val="003E5896"/>
    <w:rsid w:val="004077E4"/>
    <w:rsid w:val="0042458F"/>
    <w:rsid w:val="0051081D"/>
    <w:rsid w:val="006309CB"/>
    <w:rsid w:val="006C2D1D"/>
    <w:rsid w:val="006D09B5"/>
    <w:rsid w:val="007C7B36"/>
    <w:rsid w:val="008004F0"/>
    <w:rsid w:val="00932C73"/>
    <w:rsid w:val="009D318C"/>
    <w:rsid w:val="00B90A35"/>
    <w:rsid w:val="00BD28F3"/>
    <w:rsid w:val="00D30828"/>
    <w:rsid w:val="00D6710E"/>
    <w:rsid w:val="00DC3364"/>
    <w:rsid w:val="00EA2592"/>
    <w:rsid w:val="00EA2846"/>
    <w:rsid w:val="00FF01D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6CEB"/>
  <w15:chartTrackingRefBased/>
  <w15:docId w15:val="{8BDF82C4-6DE8-4641-BD1D-A2B50A8C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5896"/>
    <w:rPr>
      <w:lang w:val="en-GB"/>
    </w:rPr>
  </w:style>
  <w:style w:type="paragraph" w:styleId="berschrift1">
    <w:name w:val="heading 1"/>
    <w:basedOn w:val="Standard"/>
    <w:next w:val="Standard"/>
    <w:link w:val="berschrift1Zchn"/>
    <w:uiPriority w:val="9"/>
    <w:qFormat/>
    <w:rsid w:val="00153B4F"/>
    <w:pPr>
      <w:keepNext/>
      <w:keepLines/>
      <w:numPr>
        <w:numId w:val="2"/>
      </w:numPr>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6C2D1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semiHidden/>
    <w:unhideWhenUsed/>
    <w:qFormat/>
    <w:rsid w:val="00EA28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28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28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28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28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28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28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3B4F"/>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6C2D1D"/>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semiHidden/>
    <w:rsid w:val="00EA28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28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28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28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28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28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2846"/>
    <w:rPr>
      <w:rFonts w:eastAsiaTheme="majorEastAsia" w:cstheme="majorBidi"/>
      <w:color w:val="272727" w:themeColor="text1" w:themeTint="D8"/>
    </w:rPr>
  </w:style>
  <w:style w:type="paragraph" w:styleId="Titel">
    <w:name w:val="Title"/>
    <w:basedOn w:val="Standard"/>
    <w:next w:val="Standard"/>
    <w:link w:val="TitelZchn"/>
    <w:uiPriority w:val="10"/>
    <w:qFormat/>
    <w:rsid w:val="00EA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28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28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28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28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2846"/>
    <w:rPr>
      <w:i/>
      <w:iCs/>
      <w:color w:val="404040" w:themeColor="text1" w:themeTint="BF"/>
    </w:rPr>
  </w:style>
  <w:style w:type="paragraph" w:styleId="Listenabsatz">
    <w:name w:val="List Paragraph"/>
    <w:basedOn w:val="Standard"/>
    <w:uiPriority w:val="34"/>
    <w:qFormat/>
    <w:rsid w:val="00EA2846"/>
    <w:pPr>
      <w:ind w:left="720"/>
      <w:contextualSpacing/>
    </w:pPr>
  </w:style>
  <w:style w:type="character" w:styleId="IntensiveHervorhebung">
    <w:name w:val="Intense Emphasis"/>
    <w:basedOn w:val="Absatz-Standardschriftart"/>
    <w:uiPriority w:val="21"/>
    <w:qFormat/>
    <w:rsid w:val="00EA2846"/>
    <w:rPr>
      <w:i/>
      <w:iCs/>
      <w:color w:val="0F4761" w:themeColor="accent1" w:themeShade="BF"/>
    </w:rPr>
  </w:style>
  <w:style w:type="paragraph" w:styleId="IntensivesZitat">
    <w:name w:val="Intense Quote"/>
    <w:basedOn w:val="Standard"/>
    <w:next w:val="Standard"/>
    <w:link w:val="IntensivesZitatZchn"/>
    <w:uiPriority w:val="30"/>
    <w:qFormat/>
    <w:rsid w:val="00EA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2846"/>
    <w:rPr>
      <w:i/>
      <w:iCs/>
      <w:color w:val="0F4761" w:themeColor="accent1" w:themeShade="BF"/>
    </w:rPr>
  </w:style>
  <w:style w:type="character" w:styleId="IntensiverVerweis">
    <w:name w:val="Intense Reference"/>
    <w:basedOn w:val="Absatz-Standardschriftart"/>
    <w:uiPriority w:val="32"/>
    <w:qFormat/>
    <w:rsid w:val="00EA2846"/>
    <w:rPr>
      <w:b/>
      <w:bCs/>
      <w:smallCaps/>
      <w:color w:val="0F4761" w:themeColor="accent1" w:themeShade="BF"/>
      <w:spacing w:val="5"/>
    </w:rPr>
  </w:style>
  <w:style w:type="numbering" w:customStyle="1" w:styleId="AktuelleListe1">
    <w:name w:val="Aktuelle Liste1"/>
    <w:uiPriority w:val="99"/>
    <w:rsid w:val="006C2D1D"/>
    <w:pPr>
      <w:numPr>
        <w:numId w:val="4"/>
      </w:numPr>
    </w:pPr>
  </w:style>
  <w:style w:type="numbering" w:customStyle="1" w:styleId="AktuelleListe2">
    <w:name w:val="Aktuelle Liste2"/>
    <w:uiPriority w:val="99"/>
    <w:rsid w:val="006C2D1D"/>
    <w:pPr>
      <w:numPr>
        <w:numId w:val="5"/>
      </w:numPr>
    </w:pPr>
  </w:style>
  <w:style w:type="paragraph" w:styleId="StandardWeb">
    <w:name w:val="Normal (Web)"/>
    <w:basedOn w:val="Standard"/>
    <w:uiPriority w:val="99"/>
    <w:unhideWhenUsed/>
    <w:rsid w:val="00D6710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citation-130">
    <w:name w:val="citation-130"/>
    <w:basedOn w:val="Absatz-Standardschriftart"/>
    <w:rsid w:val="00D6710E"/>
  </w:style>
  <w:style w:type="character" w:customStyle="1" w:styleId="apple-converted-space">
    <w:name w:val="apple-converted-space"/>
    <w:basedOn w:val="Absatz-Standardschriftart"/>
    <w:rsid w:val="00D6710E"/>
  </w:style>
  <w:style w:type="character" w:customStyle="1" w:styleId="citation-129">
    <w:name w:val="citation-129"/>
    <w:basedOn w:val="Absatz-Standardschriftart"/>
    <w:rsid w:val="00D6710E"/>
  </w:style>
  <w:style w:type="character" w:customStyle="1" w:styleId="citation-128">
    <w:name w:val="citation-128"/>
    <w:basedOn w:val="Absatz-Standardschriftart"/>
    <w:rsid w:val="00D6710E"/>
  </w:style>
  <w:style w:type="character" w:customStyle="1" w:styleId="citation-334">
    <w:name w:val="citation-334"/>
    <w:basedOn w:val="Absatz-Standardschriftart"/>
    <w:rsid w:val="009D318C"/>
  </w:style>
  <w:style w:type="character" w:customStyle="1" w:styleId="citation-333">
    <w:name w:val="citation-333"/>
    <w:basedOn w:val="Absatz-Standardschriftart"/>
    <w:rsid w:val="009D318C"/>
  </w:style>
  <w:style w:type="character" w:customStyle="1" w:styleId="citation-332">
    <w:name w:val="citation-332"/>
    <w:basedOn w:val="Absatz-Standardschriftart"/>
    <w:rsid w:val="009D318C"/>
  </w:style>
  <w:style w:type="character" w:customStyle="1" w:styleId="citation-331">
    <w:name w:val="citation-331"/>
    <w:basedOn w:val="Absatz-Standardschriftart"/>
    <w:rsid w:val="009D318C"/>
  </w:style>
  <w:style w:type="character" w:customStyle="1" w:styleId="button-label">
    <w:name w:val="button-label"/>
    <w:basedOn w:val="Absatz-Standardschriftart"/>
    <w:rsid w:val="009D318C"/>
  </w:style>
  <w:style w:type="character" w:customStyle="1" w:styleId="citation-330">
    <w:name w:val="citation-330"/>
    <w:basedOn w:val="Absatz-Standardschriftart"/>
    <w:rsid w:val="009D318C"/>
  </w:style>
  <w:style w:type="character" w:customStyle="1" w:styleId="citation-329">
    <w:name w:val="citation-329"/>
    <w:basedOn w:val="Absatz-Standardschriftart"/>
    <w:rsid w:val="009D318C"/>
  </w:style>
  <w:style w:type="character" w:customStyle="1" w:styleId="citation-328">
    <w:name w:val="citation-328"/>
    <w:basedOn w:val="Absatz-Standardschriftart"/>
    <w:rsid w:val="009D318C"/>
  </w:style>
  <w:style w:type="paragraph" w:styleId="Literaturverzeichnis">
    <w:name w:val="Bibliography"/>
    <w:basedOn w:val="Standard"/>
    <w:next w:val="Standard"/>
    <w:uiPriority w:val="37"/>
    <w:unhideWhenUsed/>
    <w:rsid w:val="008004F0"/>
    <w:pPr>
      <w:tabs>
        <w:tab w:val="left" w:pos="260"/>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119159">
      <w:bodyDiv w:val="1"/>
      <w:marLeft w:val="0"/>
      <w:marRight w:val="0"/>
      <w:marTop w:val="0"/>
      <w:marBottom w:val="0"/>
      <w:divBdr>
        <w:top w:val="none" w:sz="0" w:space="0" w:color="auto"/>
        <w:left w:val="none" w:sz="0" w:space="0" w:color="auto"/>
        <w:bottom w:val="none" w:sz="0" w:space="0" w:color="auto"/>
        <w:right w:val="none" w:sz="0" w:space="0" w:color="auto"/>
      </w:divBdr>
    </w:div>
    <w:div w:id="204277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49790-0056-FE47-97CA-4D25C47C5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4112</Words>
  <Characters>25906</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Binaki Ajna (binakajn)</dc:creator>
  <cp:keywords/>
  <dc:description/>
  <cp:lastModifiedBy>Filippone Dario (filipda1)</cp:lastModifiedBy>
  <cp:revision>6</cp:revision>
  <dcterms:created xsi:type="dcterms:W3CDTF">2026-04-25T12:39:00Z</dcterms:created>
  <dcterms:modified xsi:type="dcterms:W3CDTF">2026-05-05T11:04:00Z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id="yNZ1Hbx0"/&gt;&lt;style id="http://www.zotero.org/styles/ieee-access"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